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74687F2">
      <w:pPr>
        <w:bidi w:val="0"/>
        <w:rPr>
          <w:rFonts w:hint="eastAsia"/>
          <w:color w:val="000000" w:themeColor="text1"/>
          <w14:textFill>
            <w14:solidFill>
              <w14:schemeClr w14:val="tx1"/>
            </w14:solidFill>
          </w14:textFill>
        </w:rPr>
        <w:sectPr>
          <w:headerReference r:id="rId3" w:type="first"/>
          <w:footerReference r:id="rId4" w:type="default"/>
          <w:pgSz w:w="11905" w:h="16838"/>
          <w:pgMar w:top="0" w:right="0" w:bottom="0" w:left="0" w:header="851" w:footer="992" w:gutter="0"/>
          <w:pgNumType w:start="1"/>
          <w:cols w:space="0" w:num="1"/>
          <w:rtlGutter w:val="0"/>
          <w:docGrid w:type="lines" w:linePitch="312" w:charSpace="0"/>
        </w:sectPr>
      </w:pPr>
      <w:r>
        <w:rPr>
          <w:color w:val="000000" w:themeColor="text1"/>
          <w14:textFill>
            <w14:solidFill>
              <w14:schemeClr w14:val="tx1"/>
            </w14:solidFill>
          </w14:textFill>
        </w:rPr>
        <w:drawing>
          <wp:inline distT="0" distB="0" distL="114300" distR="114300">
            <wp:extent cx="7520940" cy="10631805"/>
            <wp:effectExtent l="0" t="0" r="3810" b="17145"/>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10"/>
                    <a:stretch>
                      <a:fillRect/>
                    </a:stretch>
                  </pic:blipFill>
                  <pic:spPr>
                    <a:xfrm>
                      <a:off x="0" y="0"/>
                      <a:ext cx="7520940" cy="1063180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556500" cy="10779760"/>
            <wp:effectExtent l="0" t="0" r="6350" b="2540"/>
            <wp:docPr id="4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1"/>
                    <pic:cNvPicPr>
                      <a:picLocks noChangeAspect="1"/>
                    </pic:cNvPicPr>
                  </pic:nvPicPr>
                  <pic:blipFill>
                    <a:blip r:embed="rId11"/>
                    <a:stretch>
                      <a:fillRect/>
                    </a:stretch>
                  </pic:blipFill>
                  <pic:spPr>
                    <a:xfrm>
                      <a:off x="0" y="0"/>
                      <a:ext cx="7556500" cy="1077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556500" cy="10779760"/>
            <wp:effectExtent l="0" t="0" r="6350" b="2540"/>
            <wp:docPr id="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2"/>
                    <pic:cNvPicPr>
                      <a:picLocks noChangeAspect="1"/>
                    </pic:cNvPicPr>
                  </pic:nvPicPr>
                  <pic:blipFill>
                    <a:blip r:embed="rId12"/>
                    <a:stretch>
                      <a:fillRect/>
                    </a:stretch>
                  </pic:blipFill>
                  <pic:spPr>
                    <a:xfrm>
                      <a:off x="0" y="0"/>
                      <a:ext cx="7556500" cy="1077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556500" cy="10779760"/>
            <wp:effectExtent l="0" t="0" r="6350" b="2540"/>
            <wp:docPr id="4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3"/>
                    <pic:cNvPicPr>
                      <a:picLocks noChangeAspect="1"/>
                    </pic:cNvPicPr>
                  </pic:nvPicPr>
                  <pic:blipFill>
                    <a:blip r:embed="rId13"/>
                    <a:stretch>
                      <a:fillRect/>
                    </a:stretch>
                  </pic:blipFill>
                  <pic:spPr>
                    <a:xfrm>
                      <a:off x="0" y="0"/>
                      <a:ext cx="7556500" cy="1077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556500" cy="10779760"/>
            <wp:effectExtent l="0" t="0" r="6350" b="2540"/>
            <wp:docPr id="4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4"/>
                    <pic:cNvPicPr>
                      <a:picLocks noChangeAspect="1"/>
                    </pic:cNvPicPr>
                  </pic:nvPicPr>
                  <pic:blipFill>
                    <a:blip r:embed="rId14"/>
                    <a:stretch>
                      <a:fillRect/>
                    </a:stretch>
                  </pic:blipFill>
                  <pic:spPr>
                    <a:xfrm>
                      <a:off x="0" y="0"/>
                      <a:ext cx="7556500" cy="1077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556500" cy="10779760"/>
            <wp:effectExtent l="0" t="0" r="6350" b="2540"/>
            <wp:docPr id="4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pic:cNvPicPr>
                      <a:picLocks noChangeAspect="1"/>
                    </pic:cNvPicPr>
                  </pic:nvPicPr>
                  <pic:blipFill>
                    <a:blip r:embed="rId15"/>
                    <a:stretch>
                      <a:fillRect/>
                    </a:stretch>
                  </pic:blipFill>
                  <pic:spPr>
                    <a:xfrm>
                      <a:off x="0" y="0"/>
                      <a:ext cx="7556500" cy="1077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556500" cy="10779760"/>
            <wp:effectExtent l="0" t="0" r="6350" b="2540"/>
            <wp:docPr id="4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6"/>
                    <pic:cNvPicPr>
                      <a:picLocks noChangeAspect="1"/>
                    </pic:cNvPicPr>
                  </pic:nvPicPr>
                  <pic:blipFill>
                    <a:blip r:embed="rId16"/>
                    <a:stretch>
                      <a:fillRect/>
                    </a:stretch>
                  </pic:blipFill>
                  <pic:spPr>
                    <a:xfrm>
                      <a:off x="0" y="0"/>
                      <a:ext cx="7556500" cy="1077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556500" cy="10779760"/>
            <wp:effectExtent l="0" t="0" r="6350" b="2540"/>
            <wp:docPr id="4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7"/>
                    <pic:cNvPicPr>
                      <a:picLocks noChangeAspect="1"/>
                    </pic:cNvPicPr>
                  </pic:nvPicPr>
                  <pic:blipFill>
                    <a:blip r:embed="rId17"/>
                    <a:stretch>
                      <a:fillRect/>
                    </a:stretch>
                  </pic:blipFill>
                  <pic:spPr>
                    <a:xfrm>
                      <a:off x="0" y="0"/>
                      <a:ext cx="7556500" cy="1077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556500" cy="10779760"/>
            <wp:effectExtent l="0" t="0" r="6350" b="2540"/>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18"/>
                    <a:stretch>
                      <a:fillRect/>
                    </a:stretch>
                  </pic:blipFill>
                  <pic:spPr>
                    <a:xfrm>
                      <a:off x="0" y="0"/>
                      <a:ext cx="7556500" cy="1077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556500" cy="10779760"/>
            <wp:effectExtent l="0" t="0" r="6350" b="2540"/>
            <wp:docPr id="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9"/>
                    <pic:cNvPicPr>
                      <a:picLocks noChangeAspect="1"/>
                    </pic:cNvPicPr>
                  </pic:nvPicPr>
                  <pic:blipFill>
                    <a:blip r:embed="rId19"/>
                    <a:stretch>
                      <a:fillRect/>
                    </a:stretch>
                  </pic:blipFill>
                  <pic:spPr>
                    <a:xfrm>
                      <a:off x="0" y="0"/>
                      <a:ext cx="7556500" cy="10779760"/>
                    </a:xfrm>
                    <a:prstGeom prst="rect">
                      <a:avLst/>
                    </a:prstGeom>
                    <a:noFill/>
                    <a:ln>
                      <a:noFill/>
                    </a:ln>
                  </pic:spPr>
                </pic:pic>
              </a:graphicData>
            </a:graphic>
          </wp:inline>
        </w:drawing>
      </w:r>
    </w:p>
    <w:p w14:paraId="2624908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olor w:val="000000" w:themeColor="text1"/>
          <w:sz w:val="32"/>
          <w:szCs w:val="32"/>
          <w:lang w:val="en-US" w:eastAsia="zh-CN"/>
          <w14:textFill>
            <w14:solidFill>
              <w14:schemeClr w14:val="tx1"/>
            </w14:solidFill>
          </w14:textFill>
        </w:rPr>
      </w:pPr>
      <w:r>
        <w:rPr>
          <w:rFonts w:hint="eastAsia"/>
          <w:color w:val="000000" w:themeColor="text1"/>
          <w:sz w:val="32"/>
          <w:szCs w:val="32"/>
          <w:lang w:val="en-US" w:eastAsia="zh-CN"/>
          <w14:textFill>
            <w14:solidFill>
              <w14:schemeClr w14:val="tx1"/>
            </w14:solidFill>
          </w14:textFill>
        </w:rPr>
        <w:t>关于《华陀酒业（河南）有限公司酒品、饮料及医疗器械生产项目》的修改清单</w:t>
      </w:r>
    </w:p>
    <w:tbl>
      <w:tblPr>
        <w:tblStyle w:val="26"/>
        <w:tblW w:w="499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3"/>
        <w:gridCol w:w="5037"/>
        <w:gridCol w:w="4032"/>
      </w:tblGrid>
      <w:tr w14:paraId="7587E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noWrap w:val="0"/>
            <w:vAlign w:val="center"/>
          </w:tcPr>
          <w:p w14:paraId="6B6B96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序号</w:t>
            </w:r>
          </w:p>
        </w:tc>
        <w:tc>
          <w:tcPr>
            <w:tcW w:w="2532" w:type="pct"/>
            <w:noWrap w:val="0"/>
            <w:vAlign w:val="center"/>
          </w:tcPr>
          <w:p w14:paraId="18E08C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修改意见</w:t>
            </w:r>
          </w:p>
        </w:tc>
        <w:tc>
          <w:tcPr>
            <w:tcW w:w="2027" w:type="pct"/>
            <w:noWrap w:val="0"/>
            <w:vAlign w:val="center"/>
          </w:tcPr>
          <w:p w14:paraId="4E78C9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修改情况</w:t>
            </w:r>
          </w:p>
        </w:tc>
      </w:tr>
      <w:tr w14:paraId="063C3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noWrap w:val="0"/>
            <w:vAlign w:val="center"/>
          </w:tcPr>
          <w:p w14:paraId="59E02D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1</w:t>
            </w:r>
          </w:p>
        </w:tc>
        <w:tc>
          <w:tcPr>
            <w:tcW w:w="2532" w:type="pct"/>
            <w:noWrap w:val="0"/>
            <w:vAlign w:val="center"/>
          </w:tcPr>
          <w:p w14:paraId="0D9DFDF4">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细化项目建设与啤酒建设项目审批原则、绩效分级、失效低效措施等的符合性分析</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w:t>
            </w: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补充项目环评类别判定依据</w:t>
            </w: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w:t>
            </w:r>
          </w:p>
        </w:tc>
        <w:tc>
          <w:tcPr>
            <w:tcW w:w="2027" w:type="pct"/>
            <w:noWrap w:val="0"/>
            <w:vAlign w:val="center"/>
          </w:tcPr>
          <w:p w14:paraId="5A217E1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cs="Times New Roman"/>
                <w:color w:val="000000" w:themeColor="text1"/>
                <w:sz w:val="24"/>
                <w:szCs w:val="24"/>
                <w:vertAlign w:val="baseline"/>
                <w:lang w:val="en-US" w:eastAsia="zh-CN"/>
                <w14:textFill>
                  <w14:solidFill>
                    <w14:schemeClr w14:val="tx1"/>
                  </w14:solidFill>
                </w14:textFill>
              </w:rPr>
              <w:t>已细化，见P24-43；已补充，见P51-62；</w:t>
            </w:r>
          </w:p>
        </w:tc>
      </w:tr>
      <w:tr w14:paraId="2CBB4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noWrap w:val="0"/>
            <w:vAlign w:val="center"/>
          </w:tcPr>
          <w:p w14:paraId="4C9BBA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2</w:t>
            </w:r>
          </w:p>
        </w:tc>
        <w:tc>
          <w:tcPr>
            <w:tcW w:w="2532" w:type="pct"/>
            <w:noWrap w:val="0"/>
            <w:vAlign w:val="center"/>
          </w:tcPr>
          <w:p w14:paraId="6C1ABC9D">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细化项目建设内容，优化平面布置；核实项目产品方案及产品质量标准；按生产线细化完善生产设备清单及产能匹配性分析；明确项目主要原辅材料消耗及理化性质说明；细化生产工艺流程介绍及产污节点分析；核实水平衡及蒸汽平衡；</w:t>
            </w:r>
          </w:p>
        </w:tc>
        <w:tc>
          <w:tcPr>
            <w:tcW w:w="2027" w:type="pct"/>
            <w:noWrap w:val="0"/>
            <w:vAlign w:val="center"/>
          </w:tcPr>
          <w:p w14:paraId="7FC2E336">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已细化，见P53-57；已核实，见P57-62；已细化，见P62-69；已明确，见P72-77；已细化，P91-115；已核实，见P69-72、P77-87；</w:t>
            </w:r>
          </w:p>
        </w:tc>
      </w:tr>
      <w:tr w14:paraId="1D26C3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noWrap w:val="0"/>
            <w:vAlign w:val="center"/>
          </w:tcPr>
          <w:p w14:paraId="333366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3</w:t>
            </w:r>
          </w:p>
        </w:tc>
        <w:tc>
          <w:tcPr>
            <w:tcW w:w="2532" w:type="pct"/>
            <w:noWrap w:val="0"/>
            <w:vAlign w:val="center"/>
          </w:tcPr>
          <w:p w14:paraId="7A24868C">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核实废气产生环节及产生源强，细化废气收集措施及无组织管控措施，完善废气处理措施可行性分析及达标分析；</w:t>
            </w:r>
          </w:p>
        </w:tc>
        <w:tc>
          <w:tcPr>
            <w:tcW w:w="2027" w:type="pct"/>
            <w:noWrap w:val="0"/>
            <w:vAlign w:val="center"/>
          </w:tcPr>
          <w:p w14:paraId="1E4C5EC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已核实细化，见P124-136；已完善，见P149-153；</w:t>
            </w:r>
          </w:p>
        </w:tc>
      </w:tr>
      <w:tr w14:paraId="04ED88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noWrap w:val="0"/>
            <w:vAlign w:val="center"/>
          </w:tcPr>
          <w:p w14:paraId="10602F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4</w:t>
            </w:r>
          </w:p>
        </w:tc>
        <w:tc>
          <w:tcPr>
            <w:tcW w:w="2532" w:type="pct"/>
            <w:noWrap w:val="0"/>
            <w:vAlign w:val="center"/>
          </w:tcPr>
          <w:p w14:paraId="1F3717C1">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核实废水产生环节及产生量，明确废水水质，细化废水处理工艺介绍，完善废水收集及处理可行性分析；</w:t>
            </w:r>
          </w:p>
        </w:tc>
        <w:tc>
          <w:tcPr>
            <w:tcW w:w="2027" w:type="pct"/>
            <w:noWrap w:val="0"/>
            <w:vAlign w:val="center"/>
          </w:tcPr>
          <w:p w14:paraId="6F2DF649">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已核实明确，见P153-164；已细化完善，见P164-166；</w:t>
            </w:r>
          </w:p>
        </w:tc>
      </w:tr>
      <w:tr w14:paraId="3081C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noWrap w:val="0"/>
            <w:vAlign w:val="center"/>
          </w:tcPr>
          <w:p w14:paraId="2B3245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5</w:t>
            </w:r>
          </w:p>
        </w:tc>
        <w:tc>
          <w:tcPr>
            <w:tcW w:w="2532" w:type="pct"/>
            <w:noWrap w:val="0"/>
            <w:vAlign w:val="center"/>
          </w:tcPr>
          <w:p w14:paraId="78AE0CAA">
            <w:pPr>
              <w:keepNext w:val="0"/>
              <w:keepLines w:val="0"/>
              <w:widowControl/>
              <w:suppressLineNumbers w:val="0"/>
              <w:jc w:val="left"/>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核实固废产生环节、产生量，完善固废收集、暂存及处置可行性分析；完善环境风险分析，细化风险防范措施；</w:t>
            </w:r>
          </w:p>
        </w:tc>
        <w:tc>
          <w:tcPr>
            <w:tcW w:w="2027" w:type="pct"/>
            <w:noWrap w:val="0"/>
            <w:vAlign w:val="center"/>
          </w:tcPr>
          <w:p w14:paraId="7ED9D8E9">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已核实，见P177-184；已完善，见P184-187；已完善细化，见P187-203；</w:t>
            </w:r>
          </w:p>
        </w:tc>
      </w:tr>
      <w:tr w14:paraId="42B70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39" w:type="pct"/>
            <w:noWrap w:val="0"/>
            <w:vAlign w:val="center"/>
          </w:tcPr>
          <w:p w14:paraId="412A0B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6</w:t>
            </w:r>
          </w:p>
        </w:tc>
        <w:tc>
          <w:tcPr>
            <w:tcW w:w="2532" w:type="pct"/>
            <w:noWrap w:val="0"/>
            <w:vAlign w:val="center"/>
          </w:tcPr>
          <w:p w14:paraId="483887A9">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pPr>
            <w:r>
              <w:rPr>
                <w:rFonts w:hint="default" w:ascii="Times New Roman" w:hAnsi="Times New Roman" w:cs="Times New Roman"/>
                <w:color w:val="000000" w:themeColor="text1"/>
                <w:sz w:val="24"/>
                <w:szCs w:val="24"/>
                <w:vertAlign w:val="baseline"/>
                <w:lang w:val="en-US" w:eastAsia="zh-CN"/>
                <w14:textFill>
                  <w14:solidFill>
                    <w14:schemeClr w14:val="tx1"/>
                  </w14:solidFill>
                </w14:textFill>
              </w:rPr>
              <w:t>完善环保措施监督检查清单及相关附图、附件。</w:t>
            </w:r>
          </w:p>
        </w:tc>
        <w:tc>
          <w:tcPr>
            <w:tcW w:w="2027" w:type="pct"/>
            <w:shd w:val="clear" w:color="auto" w:fill="auto"/>
            <w:noWrap w:val="0"/>
            <w:vAlign w:val="center"/>
          </w:tcPr>
          <w:p w14:paraId="15C58595">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eastAsia" w:ascii="Times New Roman" w:hAnsi="Times New Roman" w:eastAsia="宋体" w:cs="Times New Roman"/>
                <w:color w:val="000000" w:themeColor="text1"/>
                <w:kern w:val="2"/>
                <w:sz w:val="24"/>
                <w:szCs w:val="24"/>
                <w:vertAlign w:val="baseline"/>
                <w:lang w:val="en-US" w:eastAsia="zh-CN" w:bidi="ar-SA"/>
                <w14:textFill>
                  <w14:solidFill>
                    <w14:schemeClr w14:val="tx1"/>
                  </w14:solidFill>
                </w14:textFill>
              </w:rPr>
            </w:pPr>
            <w:r>
              <w:rPr>
                <w:rFonts w:hint="eastAsia" w:ascii="Times New Roman" w:hAnsi="Times New Roman" w:cs="Times New Roman"/>
                <w:color w:val="000000" w:themeColor="text1"/>
                <w:sz w:val="24"/>
                <w:szCs w:val="24"/>
                <w:vertAlign w:val="baseline"/>
                <w:lang w:val="en-US" w:eastAsia="zh-CN"/>
                <w14:textFill>
                  <w14:solidFill>
                    <w14:schemeClr w14:val="tx1"/>
                  </w14:solidFill>
                </w14:textFill>
              </w:rPr>
              <w:t>已完善，见P213-219及附图、附件</w:t>
            </w:r>
          </w:p>
        </w:tc>
      </w:tr>
    </w:tbl>
    <w:p w14:paraId="00A279A0">
      <w:pPr>
        <w:bidi w:val="0"/>
        <w:rPr>
          <w:color w:val="000000" w:themeColor="text1"/>
          <w14:textFill>
            <w14:solidFill>
              <w14:schemeClr w14:val="tx1"/>
            </w14:solidFill>
          </w14:textFill>
        </w:rPr>
        <w:sectPr>
          <w:footerReference r:id="rId5" w:type="default"/>
          <w:pgSz w:w="11906" w:h="16838"/>
          <w:pgMar w:top="1440" w:right="1083" w:bottom="1440" w:left="1083" w:header="851" w:footer="992" w:gutter="0"/>
          <w:cols w:space="0" w:num="1"/>
          <w:docGrid w:type="lines" w:linePitch="312" w:charSpace="0"/>
        </w:sectPr>
      </w:pPr>
    </w:p>
    <w:sdt>
      <w:sdtPr>
        <w:rPr>
          <w:rFonts w:ascii="宋体" w:hAnsi="宋体" w:eastAsia="宋体" w:cs="Times New Roman"/>
          <w:color w:val="000000" w:themeColor="text1"/>
          <w:kern w:val="2"/>
          <w:sz w:val="21"/>
          <w:szCs w:val="24"/>
          <w:lang w:val="en-US" w:eastAsia="zh-CN" w:bidi="ar-SA"/>
          <w14:textFill>
            <w14:solidFill>
              <w14:schemeClr w14:val="tx1"/>
            </w14:solidFill>
          </w14:textFill>
        </w:rPr>
        <w:id w:val="147454928"/>
        <w15:color w:val="DBDBDB"/>
        <w:docPartObj>
          <w:docPartGallery w:val="Table of Contents"/>
          <w:docPartUnique/>
        </w:docPartObj>
      </w:sdtPr>
      <w:sdtEndPr>
        <w:rPr>
          <w:rFonts w:ascii="Times New Roman" w:hAnsi="Times New Roman" w:eastAsia="宋体" w:cs="Times New Roman"/>
          <w:color w:val="000000" w:themeColor="text1"/>
          <w:kern w:val="2"/>
          <w:sz w:val="21"/>
          <w:szCs w:val="24"/>
          <w:lang w:val="en-US" w:eastAsia="zh-CN" w:bidi="ar-SA"/>
          <w14:textFill>
            <w14:solidFill>
              <w14:schemeClr w14:val="tx1"/>
            </w14:solidFill>
          </w14:textFill>
        </w:rPr>
      </w:sdtEndPr>
      <w:sdtContent>
        <w:p w14:paraId="022A8267">
          <w:pPr>
            <w:spacing w:before="0" w:beforeLines="0" w:after="0" w:afterLines="0" w:line="240" w:lineRule="auto"/>
            <w:ind w:left="0" w:leftChars="0" w:right="0" w:rightChars="0" w:firstLine="0" w:firstLineChars="0"/>
            <w:jc w:val="center"/>
            <w:rPr>
              <w:b/>
              <w:bCs/>
              <w:color w:val="000000" w:themeColor="text1"/>
              <w:sz w:val="36"/>
              <w:szCs w:val="36"/>
              <w14:textFill>
                <w14:solidFill>
                  <w14:schemeClr w14:val="tx1"/>
                </w14:solidFill>
              </w14:textFill>
            </w:rPr>
          </w:pPr>
          <w:r>
            <w:rPr>
              <w:rFonts w:ascii="宋体" w:hAnsi="宋体" w:eastAsia="宋体"/>
              <w:b/>
              <w:bCs/>
              <w:color w:val="000000" w:themeColor="text1"/>
              <w:sz w:val="36"/>
              <w:szCs w:val="36"/>
              <w14:textFill>
                <w14:solidFill>
                  <w14:schemeClr w14:val="tx1"/>
                </w14:solidFill>
              </w14:textFill>
            </w:rPr>
            <w:t>目</w:t>
          </w:r>
          <w:r>
            <w:rPr>
              <w:rFonts w:hint="eastAsia" w:ascii="宋体" w:hAnsi="宋体" w:eastAsia="宋体"/>
              <w:b/>
              <w:bCs/>
              <w:color w:val="000000" w:themeColor="text1"/>
              <w:sz w:val="36"/>
              <w:szCs w:val="36"/>
              <w:lang w:val="en-US" w:eastAsia="zh-CN"/>
              <w14:textFill>
                <w14:solidFill>
                  <w14:schemeClr w14:val="tx1"/>
                </w14:solidFill>
              </w14:textFill>
            </w:rPr>
            <w:t xml:space="preserve"> </w:t>
          </w:r>
          <w:r>
            <w:rPr>
              <w:rFonts w:ascii="宋体" w:hAnsi="宋体" w:eastAsia="宋体"/>
              <w:b/>
              <w:bCs/>
              <w:color w:val="000000" w:themeColor="text1"/>
              <w:sz w:val="36"/>
              <w:szCs w:val="36"/>
              <w14:textFill>
                <w14:solidFill>
                  <w14:schemeClr w14:val="tx1"/>
                </w14:solidFill>
              </w14:textFill>
            </w:rPr>
            <w:t>录</w:t>
          </w:r>
        </w:p>
        <w:p w14:paraId="20858513">
          <w:pPr>
            <w:pStyle w:val="19"/>
            <w:keepNext w:val="0"/>
            <w:keepLines w:val="0"/>
            <w:pageBreakBefore w:val="0"/>
            <w:widowControl w:val="0"/>
            <w:tabs>
              <w:tab w:val="right" w:leader="dot" w:pos="9740"/>
            </w:tabs>
            <w:kinsoku/>
            <w:wordWrap/>
            <w:overflowPunct/>
            <w:topLinePunct w:val="0"/>
            <w:autoSpaceDE/>
            <w:autoSpaceDN/>
            <w:bidi w:val="0"/>
            <w:adjustRightInd/>
            <w:snapToGrid/>
            <w:spacing w:line="360" w:lineRule="auto"/>
            <w:textAlignment w:val="auto"/>
            <w:rPr>
              <w:b w:val="0"/>
              <w:bCs w:val="0"/>
              <w:color w:val="000000" w:themeColor="text1"/>
              <w:sz w:val="24"/>
              <w:szCs w:val="24"/>
              <w14:textFill>
                <w14:solidFill>
                  <w14:schemeClr w14:val="tx1"/>
                </w14:solidFill>
              </w14:textFill>
            </w:rPr>
          </w:pPr>
          <w:r>
            <w:rPr>
              <w:rFonts w:ascii="Times New Roman" w:hAnsi="Times New Roman" w:eastAsia="宋体" w:cs="Times New Roman"/>
              <w:b w:val="0"/>
              <w:bCs w:val="0"/>
              <w:color w:val="000000" w:themeColor="text1"/>
              <w:kern w:val="2"/>
              <w:sz w:val="21"/>
              <w:szCs w:val="24"/>
              <w:lang w:val="en-US" w:eastAsia="zh-CN" w:bidi="ar-SA"/>
              <w14:textFill>
                <w14:solidFill>
                  <w14:schemeClr w14:val="tx1"/>
                </w14:solidFill>
              </w14:textFill>
            </w:rPr>
            <w:fldChar w:fldCharType="begin"/>
          </w:r>
          <w:r>
            <w:rPr>
              <w:rFonts w:ascii="Times New Roman" w:hAnsi="Times New Roman" w:eastAsia="宋体" w:cs="Times New Roman"/>
              <w:b w:val="0"/>
              <w:bCs w:val="0"/>
              <w:color w:val="000000" w:themeColor="text1"/>
              <w:kern w:val="2"/>
              <w:sz w:val="21"/>
              <w:szCs w:val="24"/>
              <w:lang w:val="en-US" w:eastAsia="zh-CN" w:bidi="ar-SA"/>
              <w14:textFill>
                <w14:solidFill>
                  <w14:schemeClr w14:val="tx1"/>
                </w14:solidFill>
              </w14:textFill>
            </w:rPr>
            <w:instrText xml:space="preserve">TOC \o "1-3" \h \u </w:instrText>
          </w:r>
          <w:r>
            <w:rPr>
              <w:rFonts w:ascii="Times New Roman" w:hAnsi="Times New Roman" w:eastAsia="宋体" w:cs="Times New Roman"/>
              <w:b w:val="0"/>
              <w:bCs w:val="0"/>
              <w:color w:val="000000" w:themeColor="text1"/>
              <w:kern w:val="2"/>
              <w:sz w:val="21"/>
              <w:szCs w:val="24"/>
              <w:lang w:val="en-US" w:eastAsia="zh-CN" w:bidi="ar-SA"/>
              <w14:textFill>
                <w14:solidFill>
                  <w14:schemeClr w14:val="tx1"/>
                </w14:solidFill>
              </w14:textFill>
            </w:rPr>
            <w:fldChar w:fldCharType="separate"/>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begin"/>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instrText xml:space="preserve"> HYPERLINK \l _Toc6976 </w:instrText>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separate"/>
          </w:r>
          <w:r>
            <w:rPr>
              <w:b w:val="0"/>
              <w:bCs w:val="0"/>
              <w:color w:val="000000" w:themeColor="text1"/>
              <w:sz w:val="24"/>
              <w:szCs w:val="24"/>
              <w14:textFill>
                <w14:solidFill>
                  <w14:schemeClr w14:val="tx1"/>
                </w14:solidFill>
              </w14:textFill>
            </w:rPr>
            <w:t>一、建设项目基本情况</w:t>
          </w:r>
          <w:r>
            <w:rPr>
              <w:b w:val="0"/>
              <w:bCs w:val="0"/>
              <w:color w:val="000000" w:themeColor="text1"/>
              <w:sz w:val="24"/>
              <w:szCs w:val="24"/>
              <w14:textFill>
                <w14:solidFill>
                  <w14:schemeClr w14:val="tx1"/>
                </w14:solidFill>
              </w14:textFill>
            </w:rPr>
            <w:tab/>
          </w:r>
          <w:r>
            <w:rPr>
              <w:b w:val="0"/>
              <w:bCs w:val="0"/>
              <w:color w:val="000000" w:themeColor="text1"/>
              <w:sz w:val="24"/>
              <w:szCs w:val="24"/>
              <w14:textFill>
                <w14:solidFill>
                  <w14:schemeClr w14:val="tx1"/>
                </w14:solidFill>
              </w14:textFill>
            </w:rPr>
            <w:fldChar w:fldCharType="begin"/>
          </w:r>
          <w:r>
            <w:rPr>
              <w:b w:val="0"/>
              <w:bCs w:val="0"/>
              <w:color w:val="000000" w:themeColor="text1"/>
              <w:sz w:val="24"/>
              <w:szCs w:val="24"/>
              <w14:textFill>
                <w14:solidFill>
                  <w14:schemeClr w14:val="tx1"/>
                </w14:solidFill>
              </w14:textFill>
            </w:rPr>
            <w:instrText xml:space="preserve"> PAGEREF _Toc6976 \h </w:instrText>
          </w:r>
          <w:r>
            <w:rPr>
              <w:b w:val="0"/>
              <w:bCs w:val="0"/>
              <w:color w:val="000000" w:themeColor="text1"/>
              <w:sz w:val="24"/>
              <w:szCs w:val="24"/>
              <w14:textFill>
                <w14:solidFill>
                  <w14:schemeClr w14:val="tx1"/>
                </w14:solidFill>
              </w14:textFill>
            </w:rPr>
            <w:fldChar w:fldCharType="separate"/>
          </w:r>
          <w:r>
            <w:rPr>
              <w:b w:val="0"/>
              <w:bCs w:val="0"/>
              <w:color w:val="000000" w:themeColor="text1"/>
              <w:sz w:val="24"/>
              <w:szCs w:val="24"/>
              <w14:textFill>
                <w14:solidFill>
                  <w14:schemeClr w14:val="tx1"/>
                </w14:solidFill>
              </w14:textFill>
            </w:rPr>
            <w:t>1</w:t>
          </w:r>
          <w:r>
            <w:rPr>
              <w:b w:val="0"/>
              <w:bCs w:val="0"/>
              <w:color w:val="000000" w:themeColor="text1"/>
              <w:sz w:val="24"/>
              <w:szCs w:val="24"/>
              <w14:textFill>
                <w14:solidFill>
                  <w14:schemeClr w14:val="tx1"/>
                </w14:solidFill>
              </w14:textFill>
            </w:rPr>
            <w:fldChar w:fldCharType="end"/>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end"/>
          </w:r>
        </w:p>
        <w:p w14:paraId="36A942E4">
          <w:pPr>
            <w:pStyle w:val="19"/>
            <w:keepNext w:val="0"/>
            <w:keepLines w:val="0"/>
            <w:pageBreakBefore w:val="0"/>
            <w:widowControl w:val="0"/>
            <w:tabs>
              <w:tab w:val="right" w:leader="dot" w:pos="9740"/>
            </w:tabs>
            <w:kinsoku/>
            <w:wordWrap/>
            <w:overflowPunct/>
            <w:topLinePunct w:val="0"/>
            <w:autoSpaceDE/>
            <w:autoSpaceDN/>
            <w:bidi w:val="0"/>
            <w:adjustRightInd/>
            <w:snapToGrid/>
            <w:spacing w:line="360" w:lineRule="auto"/>
            <w:textAlignment w:val="auto"/>
            <w:rPr>
              <w:b w:val="0"/>
              <w:bCs w:val="0"/>
              <w:color w:val="000000" w:themeColor="text1"/>
              <w:sz w:val="24"/>
              <w:szCs w:val="24"/>
              <w14:textFill>
                <w14:solidFill>
                  <w14:schemeClr w14:val="tx1"/>
                </w14:solidFill>
              </w14:textFill>
            </w:rPr>
          </w:pP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begin"/>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instrText xml:space="preserve"> HYPERLINK \l _Toc25034 </w:instrText>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separate"/>
          </w:r>
          <w:r>
            <w:rPr>
              <w:b w:val="0"/>
              <w:bCs w:val="0"/>
              <w:color w:val="000000" w:themeColor="text1"/>
              <w:sz w:val="24"/>
              <w:szCs w:val="24"/>
              <w14:textFill>
                <w14:solidFill>
                  <w14:schemeClr w14:val="tx1"/>
                </w14:solidFill>
              </w14:textFill>
            </w:rPr>
            <w:t>二、建设项目工程分析</w:t>
          </w:r>
          <w:r>
            <w:rPr>
              <w:b w:val="0"/>
              <w:bCs w:val="0"/>
              <w:color w:val="000000" w:themeColor="text1"/>
              <w:sz w:val="24"/>
              <w:szCs w:val="24"/>
              <w14:textFill>
                <w14:solidFill>
                  <w14:schemeClr w14:val="tx1"/>
                </w14:solidFill>
              </w14:textFill>
            </w:rPr>
            <w:tab/>
          </w:r>
          <w:r>
            <w:rPr>
              <w:b w:val="0"/>
              <w:bCs w:val="0"/>
              <w:color w:val="000000" w:themeColor="text1"/>
              <w:sz w:val="24"/>
              <w:szCs w:val="24"/>
              <w14:textFill>
                <w14:solidFill>
                  <w14:schemeClr w14:val="tx1"/>
                </w14:solidFill>
              </w14:textFill>
            </w:rPr>
            <w:fldChar w:fldCharType="begin"/>
          </w:r>
          <w:r>
            <w:rPr>
              <w:b w:val="0"/>
              <w:bCs w:val="0"/>
              <w:color w:val="000000" w:themeColor="text1"/>
              <w:sz w:val="24"/>
              <w:szCs w:val="24"/>
              <w14:textFill>
                <w14:solidFill>
                  <w14:schemeClr w14:val="tx1"/>
                </w14:solidFill>
              </w14:textFill>
            </w:rPr>
            <w:instrText xml:space="preserve"> PAGEREF _Toc25034 \h </w:instrText>
          </w:r>
          <w:r>
            <w:rPr>
              <w:b w:val="0"/>
              <w:bCs w:val="0"/>
              <w:color w:val="000000" w:themeColor="text1"/>
              <w:sz w:val="24"/>
              <w:szCs w:val="24"/>
              <w14:textFill>
                <w14:solidFill>
                  <w14:schemeClr w14:val="tx1"/>
                </w14:solidFill>
              </w14:textFill>
            </w:rPr>
            <w:fldChar w:fldCharType="separate"/>
          </w:r>
          <w:r>
            <w:rPr>
              <w:b w:val="0"/>
              <w:bCs w:val="0"/>
              <w:color w:val="000000" w:themeColor="text1"/>
              <w:sz w:val="24"/>
              <w:szCs w:val="24"/>
              <w14:textFill>
                <w14:solidFill>
                  <w14:schemeClr w14:val="tx1"/>
                </w14:solidFill>
              </w14:textFill>
            </w:rPr>
            <w:t>51</w:t>
          </w:r>
          <w:r>
            <w:rPr>
              <w:b w:val="0"/>
              <w:bCs w:val="0"/>
              <w:color w:val="000000" w:themeColor="text1"/>
              <w:sz w:val="24"/>
              <w:szCs w:val="24"/>
              <w14:textFill>
                <w14:solidFill>
                  <w14:schemeClr w14:val="tx1"/>
                </w14:solidFill>
              </w14:textFill>
            </w:rPr>
            <w:fldChar w:fldCharType="end"/>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end"/>
          </w:r>
        </w:p>
        <w:p w14:paraId="4C2C6A15">
          <w:pPr>
            <w:pStyle w:val="19"/>
            <w:keepNext w:val="0"/>
            <w:keepLines w:val="0"/>
            <w:pageBreakBefore w:val="0"/>
            <w:widowControl w:val="0"/>
            <w:tabs>
              <w:tab w:val="right" w:leader="dot" w:pos="9740"/>
            </w:tabs>
            <w:kinsoku/>
            <w:wordWrap/>
            <w:overflowPunct/>
            <w:topLinePunct w:val="0"/>
            <w:autoSpaceDE/>
            <w:autoSpaceDN/>
            <w:bidi w:val="0"/>
            <w:adjustRightInd/>
            <w:snapToGrid/>
            <w:spacing w:line="360" w:lineRule="auto"/>
            <w:textAlignment w:val="auto"/>
            <w:rPr>
              <w:b w:val="0"/>
              <w:bCs w:val="0"/>
              <w:color w:val="000000" w:themeColor="text1"/>
              <w:sz w:val="24"/>
              <w:szCs w:val="24"/>
              <w14:textFill>
                <w14:solidFill>
                  <w14:schemeClr w14:val="tx1"/>
                </w14:solidFill>
              </w14:textFill>
            </w:rPr>
          </w:pP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begin"/>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instrText xml:space="preserve"> HYPERLINK \l _Toc9068 </w:instrText>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separate"/>
          </w:r>
          <w:r>
            <w:rPr>
              <w:b w:val="0"/>
              <w:bCs w:val="0"/>
              <w:color w:val="000000" w:themeColor="text1"/>
              <w:sz w:val="24"/>
              <w:szCs w:val="24"/>
              <w14:textFill>
                <w14:solidFill>
                  <w14:schemeClr w14:val="tx1"/>
                </w14:solidFill>
              </w14:textFill>
            </w:rPr>
            <w:t>三、区域环境质量现状、环境保护目标及评价标准</w:t>
          </w:r>
          <w:r>
            <w:rPr>
              <w:b w:val="0"/>
              <w:bCs w:val="0"/>
              <w:color w:val="000000" w:themeColor="text1"/>
              <w:sz w:val="24"/>
              <w:szCs w:val="24"/>
              <w14:textFill>
                <w14:solidFill>
                  <w14:schemeClr w14:val="tx1"/>
                </w14:solidFill>
              </w14:textFill>
            </w:rPr>
            <w:tab/>
          </w:r>
          <w:r>
            <w:rPr>
              <w:b w:val="0"/>
              <w:bCs w:val="0"/>
              <w:color w:val="000000" w:themeColor="text1"/>
              <w:sz w:val="24"/>
              <w:szCs w:val="24"/>
              <w14:textFill>
                <w14:solidFill>
                  <w14:schemeClr w14:val="tx1"/>
                </w14:solidFill>
              </w14:textFill>
            </w:rPr>
            <w:fldChar w:fldCharType="begin"/>
          </w:r>
          <w:r>
            <w:rPr>
              <w:b w:val="0"/>
              <w:bCs w:val="0"/>
              <w:color w:val="000000" w:themeColor="text1"/>
              <w:sz w:val="24"/>
              <w:szCs w:val="24"/>
              <w14:textFill>
                <w14:solidFill>
                  <w14:schemeClr w14:val="tx1"/>
                </w14:solidFill>
              </w14:textFill>
            </w:rPr>
            <w:instrText xml:space="preserve"> PAGEREF _Toc9068 \h </w:instrText>
          </w:r>
          <w:r>
            <w:rPr>
              <w:b w:val="0"/>
              <w:bCs w:val="0"/>
              <w:color w:val="000000" w:themeColor="text1"/>
              <w:sz w:val="24"/>
              <w:szCs w:val="24"/>
              <w14:textFill>
                <w14:solidFill>
                  <w14:schemeClr w14:val="tx1"/>
                </w14:solidFill>
              </w14:textFill>
            </w:rPr>
            <w:fldChar w:fldCharType="separate"/>
          </w:r>
          <w:r>
            <w:rPr>
              <w:b w:val="0"/>
              <w:bCs w:val="0"/>
              <w:color w:val="000000" w:themeColor="text1"/>
              <w:sz w:val="24"/>
              <w:szCs w:val="24"/>
              <w14:textFill>
                <w14:solidFill>
                  <w14:schemeClr w14:val="tx1"/>
                </w14:solidFill>
              </w14:textFill>
            </w:rPr>
            <w:t>117</w:t>
          </w:r>
          <w:r>
            <w:rPr>
              <w:b w:val="0"/>
              <w:bCs w:val="0"/>
              <w:color w:val="000000" w:themeColor="text1"/>
              <w:sz w:val="24"/>
              <w:szCs w:val="24"/>
              <w14:textFill>
                <w14:solidFill>
                  <w14:schemeClr w14:val="tx1"/>
                </w14:solidFill>
              </w14:textFill>
            </w:rPr>
            <w:fldChar w:fldCharType="end"/>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end"/>
          </w:r>
        </w:p>
        <w:p w14:paraId="483FC9E7">
          <w:pPr>
            <w:pStyle w:val="19"/>
            <w:keepNext w:val="0"/>
            <w:keepLines w:val="0"/>
            <w:pageBreakBefore w:val="0"/>
            <w:widowControl w:val="0"/>
            <w:tabs>
              <w:tab w:val="right" w:leader="dot" w:pos="9740"/>
            </w:tabs>
            <w:kinsoku/>
            <w:wordWrap/>
            <w:overflowPunct/>
            <w:topLinePunct w:val="0"/>
            <w:autoSpaceDE/>
            <w:autoSpaceDN/>
            <w:bidi w:val="0"/>
            <w:adjustRightInd/>
            <w:snapToGrid/>
            <w:spacing w:line="360" w:lineRule="auto"/>
            <w:textAlignment w:val="auto"/>
            <w:rPr>
              <w:b w:val="0"/>
              <w:bCs w:val="0"/>
              <w:color w:val="000000" w:themeColor="text1"/>
              <w:sz w:val="24"/>
              <w:szCs w:val="24"/>
              <w14:textFill>
                <w14:solidFill>
                  <w14:schemeClr w14:val="tx1"/>
                </w14:solidFill>
              </w14:textFill>
            </w:rPr>
          </w:pP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begin"/>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instrText xml:space="preserve"> HYPERLINK \l _Toc30587 </w:instrText>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separate"/>
          </w:r>
          <w:r>
            <w:rPr>
              <w:rFonts w:hint="eastAsia"/>
              <w:b w:val="0"/>
              <w:bCs w:val="0"/>
              <w:color w:val="000000" w:themeColor="text1"/>
              <w:sz w:val="24"/>
              <w:szCs w:val="24"/>
              <w14:textFill>
                <w14:solidFill>
                  <w14:schemeClr w14:val="tx1"/>
                </w14:solidFill>
              </w14:textFill>
            </w:rPr>
            <w:t xml:space="preserve">四、 </w:t>
          </w:r>
          <w:r>
            <w:rPr>
              <w:b w:val="0"/>
              <w:bCs w:val="0"/>
              <w:color w:val="000000" w:themeColor="text1"/>
              <w:sz w:val="24"/>
              <w:szCs w:val="24"/>
              <w14:textFill>
                <w14:solidFill>
                  <w14:schemeClr w14:val="tx1"/>
                </w14:solidFill>
              </w14:textFill>
            </w:rPr>
            <w:t>主要环境影响和保护措施</w:t>
          </w:r>
          <w:r>
            <w:rPr>
              <w:b w:val="0"/>
              <w:bCs w:val="0"/>
              <w:color w:val="000000" w:themeColor="text1"/>
              <w:sz w:val="24"/>
              <w:szCs w:val="24"/>
              <w14:textFill>
                <w14:solidFill>
                  <w14:schemeClr w14:val="tx1"/>
                </w14:solidFill>
              </w14:textFill>
            </w:rPr>
            <w:tab/>
          </w:r>
          <w:r>
            <w:rPr>
              <w:b w:val="0"/>
              <w:bCs w:val="0"/>
              <w:color w:val="000000" w:themeColor="text1"/>
              <w:sz w:val="24"/>
              <w:szCs w:val="24"/>
              <w14:textFill>
                <w14:solidFill>
                  <w14:schemeClr w14:val="tx1"/>
                </w14:solidFill>
              </w14:textFill>
            </w:rPr>
            <w:fldChar w:fldCharType="begin"/>
          </w:r>
          <w:r>
            <w:rPr>
              <w:b w:val="0"/>
              <w:bCs w:val="0"/>
              <w:color w:val="000000" w:themeColor="text1"/>
              <w:sz w:val="24"/>
              <w:szCs w:val="24"/>
              <w14:textFill>
                <w14:solidFill>
                  <w14:schemeClr w14:val="tx1"/>
                </w14:solidFill>
              </w14:textFill>
            </w:rPr>
            <w:instrText xml:space="preserve"> PAGEREF _Toc30587 \h </w:instrText>
          </w:r>
          <w:r>
            <w:rPr>
              <w:b w:val="0"/>
              <w:bCs w:val="0"/>
              <w:color w:val="000000" w:themeColor="text1"/>
              <w:sz w:val="24"/>
              <w:szCs w:val="24"/>
              <w14:textFill>
                <w14:solidFill>
                  <w14:schemeClr w14:val="tx1"/>
                </w14:solidFill>
              </w14:textFill>
            </w:rPr>
            <w:fldChar w:fldCharType="separate"/>
          </w:r>
          <w:r>
            <w:rPr>
              <w:b w:val="0"/>
              <w:bCs w:val="0"/>
              <w:color w:val="000000" w:themeColor="text1"/>
              <w:sz w:val="24"/>
              <w:szCs w:val="24"/>
              <w14:textFill>
                <w14:solidFill>
                  <w14:schemeClr w14:val="tx1"/>
                </w14:solidFill>
              </w14:textFill>
            </w:rPr>
            <w:t>123</w:t>
          </w:r>
          <w:r>
            <w:rPr>
              <w:b w:val="0"/>
              <w:bCs w:val="0"/>
              <w:color w:val="000000" w:themeColor="text1"/>
              <w:sz w:val="24"/>
              <w:szCs w:val="24"/>
              <w14:textFill>
                <w14:solidFill>
                  <w14:schemeClr w14:val="tx1"/>
                </w14:solidFill>
              </w14:textFill>
            </w:rPr>
            <w:fldChar w:fldCharType="end"/>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end"/>
          </w:r>
        </w:p>
        <w:p w14:paraId="688FFCE0">
          <w:pPr>
            <w:pStyle w:val="19"/>
            <w:keepNext w:val="0"/>
            <w:keepLines w:val="0"/>
            <w:pageBreakBefore w:val="0"/>
            <w:widowControl w:val="0"/>
            <w:tabs>
              <w:tab w:val="right" w:leader="dot" w:pos="9740"/>
            </w:tabs>
            <w:kinsoku/>
            <w:wordWrap/>
            <w:overflowPunct/>
            <w:topLinePunct w:val="0"/>
            <w:autoSpaceDE/>
            <w:autoSpaceDN/>
            <w:bidi w:val="0"/>
            <w:adjustRightInd/>
            <w:snapToGrid/>
            <w:spacing w:line="360" w:lineRule="auto"/>
            <w:textAlignment w:val="auto"/>
            <w:rPr>
              <w:b w:val="0"/>
              <w:bCs w:val="0"/>
              <w:color w:val="000000" w:themeColor="text1"/>
              <w:sz w:val="24"/>
              <w:szCs w:val="24"/>
              <w14:textFill>
                <w14:solidFill>
                  <w14:schemeClr w14:val="tx1"/>
                </w14:solidFill>
              </w14:textFill>
            </w:rPr>
          </w:pP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begin"/>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instrText xml:space="preserve"> HYPERLINK \l _Toc26207 </w:instrText>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separate"/>
          </w:r>
          <w:r>
            <w:rPr>
              <w:b w:val="0"/>
              <w:bCs w:val="0"/>
              <w:color w:val="000000" w:themeColor="text1"/>
              <w:sz w:val="24"/>
              <w:szCs w:val="24"/>
              <w14:textFill>
                <w14:solidFill>
                  <w14:schemeClr w14:val="tx1"/>
                </w14:solidFill>
              </w14:textFill>
            </w:rPr>
            <w:t>五、环境保护措施监督检查清单</w:t>
          </w:r>
          <w:r>
            <w:rPr>
              <w:b w:val="0"/>
              <w:bCs w:val="0"/>
              <w:color w:val="000000" w:themeColor="text1"/>
              <w:sz w:val="24"/>
              <w:szCs w:val="24"/>
              <w14:textFill>
                <w14:solidFill>
                  <w14:schemeClr w14:val="tx1"/>
                </w14:solidFill>
              </w14:textFill>
            </w:rPr>
            <w:tab/>
          </w:r>
          <w:r>
            <w:rPr>
              <w:b w:val="0"/>
              <w:bCs w:val="0"/>
              <w:color w:val="000000" w:themeColor="text1"/>
              <w:sz w:val="24"/>
              <w:szCs w:val="24"/>
              <w14:textFill>
                <w14:solidFill>
                  <w14:schemeClr w14:val="tx1"/>
                </w14:solidFill>
              </w14:textFill>
            </w:rPr>
            <w:fldChar w:fldCharType="begin"/>
          </w:r>
          <w:r>
            <w:rPr>
              <w:b w:val="0"/>
              <w:bCs w:val="0"/>
              <w:color w:val="000000" w:themeColor="text1"/>
              <w:sz w:val="24"/>
              <w:szCs w:val="24"/>
              <w14:textFill>
                <w14:solidFill>
                  <w14:schemeClr w14:val="tx1"/>
                </w14:solidFill>
              </w14:textFill>
            </w:rPr>
            <w:instrText xml:space="preserve"> PAGEREF _Toc26207 \h </w:instrText>
          </w:r>
          <w:r>
            <w:rPr>
              <w:b w:val="0"/>
              <w:bCs w:val="0"/>
              <w:color w:val="000000" w:themeColor="text1"/>
              <w:sz w:val="24"/>
              <w:szCs w:val="24"/>
              <w14:textFill>
                <w14:solidFill>
                  <w14:schemeClr w14:val="tx1"/>
                </w14:solidFill>
              </w14:textFill>
            </w:rPr>
            <w:fldChar w:fldCharType="separate"/>
          </w:r>
          <w:r>
            <w:rPr>
              <w:b w:val="0"/>
              <w:bCs w:val="0"/>
              <w:color w:val="000000" w:themeColor="text1"/>
              <w:sz w:val="24"/>
              <w:szCs w:val="24"/>
              <w14:textFill>
                <w14:solidFill>
                  <w14:schemeClr w14:val="tx1"/>
                </w14:solidFill>
              </w14:textFill>
            </w:rPr>
            <w:t>215</w:t>
          </w:r>
          <w:r>
            <w:rPr>
              <w:b w:val="0"/>
              <w:bCs w:val="0"/>
              <w:color w:val="000000" w:themeColor="text1"/>
              <w:sz w:val="24"/>
              <w:szCs w:val="24"/>
              <w14:textFill>
                <w14:solidFill>
                  <w14:schemeClr w14:val="tx1"/>
                </w14:solidFill>
              </w14:textFill>
            </w:rPr>
            <w:fldChar w:fldCharType="end"/>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end"/>
          </w:r>
        </w:p>
        <w:p w14:paraId="2C43536C">
          <w:pPr>
            <w:pStyle w:val="19"/>
            <w:keepNext w:val="0"/>
            <w:keepLines w:val="0"/>
            <w:pageBreakBefore w:val="0"/>
            <w:widowControl w:val="0"/>
            <w:tabs>
              <w:tab w:val="right" w:leader="dot" w:pos="9740"/>
            </w:tabs>
            <w:kinsoku/>
            <w:wordWrap/>
            <w:overflowPunct/>
            <w:topLinePunct w:val="0"/>
            <w:autoSpaceDE/>
            <w:autoSpaceDN/>
            <w:bidi w:val="0"/>
            <w:adjustRightInd/>
            <w:snapToGrid/>
            <w:spacing w:line="360" w:lineRule="auto"/>
            <w:textAlignment w:val="auto"/>
            <w:rPr>
              <w:b w:val="0"/>
              <w:bCs w:val="0"/>
              <w:color w:val="000000" w:themeColor="text1"/>
              <w:sz w:val="24"/>
              <w:szCs w:val="24"/>
              <w14:textFill>
                <w14:solidFill>
                  <w14:schemeClr w14:val="tx1"/>
                </w14:solidFill>
              </w14:textFill>
            </w:rPr>
          </w:pP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begin"/>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instrText xml:space="preserve"> HYPERLINK \l _Toc30381 </w:instrText>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separate"/>
          </w:r>
          <w:r>
            <w:rPr>
              <w:b w:val="0"/>
              <w:bCs w:val="0"/>
              <w:color w:val="000000" w:themeColor="text1"/>
              <w:sz w:val="24"/>
              <w:szCs w:val="24"/>
              <w14:textFill>
                <w14:solidFill>
                  <w14:schemeClr w14:val="tx1"/>
                </w14:solidFill>
              </w14:textFill>
            </w:rPr>
            <w:t>六、结论</w:t>
          </w:r>
          <w:r>
            <w:rPr>
              <w:b w:val="0"/>
              <w:bCs w:val="0"/>
              <w:color w:val="000000" w:themeColor="text1"/>
              <w:sz w:val="24"/>
              <w:szCs w:val="24"/>
              <w14:textFill>
                <w14:solidFill>
                  <w14:schemeClr w14:val="tx1"/>
                </w14:solidFill>
              </w14:textFill>
            </w:rPr>
            <w:tab/>
          </w:r>
          <w:r>
            <w:rPr>
              <w:b w:val="0"/>
              <w:bCs w:val="0"/>
              <w:color w:val="000000" w:themeColor="text1"/>
              <w:sz w:val="24"/>
              <w:szCs w:val="24"/>
              <w14:textFill>
                <w14:solidFill>
                  <w14:schemeClr w14:val="tx1"/>
                </w14:solidFill>
              </w14:textFill>
            </w:rPr>
            <w:fldChar w:fldCharType="begin"/>
          </w:r>
          <w:r>
            <w:rPr>
              <w:b w:val="0"/>
              <w:bCs w:val="0"/>
              <w:color w:val="000000" w:themeColor="text1"/>
              <w:sz w:val="24"/>
              <w:szCs w:val="24"/>
              <w14:textFill>
                <w14:solidFill>
                  <w14:schemeClr w14:val="tx1"/>
                </w14:solidFill>
              </w14:textFill>
            </w:rPr>
            <w:instrText xml:space="preserve"> PAGEREF _Toc30381 \h </w:instrText>
          </w:r>
          <w:r>
            <w:rPr>
              <w:b w:val="0"/>
              <w:bCs w:val="0"/>
              <w:color w:val="000000" w:themeColor="text1"/>
              <w:sz w:val="24"/>
              <w:szCs w:val="24"/>
              <w14:textFill>
                <w14:solidFill>
                  <w14:schemeClr w14:val="tx1"/>
                </w14:solidFill>
              </w14:textFill>
            </w:rPr>
            <w:fldChar w:fldCharType="separate"/>
          </w:r>
          <w:r>
            <w:rPr>
              <w:b w:val="0"/>
              <w:bCs w:val="0"/>
              <w:color w:val="000000" w:themeColor="text1"/>
              <w:sz w:val="24"/>
              <w:szCs w:val="24"/>
              <w14:textFill>
                <w14:solidFill>
                  <w14:schemeClr w14:val="tx1"/>
                </w14:solidFill>
              </w14:textFill>
            </w:rPr>
            <w:t>222</w:t>
          </w:r>
          <w:r>
            <w:rPr>
              <w:b w:val="0"/>
              <w:bCs w:val="0"/>
              <w:color w:val="000000" w:themeColor="text1"/>
              <w:sz w:val="24"/>
              <w:szCs w:val="24"/>
              <w14:textFill>
                <w14:solidFill>
                  <w14:schemeClr w14:val="tx1"/>
                </w14:solidFill>
              </w14:textFill>
            </w:rPr>
            <w:fldChar w:fldCharType="end"/>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end"/>
          </w:r>
        </w:p>
        <w:p w14:paraId="251BB98D">
          <w:pPr>
            <w:pStyle w:val="19"/>
            <w:keepNext w:val="0"/>
            <w:keepLines w:val="0"/>
            <w:pageBreakBefore w:val="0"/>
            <w:widowControl w:val="0"/>
            <w:tabs>
              <w:tab w:val="right" w:leader="dot" w:pos="9740"/>
            </w:tabs>
            <w:kinsoku/>
            <w:wordWrap/>
            <w:overflowPunct/>
            <w:topLinePunct w:val="0"/>
            <w:autoSpaceDE/>
            <w:autoSpaceDN/>
            <w:bidi w:val="0"/>
            <w:adjustRightInd/>
            <w:snapToGrid/>
            <w:spacing w:line="360" w:lineRule="auto"/>
            <w:textAlignment w:val="auto"/>
            <w:rPr>
              <w:b w:val="0"/>
              <w:bCs w:val="0"/>
              <w:color w:val="000000" w:themeColor="text1"/>
              <w14:textFill>
                <w14:solidFill>
                  <w14:schemeClr w14:val="tx1"/>
                </w14:solidFill>
              </w14:textFill>
            </w:rPr>
          </w:pP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begin"/>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instrText xml:space="preserve"> HYPERLINK \l _Toc5188 </w:instrText>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separate"/>
          </w:r>
          <w:r>
            <w:rPr>
              <w:rFonts w:hint="eastAsia" w:ascii="宋体" w:hAnsi="宋体" w:eastAsia="宋体" w:cs="宋体"/>
              <w:b w:val="0"/>
              <w:bCs w:val="0"/>
              <w:snapToGrid w:val="0"/>
              <w:color w:val="000000" w:themeColor="text1"/>
              <w:sz w:val="24"/>
              <w:szCs w:val="24"/>
              <w14:textFill>
                <w14:solidFill>
                  <w14:schemeClr w14:val="tx1"/>
                </w14:solidFill>
              </w14:textFill>
            </w:rPr>
            <w:t>附表</w:t>
          </w:r>
          <w:r>
            <w:rPr>
              <w:b w:val="0"/>
              <w:bCs w:val="0"/>
              <w:color w:val="000000" w:themeColor="text1"/>
              <w:sz w:val="24"/>
              <w:szCs w:val="24"/>
              <w14:textFill>
                <w14:solidFill>
                  <w14:schemeClr w14:val="tx1"/>
                </w14:solidFill>
              </w14:textFill>
            </w:rPr>
            <w:tab/>
          </w:r>
          <w:r>
            <w:rPr>
              <w:b w:val="0"/>
              <w:bCs w:val="0"/>
              <w:color w:val="000000" w:themeColor="text1"/>
              <w:sz w:val="24"/>
              <w:szCs w:val="24"/>
              <w14:textFill>
                <w14:solidFill>
                  <w14:schemeClr w14:val="tx1"/>
                </w14:solidFill>
              </w14:textFill>
            </w:rPr>
            <w:fldChar w:fldCharType="begin"/>
          </w:r>
          <w:r>
            <w:rPr>
              <w:b w:val="0"/>
              <w:bCs w:val="0"/>
              <w:color w:val="000000" w:themeColor="text1"/>
              <w:sz w:val="24"/>
              <w:szCs w:val="24"/>
              <w14:textFill>
                <w14:solidFill>
                  <w14:schemeClr w14:val="tx1"/>
                </w14:solidFill>
              </w14:textFill>
            </w:rPr>
            <w:instrText xml:space="preserve"> PAGEREF _Toc5188 \h </w:instrText>
          </w:r>
          <w:r>
            <w:rPr>
              <w:b w:val="0"/>
              <w:bCs w:val="0"/>
              <w:color w:val="000000" w:themeColor="text1"/>
              <w:sz w:val="24"/>
              <w:szCs w:val="24"/>
              <w14:textFill>
                <w14:solidFill>
                  <w14:schemeClr w14:val="tx1"/>
                </w14:solidFill>
              </w14:textFill>
            </w:rPr>
            <w:fldChar w:fldCharType="separate"/>
          </w:r>
          <w:r>
            <w:rPr>
              <w:b w:val="0"/>
              <w:bCs w:val="0"/>
              <w:color w:val="000000" w:themeColor="text1"/>
              <w:sz w:val="24"/>
              <w:szCs w:val="24"/>
              <w14:textFill>
                <w14:solidFill>
                  <w14:schemeClr w14:val="tx1"/>
                </w14:solidFill>
              </w14:textFill>
            </w:rPr>
            <w:t>223</w:t>
          </w:r>
          <w:r>
            <w:rPr>
              <w:b w:val="0"/>
              <w:bCs w:val="0"/>
              <w:color w:val="000000" w:themeColor="text1"/>
              <w:sz w:val="24"/>
              <w:szCs w:val="24"/>
              <w14:textFill>
                <w14:solidFill>
                  <w14:schemeClr w14:val="tx1"/>
                </w14:solidFill>
              </w14:textFill>
            </w:rPr>
            <w:fldChar w:fldCharType="end"/>
          </w:r>
          <w:r>
            <w:rPr>
              <w:rFonts w:ascii="Times New Roman" w:hAnsi="Times New Roman" w:eastAsia="宋体" w:cs="Times New Roman"/>
              <w:b w:val="0"/>
              <w:bCs w:val="0"/>
              <w:color w:val="000000" w:themeColor="text1"/>
              <w:kern w:val="2"/>
              <w:sz w:val="24"/>
              <w:szCs w:val="24"/>
              <w:lang w:val="en-US" w:eastAsia="zh-CN" w:bidi="ar-SA"/>
              <w14:textFill>
                <w14:solidFill>
                  <w14:schemeClr w14:val="tx1"/>
                </w14:solidFill>
              </w14:textFill>
            </w:rPr>
            <w:fldChar w:fldCharType="end"/>
          </w:r>
        </w:p>
        <w:p w14:paraId="0E99E771">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ascii="Times New Roman" w:hAnsi="Times New Roman" w:eastAsia="宋体" w:cs="Times New Roman"/>
              <w:b w:val="0"/>
              <w:bCs w:val="0"/>
              <w:color w:val="000000" w:themeColor="text1"/>
              <w:kern w:val="2"/>
              <w:szCs w:val="24"/>
              <w:lang w:val="en-US" w:eastAsia="zh-CN" w:bidi="ar-SA"/>
              <w14:textFill>
                <w14:solidFill>
                  <w14:schemeClr w14:val="tx1"/>
                </w14:solidFill>
              </w14:textFill>
            </w:rPr>
            <w:fldChar w:fldCharType="end"/>
          </w:r>
        </w:p>
      </w:sdtContent>
    </w:sdt>
    <w:p w14:paraId="28E695D0">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color w:val="000000" w:themeColor="text1"/>
          <w:kern w:val="2"/>
          <w:sz w:val="21"/>
          <w:szCs w:val="24"/>
          <w:lang w:val="en-US" w:eastAsia="zh-CN" w:bidi="ar-SA"/>
          <w14:textFill>
            <w14:solidFill>
              <w14:schemeClr w14:val="tx1"/>
            </w14:solidFill>
          </w14:textFill>
        </w:rPr>
        <w:sectPr>
          <w:pgSz w:w="11906" w:h="16838"/>
          <w:pgMar w:top="1440" w:right="1083" w:bottom="1440" w:left="1083" w:header="851" w:footer="992" w:gutter="0"/>
          <w:cols w:space="0" w:num="1"/>
          <w:docGrid w:type="lines" w:linePitch="312" w:charSpace="0"/>
        </w:sectPr>
      </w:pPr>
    </w:p>
    <w:p w14:paraId="13F260C6">
      <w:pPr>
        <w:pStyle w:val="3"/>
        <w:bidi w:val="0"/>
        <w:jc w:val="center"/>
        <w:outlineLvl w:val="0"/>
        <w:rPr>
          <w:rFonts w:hint="default"/>
          <w:color w:val="000000" w:themeColor="text1"/>
          <w14:textFill>
            <w14:solidFill>
              <w14:schemeClr w14:val="tx1"/>
            </w14:solidFill>
          </w14:textFill>
        </w:rPr>
      </w:pPr>
      <w:bookmarkStart w:id="0" w:name="_Toc6976"/>
      <w:r>
        <w:rPr>
          <w:color w:val="000000" w:themeColor="text1"/>
          <w14:textFill>
            <w14:solidFill>
              <w14:schemeClr w14:val="tx1"/>
            </w14:solidFill>
          </w14:textFill>
        </w:rPr>
        <w:t>一、建设项目基本情况</w:t>
      </w:r>
      <w:bookmarkEnd w:id="0"/>
    </w:p>
    <w:tbl>
      <w:tblPr>
        <w:tblStyle w:val="25"/>
        <w:tblW w:w="4984"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192"/>
        <w:gridCol w:w="3182"/>
        <w:gridCol w:w="2149"/>
        <w:gridCol w:w="3212"/>
      </w:tblGrid>
      <w:tr w14:paraId="765A9B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54" w:hRule="atLeast"/>
          <w:jc w:val="center"/>
        </w:trPr>
        <w:tc>
          <w:tcPr>
            <w:tcW w:w="618" w:type="pct"/>
            <w:tcMar>
              <w:top w:w="16" w:type="dxa"/>
              <w:left w:w="16" w:type="dxa"/>
              <w:right w:w="16" w:type="dxa"/>
            </w:tcMar>
            <w:vAlign w:val="center"/>
          </w:tcPr>
          <w:p w14:paraId="64F5A661">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建设项目</w:t>
            </w:r>
          </w:p>
          <w:p w14:paraId="11DC41CF">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名称</w:t>
            </w:r>
          </w:p>
        </w:tc>
        <w:tc>
          <w:tcPr>
            <w:tcW w:w="4381" w:type="pct"/>
            <w:gridSpan w:val="3"/>
            <w:vAlign w:val="center"/>
          </w:tcPr>
          <w:p w14:paraId="6BFF1841">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华陀酒业（河南）有限公司酒品、饮料及医疗器械生产项目</w:t>
            </w:r>
          </w:p>
        </w:tc>
      </w:tr>
      <w:tr w14:paraId="22165C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tcMar>
              <w:top w:w="16" w:type="dxa"/>
              <w:left w:w="16" w:type="dxa"/>
              <w:right w:w="16" w:type="dxa"/>
            </w:tcMar>
            <w:vAlign w:val="center"/>
          </w:tcPr>
          <w:p w14:paraId="7ABEFE95">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项目代码</w:t>
            </w:r>
          </w:p>
        </w:tc>
        <w:tc>
          <w:tcPr>
            <w:tcW w:w="4381" w:type="pct"/>
            <w:gridSpan w:val="3"/>
            <w:vAlign w:val="center"/>
          </w:tcPr>
          <w:p w14:paraId="42D9871A">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2409-411324-04-01-535468</w:t>
            </w:r>
          </w:p>
        </w:tc>
      </w:tr>
      <w:tr w14:paraId="6BD233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tcMar>
              <w:top w:w="16" w:type="dxa"/>
              <w:left w:w="16" w:type="dxa"/>
              <w:right w:w="16" w:type="dxa"/>
            </w:tcMar>
            <w:vAlign w:val="center"/>
          </w:tcPr>
          <w:p w14:paraId="2256A45C">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建设单位</w:t>
            </w:r>
          </w:p>
          <w:p w14:paraId="65A1AF43">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联系人</w:t>
            </w:r>
          </w:p>
        </w:tc>
        <w:tc>
          <w:tcPr>
            <w:tcW w:w="1632" w:type="pct"/>
            <w:vAlign w:val="center"/>
          </w:tcPr>
          <w:p w14:paraId="27D80971">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田华文</w:t>
            </w:r>
          </w:p>
        </w:tc>
        <w:tc>
          <w:tcPr>
            <w:tcW w:w="1102" w:type="pct"/>
            <w:vAlign w:val="center"/>
          </w:tcPr>
          <w:p w14:paraId="4AA4F185">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联系方式</w:t>
            </w:r>
          </w:p>
        </w:tc>
        <w:tc>
          <w:tcPr>
            <w:tcW w:w="1647" w:type="pct"/>
            <w:vAlign w:val="center"/>
          </w:tcPr>
          <w:p w14:paraId="5C74096A">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17737759888</w:t>
            </w:r>
          </w:p>
        </w:tc>
      </w:tr>
      <w:tr w14:paraId="5C87B8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tcMar>
              <w:top w:w="16" w:type="dxa"/>
              <w:left w:w="16" w:type="dxa"/>
              <w:right w:w="16" w:type="dxa"/>
            </w:tcMar>
            <w:vAlign w:val="center"/>
          </w:tcPr>
          <w:p w14:paraId="5F98CE25">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建设地点</w:t>
            </w:r>
          </w:p>
        </w:tc>
        <w:tc>
          <w:tcPr>
            <w:tcW w:w="4381" w:type="pct"/>
            <w:gridSpan w:val="3"/>
            <w:vAlign w:val="center"/>
          </w:tcPr>
          <w:p w14:paraId="1747B003">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南阳市镇平县玉都工业园区新星路8号</w:t>
            </w:r>
          </w:p>
        </w:tc>
      </w:tr>
      <w:tr w14:paraId="1ACE05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tcMar>
              <w:top w:w="16" w:type="dxa"/>
              <w:left w:w="16" w:type="dxa"/>
              <w:right w:w="16" w:type="dxa"/>
            </w:tcMar>
            <w:vAlign w:val="center"/>
          </w:tcPr>
          <w:p w14:paraId="7442D3FA">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地理坐标</w:t>
            </w:r>
          </w:p>
        </w:tc>
        <w:tc>
          <w:tcPr>
            <w:tcW w:w="4381" w:type="pct"/>
            <w:gridSpan w:val="3"/>
            <w:vAlign w:val="center"/>
          </w:tcPr>
          <w:p w14:paraId="76CF3880">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color w:val="000000" w:themeColor="text1"/>
                <w:sz w:val="24"/>
                <w:u w:val="single"/>
                <w14:textFill>
                  <w14:solidFill>
                    <w14:schemeClr w14:val="tx1"/>
                  </w14:solidFill>
                </w14:textFill>
              </w:rPr>
              <w:t>112</w:t>
            </w:r>
            <w:r>
              <w:rPr>
                <w:color w:val="000000" w:themeColor="text1"/>
                <w:sz w:val="24"/>
                <w14:textFill>
                  <w14:solidFill>
                    <w14:schemeClr w14:val="tx1"/>
                  </w14:solidFill>
                </w14:textFill>
              </w:rPr>
              <w:t>度</w:t>
            </w:r>
            <w:r>
              <w:rPr>
                <w:rFonts w:hint="eastAsia"/>
                <w:color w:val="000000" w:themeColor="text1"/>
                <w:sz w:val="24"/>
                <w:u w:val="single"/>
                <w14:textFill>
                  <w14:solidFill>
                    <w14:schemeClr w14:val="tx1"/>
                  </w14:solidFill>
                </w14:textFill>
              </w:rPr>
              <w:t>12</w:t>
            </w:r>
            <w:r>
              <w:rPr>
                <w:color w:val="000000" w:themeColor="text1"/>
                <w:sz w:val="24"/>
                <w14:textFill>
                  <w14:solidFill>
                    <w14:schemeClr w14:val="tx1"/>
                  </w14:solidFill>
                </w14:textFill>
              </w:rPr>
              <w:t>分</w:t>
            </w:r>
            <w:r>
              <w:rPr>
                <w:rFonts w:hint="eastAsia"/>
                <w:color w:val="000000" w:themeColor="text1"/>
                <w:sz w:val="24"/>
                <w:u w:val="single"/>
                <w:lang w:val="en-US" w:eastAsia="zh-CN"/>
                <w14:textFill>
                  <w14:solidFill>
                    <w14:schemeClr w14:val="tx1"/>
                  </w14:solidFill>
                </w14:textFill>
              </w:rPr>
              <w:t>11</w:t>
            </w:r>
            <w:r>
              <w:rPr>
                <w:rFonts w:hint="eastAsia"/>
                <w:color w:val="000000" w:themeColor="text1"/>
                <w:sz w:val="24"/>
                <w:u w:val="single"/>
                <w14:textFill>
                  <w14:solidFill>
                    <w14:schemeClr w14:val="tx1"/>
                  </w14:solidFill>
                </w14:textFill>
              </w:rPr>
              <w:t>.</w:t>
            </w:r>
            <w:r>
              <w:rPr>
                <w:rFonts w:hint="eastAsia"/>
                <w:color w:val="000000" w:themeColor="text1"/>
                <w:sz w:val="24"/>
                <w:u w:val="single"/>
                <w:lang w:val="en-US" w:eastAsia="zh-CN"/>
                <w14:textFill>
                  <w14:solidFill>
                    <w14:schemeClr w14:val="tx1"/>
                  </w14:solidFill>
                </w14:textFill>
              </w:rPr>
              <w:t>150</w:t>
            </w:r>
            <w:r>
              <w:rPr>
                <w:color w:val="000000" w:themeColor="text1"/>
                <w:sz w:val="24"/>
                <w14:textFill>
                  <w14:solidFill>
                    <w14:schemeClr w14:val="tx1"/>
                  </w14:solidFill>
                </w14:textFill>
              </w:rPr>
              <w:t>秒，</w:t>
            </w:r>
            <w:r>
              <w:rPr>
                <w:color w:val="000000" w:themeColor="text1"/>
                <w:sz w:val="24"/>
                <w:u w:val="single"/>
                <w14:textFill>
                  <w14:solidFill>
                    <w14:schemeClr w14:val="tx1"/>
                  </w14:solidFill>
                </w14:textFill>
              </w:rPr>
              <w:t>3</w:t>
            </w:r>
            <w:r>
              <w:rPr>
                <w:rFonts w:hint="eastAsia"/>
                <w:color w:val="000000" w:themeColor="text1"/>
                <w:sz w:val="24"/>
                <w:u w:val="single"/>
                <w14:textFill>
                  <w14:solidFill>
                    <w14:schemeClr w14:val="tx1"/>
                  </w14:solidFill>
                </w14:textFill>
              </w:rPr>
              <w:t>3</w:t>
            </w:r>
            <w:r>
              <w:rPr>
                <w:color w:val="000000" w:themeColor="text1"/>
                <w:sz w:val="24"/>
                <w14:textFill>
                  <w14:solidFill>
                    <w14:schemeClr w14:val="tx1"/>
                  </w14:solidFill>
                </w14:textFill>
              </w:rPr>
              <w:t>度</w:t>
            </w:r>
            <w:r>
              <w:rPr>
                <w:rFonts w:hint="eastAsia"/>
                <w:color w:val="000000" w:themeColor="text1"/>
                <w:sz w:val="24"/>
                <w:u w:val="single"/>
                <w14:textFill>
                  <w14:solidFill>
                    <w14:schemeClr w14:val="tx1"/>
                  </w14:solidFill>
                </w14:textFill>
              </w:rPr>
              <w:t>03</w:t>
            </w:r>
            <w:r>
              <w:rPr>
                <w:color w:val="000000" w:themeColor="text1"/>
                <w:sz w:val="24"/>
                <w14:textFill>
                  <w14:solidFill>
                    <w14:schemeClr w14:val="tx1"/>
                  </w14:solidFill>
                </w14:textFill>
              </w:rPr>
              <w:t>分</w:t>
            </w:r>
            <w:r>
              <w:rPr>
                <w:rFonts w:hint="eastAsia"/>
                <w:color w:val="000000" w:themeColor="text1"/>
                <w:sz w:val="24"/>
                <w:u w:val="single"/>
                <w14:textFill>
                  <w14:solidFill>
                    <w14:schemeClr w14:val="tx1"/>
                  </w14:solidFill>
                </w14:textFill>
              </w:rPr>
              <w:t>4</w:t>
            </w:r>
            <w:r>
              <w:rPr>
                <w:rFonts w:hint="eastAsia"/>
                <w:color w:val="000000" w:themeColor="text1"/>
                <w:sz w:val="24"/>
                <w:u w:val="single"/>
                <w:lang w:val="en-US" w:eastAsia="zh-CN"/>
                <w14:textFill>
                  <w14:solidFill>
                    <w14:schemeClr w14:val="tx1"/>
                  </w14:solidFill>
                </w14:textFill>
              </w:rPr>
              <w:t>7.917</w:t>
            </w:r>
            <w:r>
              <w:rPr>
                <w:color w:val="000000" w:themeColor="text1"/>
                <w:sz w:val="24"/>
                <w14:textFill>
                  <w14:solidFill>
                    <w14:schemeClr w14:val="tx1"/>
                  </w14:solidFill>
                </w14:textFill>
              </w:rPr>
              <w:t>秒）</w:t>
            </w:r>
          </w:p>
        </w:tc>
      </w:tr>
      <w:tr w14:paraId="7AFA47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tcMar>
              <w:top w:w="16" w:type="dxa"/>
              <w:left w:w="16" w:type="dxa"/>
              <w:right w:w="16" w:type="dxa"/>
            </w:tcMar>
            <w:vAlign w:val="center"/>
          </w:tcPr>
          <w:p w14:paraId="2E12310B">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国民经济行业类别</w:t>
            </w:r>
          </w:p>
        </w:tc>
        <w:tc>
          <w:tcPr>
            <w:tcW w:w="1632" w:type="pct"/>
            <w:vAlign w:val="center"/>
          </w:tcPr>
          <w:p w14:paraId="15F87B2C">
            <w:pPr>
              <w:adjustRightInd w:val="0"/>
              <w:snapToGrid w:val="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C1512 白酒制造</w:t>
            </w:r>
          </w:p>
          <w:p w14:paraId="0EA917B5">
            <w:pPr>
              <w:adjustRightInd w:val="0"/>
              <w:snapToGrid w:val="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C1513 啤酒制造</w:t>
            </w:r>
          </w:p>
          <w:p w14:paraId="4787765E">
            <w:pPr>
              <w:adjustRightInd w:val="0"/>
              <w:snapToGrid w:val="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C1514 黄酒制造</w:t>
            </w:r>
          </w:p>
          <w:p w14:paraId="589E3ECD">
            <w:pPr>
              <w:adjustRightInd w:val="0"/>
              <w:snapToGrid w:val="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C151</w:t>
            </w:r>
            <w:r>
              <w:rPr>
                <w:rFonts w:hint="eastAsia"/>
                <w:color w:val="000000" w:themeColor="text1"/>
                <w:sz w:val="24"/>
                <w:lang w:val="en-US" w:eastAsia="zh-CN"/>
                <w14:textFill>
                  <w14:solidFill>
                    <w14:schemeClr w14:val="tx1"/>
                  </w14:solidFill>
                </w14:textFill>
              </w:rPr>
              <w:t>5</w:t>
            </w:r>
            <w:r>
              <w:rPr>
                <w:rFonts w:hint="eastAsia"/>
                <w:color w:val="000000" w:themeColor="text1"/>
                <w:sz w:val="24"/>
                <w14:textFill>
                  <w14:solidFill>
                    <w14:schemeClr w14:val="tx1"/>
                  </w14:solidFill>
                </w14:textFill>
              </w:rPr>
              <w:t xml:space="preserve"> </w:t>
            </w:r>
            <w:r>
              <w:rPr>
                <w:rFonts w:hint="eastAsia"/>
                <w:color w:val="000000" w:themeColor="text1"/>
                <w:sz w:val="24"/>
                <w:lang w:val="en-US" w:eastAsia="zh-CN"/>
                <w14:textFill>
                  <w14:solidFill>
                    <w14:schemeClr w14:val="tx1"/>
                  </w14:solidFill>
                </w14:textFill>
              </w:rPr>
              <w:t>葡萄酒制造</w:t>
            </w:r>
          </w:p>
          <w:p w14:paraId="5FBE9E23">
            <w:pPr>
              <w:adjustRightInd w:val="0"/>
              <w:snapToGrid w:val="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C1519 其他酒制造</w:t>
            </w:r>
          </w:p>
          <w:p w14:paraId="1DBAC9EE">
            <w:pPr>
              <w:adjustRightInd w:val="0"/>
              <w:snapToGrid w:val="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C1529 茶饮料及其他饮料制造</w:t>
            </w:r>
          </w:p>
          <w:p w14:paraId="54227C23">
            <w:pPr>
              <w:adjustRightInd w:val="0"/>
              <w:snapToGrid w:val="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C1530 精制茶加工</w:t>
            </w:r>
          </w:p>
          <w:p w14:paraId="0A9F02D1">
            <w:pPr>
              <w:adjustRightInd w:val="0"/>
              <w:snapToGrid w:val="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C2770 卫生材料及医药用品制造</w:t>
            </w:r>
          </w:p>
          <w:p w14:paraId="04FBB974">
            <w:pPr>
              <w:adjustRightInd w:val="0"/>
              <w:snapToGrid w:val="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D4430热力生产和供应行业</w:t>
            </w:r>
          </w:p>
        </w:tc>
        <w:tc>
          <w:tcPr>
            <w:tcW w:w="1102" w:type="pct"/>
            <w:vAlign w:val="center"/>
          </w:tcPr>
          <w:p w14:paraId="36D7B854">
            <w:pPr>
              <w:adjustRightInd w:val="0"/>
              <w:snapToGrid w:val="0"/>
              <w:jc w:val="center"/>
              <w:rPr>
                <w:color w:val="000000" w:themeColor="text1"/>
                <w:sz w:val="24"/>
                <w14:textFill>
                  <w14:solidFill>
                    <w14:schemeClr w14:val="tx1"/>
                  </w14:solidFill>
                </w14:textFill>
              </w:rPr>
            </w:pPr>
            <w:bookmarkStart w:id="1" w:name="_Hlk49843745"/>
            <w:r>
              <w:rPr>
                <w:color w:val="000000" w:themeColor="text1"/>
                <w:sz w:val="24"/>
                <w14:textFill>
                  <w14:solidFill>
                    <w14:schemeClr w14:val="tx1"/>
                  </w14:solidFill>
                </w14:textFill>
              </w:rPr>
              <w:t>建设项目行业类别</w:t>
            </w:r>
            <w:bookmarkEnd w:id="1"/>
          </w:p>
        </w:tc>
        <w:tc>
          <w:tcPr>
            <w:tcW w:w="1647" w:type="pct"/>
            <w:vAlign w:val="center"/>
          </w:tcPr>
          <w:p w14:paraId="6B28B874">
            <w:pPr>
              <w:adjustRightInd w:val="0"/>
              <w:snapToGrid w:val="0"/>
              <w:rPr>
                <w:color w:val="000000" w:themeColor="text1"/>
                <w:sz w:val="24"/>
                <w14:textFill>
                  <w14:solidFill>
                    <w14:schemeClr w14:val="tx1"/>
                  </w14:solidFill>
                </w14:textFill>
              </w:rPr>
            </w:pPr>
            <w:r>
              <w:rPr>
                <w:color w:val="000000" w:themeColor="text1"/>
                <w:sz w:val="24"/>
                <w14:textFill>
                  <w14:solidFill>
                    <w14:schemeClr w14:val="tx1"/>
                  </w14:solidFill>
                </w14:textFill>
              </w:rPr>
              <w:t>十二、酒、饮料制造业 15</w:t>
            </w:r>
            <w:r>
              <w:rPr>
                <w:rFonts w:hint="eastAsia"/>
                <w:color w:val="000000" w:themeColor="text1"/>
                <w:sz w:val="24"/>
                <w14:textFill>
                  <w14:solidFill>
                    <w14:schemeClr w14:val="tx1"/>
                  </w14:solidFill>
                </w14:textFill>
              </w:rPr>
              <w:t>—25.酒的制造 151*—其他（单纯勾兑的除外）；26.饮料制造 152*—有发酵工艺、原汁生产的；</w:t>
            </w:r>
          </w:p>
          <w:p w14:paraId="0C765C18">
            <w:pPr>
              <w:adjustRightInd w:val="0"/>
              <w:snapToGrid w:val="0"/>
              <w:rPr>
                <w:rFonts w:hint="eastAsia"/>
                <w:color w:val="000000" w:themeColor="text1"/>
                <w:sz w:val="24"/>
                <w14:textFill>
                  <w14:solidFill>
                    <w14:schemeClr w14:val="tx1"/>
                  </w14:solidFill>
                </w14:textFill>
              </w:rPr>
            </w:pPr>
            <w:r>
              <w:rPr>
                <w:color w:val="000000" w:themeColor="text1"/>
                <w:sz w:val="24"/>
                <w14:textFill>
                  <w14:solidFill>
                    <w14:schemeClr w14:val="tx1"/>
                  </w14:solidFill>
                </w14:textFill>
              </w:rPr>
              <w:t>二十四、医药制造业 27</w:t>
            </w:r>
            <w:r>
              <w:rPr>
                <w:rFonts w:hint="eastAsia"/>
                <w:color w:val="000000" w:themeColor="text1"/>
                <w:sz w:val="24"/>
                <w14:textFill>
                  <w14:solidFill>
                    <w14:schemeClr w14:val="tx1"/>
                  </w14:solidFill>
                </w14:textFill>
              </w:rPr>
              <w:t>—49.卫生材料及医药用品制造 277；药用辅料及包装材料制造278—卫生材料及医药用品制造（仅组装、分装的除外）；含有机合成反应的药用辅料制造；含有机合成反应的包装材料制造；</w:t>
            </w:r>
          </w:p>
          <w:p w14:paraId="33149EC5">
            <w:pPr>
              <w:adjustRightInd w:val="0"/>
              <w:snapToGrid w:val="0"/>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四十一、电力、热力生产和供 应业</w:t>
            </w:r>
            <w:r>
              <w:rPr>
                <w:rFonts w:hint="eastAsia"/>
                <w:color w:val="000000" w:themeColor="text1"/>
                <w:sz w:val="24"/>
                <w:lang w:val="en-US" w:eastAsia="zh-CN"/>
                <w14:textFill>
                  <w14:solidFill>
                    <w14:schemeClr w14:val="tx1"/>
                  </w14:solidFill>
                </w14:textFill>
              </w:rPr>
              <w:t>-</w:t>
            </w:r>
            <w:r>
              <w:rPr>
                <w:rFonts w:hint="eastAsia"/>
                <w:color w:val="000000" w:themeColor="text1"/>
                <w:sz w:val="24"/>
                <w14:textFill>
                  <w14:solidFill>
                    <w14:schemeClr w14:val="tx1"/>
                  </w14:solidFill>
                </w14:textFill>
              </w:rPr>
              <w:t>91、热力生产和供应工程（包括建设单位自建自用的供热工程）—天然气锅炉总容量1吨/小时（0.7兆瓦）以上的</w:t>
            </w:r>
          </w:p>
        </w:tc>
      </w:tr>
      <w:tr w14:paraId="6B046C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tcMar>
              <w:top w:w="16" w:type="dxa"/>
              <w:left w:w="16" w:type="dxa"/>
              <w:right w:w="16" w:type="dxa"/>
            </w:tcMar>
            <w:vAlign w:val="center"/>
          </w:tcPr>
          <w:p w14:paraId="3E940BF9">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建设性质</w:t>
            </w:r>
          </w:p>
        </w:tc>
        <w:tc>
          <w:tcPr>
            <w:tcW w:w="1632" w:type="pct"/>
            <w:vAlign w:val="center"/>
          </w:tcPr>
          <w:p w14:paraId="6D6AAD04">
            <w:pPr>
              <w:jc w:val="left"/>
              <w:rPr>
                <w:color w:val="000000" w:themeColor="text1"/>
                <w:sz w:val="24"/>
                <w14:textFill>
                  <w14:solidFill>
                    <w14:schemeClr w14:val="tx1"/>
                  </w14:solidFill>
                </w14:textFill>
              </w:rPr>
            </w:pPr>
            <w:r>
              <w:rPr>
                <w:color w:val="000000" w:themeColor="text1"/>
                <w:kern w:val="52"/>
                <w:sz w:val="24"/>
                <w14:textFill>
                  <w14:solidFill>
                    <w14:schemeClr w14:val="tx1"/>
                  </w14:solidFill>
                </w14:textFill>
              </w:rPr>
              <w:t>■</w:t>
            </w:r>
            <w:r>
              <w:rPr>
                <w:color w:val="000000" w:themeColor="text1"/>
                <w:sz w:val="24"/>
                <w14:textFill>
                  <w14:solidFill>
                    <w14:schemeClr w14:val="tx1"/>
                  </w14:solidFill>
                </w14:textFill>
              </w:rPr>
              <w:t>新建（迁建）</w:t>
            </w:r>
          </w:p>
          <w:p w14:paraId="47216A1C">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□改建</w:t>
            </w:r>
          </w:p>
          <w:p w14:paraId="00FE3439">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□扩建</w:t>
            </w:r>
          </w:p>
          <w:p w14:paraId="77FCD8B7">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□技术改造</w:t>
            </w:r>
          </w:p>
        </w:tc>
        <w:tc>
          <w:tcPr>
            <w:tcW w:w="1102" w:type="pct"/>
            <w:vAlign w:val="center"/>
          </w:tcPr>
          <w:p w14:paraId="54536362">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建设项目申报情形</w:t>
            </w:r>
          </w:p>
        </w:tc>
        <w:tc>
          <w:tcPr>
            <w:tcW w:w="1647" w:type="pct"/>
            <w:vAlign w:val="center"/>
          </w:tcPr>
          <w:p w14:paraId="14C4DAA3">
            <w:pPr>
              <w:jc w:val="left"/>
              <w:rPr>
                <w:color w:val="000000" w:themeColor="text1"/>
                <w:sz w:val="24"/>
                <w14:textFill>
                  <w14:solidFill>
                    <w14:schemeClr w14:val="tx1"/>
                  </w14:solidFill>
                </w14:textFill>
              </w:rPr>
            </w:pPr>
            <w:r>
              <w:rPr>
                <w:color w:val="000000" w:themeColor="text1"/>
                <w:kern w:val="52"/>
                <w:sz w:val="24"/>
                <w14:textFill>
                  <w14:solidFill>
                    <w14:schemeClr w14:val="tx1"/>
                  </w14:solidFill>
                </w14:textFill>
              </w:rPr>
              <w:t>■</w:t>
            </w:r>
            <w:r>
              <w:rPr>
                <w:color w:val="000000" w:themeColor="text1"/>
                <w:sz w:val="24"/>
                <w14:textFill>
                  <w14:solidFill>
                    <w14:schemeClr w14:val="tx1"/>
                  </w14:solidFill>
                </w14:textFill>
              </w:rPr>
              <w:t>首次申报项目</w:t>
            </w:r>
          </w:p>
          <w:p w14:paraId="3A093620">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□不予批准后再次申报项目</w:t>
            </w:r>
          </w:p>
          <w:p w14:paraId="0375C09D">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□超五年重新审核项目</w:t>
            </w:r>
          </w:p>
          <w:p w14:paraId="39F1B6C8">
            <w:pPr>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□重大变动重新报批项目</w:t>
            </w:r>
          </w:p>
        </w:tc>
      </w:tr>
      <w:tr w14:paraId="0EE126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tcMar>
              <w:top w:w="16" w:type="dxa"/>
              <w:left w:w="16" w:type="dxa"/>
              <w:right w:w="16" w:type="dxa"/>
            </w:tcMar>
            <w:vAlign w:val="center"/>
          </w:tcPr>
          <w:p w14:paraId="7CCC75FC">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项目审批（核准/备案）部门</w:t>
            </w:r>
          </w:p>
        </w:tc>
        <w:tc>
          <w:tcPr>
            <w:tcW w:w="1632" w:type="pct"/>
            <w:vAlign w:val="center"/>
          </w:tcPr>
          <w:p w14:paraId="4EDFCAF3">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镇平县发展和改革委员会</w:t>
            </w:r>
          </w:p>
        </w:tc>
        <w:tc>
          <w:tcPr>
            <w:tcW w:w="1102" w:type="pct"/>
            <w:vAlign w:val="center"/>
          </w:tcPr>
          <w:p w14:paraId="680E3D17">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项目审批（核准/备案）文号</w:t>
            </w:r>
          </w:p>
        </w:tc>
        <w:tc>
          <w:tcPr>
            <w:tcW w:w="1647" w:type="pct"/>
            <w:vAlign w:val="center"/>
          </w:tcPr>
          <w:p w14:paraId="08A74794">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2409-411324-04-01-535468</w:t>
            </w:r>
          </w:p>
        </w:tc>
      </w:tr>
      <w:tr w14:paraId="77338C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54" w:hRule="atLeast"/>
          <w:jc w:val="center"/>
        </w:trPr>
        <w:tc>
          <w:tcPr>
            <w:tcW w:w="618" w:type="pct"/>
            <w:tcMar>
              <w:top w:w="16" w:type="dxa"/>
              <w:left w:w="16" w:type="dxa"/>
              <w:right w:w="16" w:type="dxa"/>
            </w:tcMar>
            <w:vAlign w:val="center"/>
          </w:tcPr>
          <w:p w14:paraId="72E6D131">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总投资</w:t>
            </w:r>
          </w:p>
          <w:p w14:paraId="510658CA">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（万元）</w:t>
            </w:r>
          </w:p>
        </w:tc>
        <w:tc>
          <w:tcPr>
            <w:tcW w:w="1632" w:type="pct"/>
            <w:vAlign w:val="center"/>
          </w:tcPr>
          <w:p w14:paraId="2C309E0E">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11000</w:t>
            </w:r>
          </w:p>
        </w:tc>
        <w:tc>
          <w:tcPr>
            <w:tcW w:w="1102" w:type="pct"/>
            <w:tcMar>
              <w:top w:w="16" w:type="dxa"/>
              <w:left w:w="16" w:type="dxa"/>
              <w:right w:w="16" w:type="dxa"/>
            </w:tcMar>
            <w:vAlign w:val="center"/>
          </w:tcPr>
          <w:p w14:paraId="0EF73CD3">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环保投资（万元）</w:t>
            </w:r>
          </w:p>
        </w:tc>
        <w:tc>
          <w:tcPr>
            <w:tcW w:w="1647" w:type="pct"/>
            <w:vAlign w:val="center"/>
          </w:tcPr>
          <w:p w14:paraId="01BC61D7">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240.5</w:t>
            </w:r>
          </w:p>
        </w:tc>
      </w:tr>
      <w:tr w14:paraId="203A26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tcMar>
              <w:top w:w="16" w:type="dxa"/>
              <w:left w:w="16" w:type="dxa"/>
              <w:right w:w="16" w:type="dxa"/>
            </w:tcMar>
            <w:vAlign w:val="center"/>
          </w:tcPr>
          <w:p w14:paraId="120E4271">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环保投资占比（%）</w:t>
            </w:r>
          </w:p>
        </w:tc>
        <w:tc>
          <w:tcPr>
            <w:tcW w:w="1632" w:type="pct"/>
            <w:vAlign w:val="center"/>
          </w:tcPr>
          <w:p w14:paraId="485F79D8">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2.19</w:t>
            </w:r>
          </w:p>
        </w:tc>
        <w:tc>
          <w:tcPr>
            <w:tcW w:w="1102" w:type="pct"/>
            <w:tcMar>
              <w:top w:w="16" w:type="dxa"/>
              <w:left w:w="16" w:type="dxa"/>
              <w:right w:w="16" w:type="dxa"/>
            </w:tcMar>
            <w:vAlign w:val="center"/>
          </w:tcPr>
          <w:p w14:paraId="6C6818F8">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施工工期</w:t>
            </w:r>
          </w:p>
        </w:tc>
        <w:tc>
          <w:tcPr>
            <w:tcW w:w="1647" w:type="pct"/>
            <w:vAlign w:val="center"/>
          </w:tcPr>
          <w:p w14:paraId="11AF85B6">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6个月</w:t>
            </w:r>
          </w:p>
        </w:tc>
      </w:tr>
      <w:tr w14:paraId="1C1CC3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18" w:type="pct"/>
            <w:tcMar>
              <w:top w:w="16" w:type="dxa"/>
              <w:left w:w="16" w:type="dxa"/>
              <w:right w:w="16" w:type="dxa"/>
            </w:tcMar>
            <w:vAlign w:val="center"/>
          </w:tcPr>
          <w:p w14:paraId="57A5A7D3">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是否开工</w:t>
            </w:r>
          </w:p>
          <w:p w14:paraId="6D976A0B">
            <w:pPr>
              <w:adjustRightInd w:val="0"/>
              <w:snapToGrid w:val="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建设</w:t>
            </w:r>
          </w:p>
        </w:tc>
        <w:tc>
          <w:tcPr>
            <w:tcW w:w="1632" w:type="pct"/>
            <w:vAlign w:val="center"/>
          </w:tcPr>
          <w:p w14:paraId="49624E34">
            <w:pPr>
              <w:adjustRightInd w:val="0"/>
              <w:snapToGrid w:val="0"/>
              <w:rPr>
                <w:color w:val="000000" w:themeColor="text1"/>
                <w:sz w:val="24"/>
                <w14:textFill>
                  <w14:solidFill>
                    <w14:schemeClr w14:val="tx1"/>
                  </w14:solidFill>
                </w14:textFill>
              </w:rPr>
            </w:pPr>
            <w:r>
              <w:rPr>
                <w:color w:val="000000" w:themeColor="text1"/>
                <w:sz w:val="24"/>
                <w14:textFill>
                  <w14:solidFill>
                    <w14:schemeClr w14:val="tx1"/>
                  </w14:solidFill>
                </w14:textFill>
              </w:rPr>
              <w:t>■否</w:t>
            </w:r>
          </w:p>
          <w:p w14:paraId="772E1356">
            <w:pPr>
              <w:adjustRightInd w:val="0"/>
              <w:snapToGrid w:val="0"/>
              <w:rPr>
                <w:color w:val="000000" w:themeColor="text1"/>
                <w:sz w:val="24"/>
                <w14:textFill>
                  <w14:solidFill>
                    <w14:schemeClr w14:val="tx1"/>
                  </w14:solidFill>
                </w14:textFill>
              </w:rPr>
            </w:pPr>
            <w:r>
              <w:rPr>
                <w:color w:val="000000" w:themeColor="text1"/>
                <w:sz w:val="24"/>
                <w14:textFill>
                  <w14:solidFill>
                    <w14:schemeClr w14:val="tx1"/>
                  </w14:solidFill>
                </w14:textFill>
              </w:rPr>
              <w:t>□是：</w:t>
            </w:r>
            <w:r>
              <w:rPr>
                <w:color w:val="000000" w:themeColor="text1"/>
                <w:sz w:val="24"/>
                <w:u w:val="single"/>
                <w14:textFill>
                  <w14:solidFill>
                    <w14:schemeClr w14:val="tx1"/>
                  </w14:solidFill>
                </w14:textFill>
              </w:rPr>
              <w:t xml:space="preserve">          </w:t>
            </w:r>
          </w:p>
        </w:tc>
        <w:tc>
          <w:tcPr>
            <w:tcW w:w="1102" w:type="pct"/>
            <w:tcMar>
              <w:top w:w="16" w:type="dxa"/>
              <w:left w:w="16" w:type="dxa"/>
              <w:right w:w="16" w:type="dxa"/>
            </w:tcMar>
            <w:vAlign w:val="center"/>
          </w:tcPr>
          <w:p w14:paraId="0EA73096">
            <w:pPr>
              <w:adjustRightInd w:val="0"/>
              <w:snapToGrid w:val="0"/>
              <w:jc w:val="center"/>
              <w:rPr>
                <w:color w:val="000000" w:themeColor="text1"/>
                <w:sz w:val="24"/>
                <w14:textFill>
                  <w14:solidFill>
                    <w14:schemeClr w14:val="tx1"/>
                  </w14:solidFill>
                </w14:textFill>
              </w:rPr>
            </w:pPr>
            <w:r>
              <w:rPr>
                <w:color w:val="000000" w:themeColor="text1"/>
                <w:spacing w:val="-6"/>
                <w:sz w:val="24"/>
                <w14:textFill>
                  <w14:solidFill>
                    <w14:schemeClr w14:val="tx1"/>
                  </w14:solidFill>
                </w14:textFill>
              </w:rPr>
              <w:t>用地面积（m</w:t>
            </w:r>
            <w:r>
              <w:rPr>
                <w:color w:val="000000" w:themeColor="text1"/>
                <w:spacing w:val="-6"/>
                <w:sz w:val="24"/>
                <w:vertAlign w:val="superscript"/>
                <w14:textFill>
                  <w14:solidFill>
                    <w14:schemeClr w14:val="tx1"/>
                  </w14:solidFill>
                </w14:textFill>
              </w:rPr>
              <w:t>2</w:t>
            </w:r>
            <w:r>
              <w:rPr>
                <w:color w:val="000000" w:themeColor="text1"/>
                <w:spacing w:val="-6"/>
                <w:sz w:val="24"/>
                <w14:textFill>
                  <w14:solidFill>
                    <w14:schemeClr w14:val="tx1"/>
                  </w14:solidFill>
                </w14:textFill>
              </w:rPr>
              <w:t>）</w:t>
            </w:r>
          </w:p>
        </w:tc>
        <w:tc>
          <w:tcPr>
            <w:tcW w:w="1647" w:type="pct"/>
            <w:vAlign w:val="center"/>
          </w:tcPr>
          <w:p w14:paraId="57765E82">
            <w:pPr>
              <w:adjustRightInd w:val="0"/>
              <w:snapToGrid w:val="0"/>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33320</w:t>
            </w:r>
          </w:p>
        </w:tc>
      </w:tr>
      <w:tr w14:paraId="3B87DF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vAlign w:val="center"/>
          </w:tcPr>
          <w:p w14:paraId="520AAE9B">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专项评价设置情况</w:t>
            </w:r>
          </w:p>
        </w:tc>
        <w:tc>
          <w:tcPr>
            <w:tcW w:w="4381" w:type="pct"/>
            <w:gridSpan w:val="3"/>
            <w:vAlign w:val="center"/>
          </w:tcPr>
          <w:p w14:paraId="344BA52E">
            <w:pPr>
              <w:autoSpaceDE w:val="0"/>
              <w:autoSpaceDN w:val="0"/>
              <w:adjustRightInd w:val="0"/>
              <w:snapToGrid w:val="0"/>
              <w:jc w:val="center"/>
              <w:rPr>
                <w:color w:val="000000" w:themeColor="text1"/>
                <w:kern w:val="0"/>
                <w:sz w:val="24"/>
                <w14:textFill>
                  <w14:solidFill>
                    <w14:schemeClr w14:val="tx1"/>
                  </w14:solidFill>
                </w14:textFill>
              </w:rPr>
            </w:pPr>
            <w:r>
              <w:rPr>
                <w:rFonts w:hint="eastAsia"/>
                <w:color w:val="000000" w:themeColor="text1"/>
                <w:sz w:val="24"/>
                <w14:textFill>
                  <w14:solidFill>
                    <w14:schemeClr w14:val="tx1"/>
                  </w14:solidFill>
                </w14:textFill>
              </w:rPr>
              <w:t>无</w:t>
            </w:r>
          </w:p>
        </w:tc>
      </w:tr>
      <w:tr w14:paraId="20FB54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0" w:hRule="atLeast"/>
          <w:jc w:val="center"/>
        </w:trPr>
        <w:tc>
          <w:tcPr>
            <w:tcW w:w="618" w:type="pct"/>
            <w:vAlign w:val="center"/>
          </w:tcPr>
          <w:p w14:paraId="278650AC">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规划情况</w:t>
            </w:r>
          </w:p>
        </w:tc>
        <w:tc>
          <w:tcPr>
            <w:tcW w:w="4381" w:type="pct"/>
            <w:gridSpan w:val="3"/>
            <w:vAlign w:val="center"/>
          </w:tcPr>
          <w:p w14:paraId="10088811">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规划名称：《镇平县先进制造业开发区发展规划（2022-2035）环境影响报告书》</w:t>
            </w:r>
          </w:p>
          <w:p w14:paraId="32594FA1">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审批机关：河南省发展和改革委员会</w:t>
            </w:r>
          </w:p>
          <w:p w14:paraId="76133DD9">
            <w:pPr>
              <w:autoSpaceDE w:val="0"/>
              <w:autoSpaceDN w:val="0"/>
              <w:adjustRightInd w:val="0"/>
              <w:snapToGrid w:val="0"/>
              <w:jc w:val="left"/>
              <w:rPr>
                <w:color w:val="000000" w:themeColor="text1"/>
                <w:sz w:val="24"/>
                <w14:textFill>
                  <w14:solidFill>
                    <w14:schemeClr w14:val="tx1"/>
                  </w14:solidFill>
                </w14:textFill>
              </w:rPr>
            </w:pPr>
            <w:r>
              <w:rPr>
                <w:rFonts w:hint="eastAsia"/>
                <w:color w:val="000000" w:themeColor="text1"/>
                <w:kern w:val="21"/>
                <w:sz w:val="24"/>
                <w14:textFill>
                  <w14:solidFill>
                    <w14:schemeClr w14:val="tx1"/>
                  </w14:solidFill>
                </w14:textFill>
              </w:rPr>
              <w:t>审批文件名称及文号：《河南省发展和改革委员会关于同意南阳市开发区整合方案的函》（豫发改工业函〔2022〕23号）。</w:t>
            </w:r>
          </w:p>
        </w:tc>
      </w:tr>
      <w:tr w14:paraId="1214BF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vAlign w:val="center"/>
          </w:tcPr>
          <w:p w14:paraId="058ACC0C">
            <w:pPr>
              <w:adjustRightInd w:val="0"/>
              <w:snapToGrid w:val="0"/>
              <w:jc w:val="center"/>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规划环境影响评价情况</w:t>
            </w:r>
          </w:p>
        </w:tc>
        <w:tc>
          <w:tcPr>
            <w:tcW w:w="4381" w:type="pct"/>
            <w:gridSpan w:val="3"/>
            <w:vAlign w:val="center"/>
          </w:tcPr>
          <w:p w14:paraId="4BA62054">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规划环评文件：《镇平县先进制造业开发区发展规划（2022-2035）环境影响报告书》；</w:t>
            </w:r>
          </w:p>
          <w:p w14:paraId="574FAC23">
            <w:pPr>
              <w:autoSpaceDE w:val="0"/>
              <w:autoSpaceDN w:val="0"/>
              <w:adjustRightInd w:val="0"/>
              <w:snapToGrid w:val="0"/>
              <w:jc w:val="left"/>
              <w:rPr>
                <w:color w:val="000000" w:themeColor="text1"/>
                <w:kern w:val="21"/>
                <w:sz w:val="24"/>
                <w14:textFill>
                  <w14:solidFill>
                    <w14:schemeClr w14:val="tx1"/>
                  </w14:solidFill>
                </w14:textFill>
              </w:rPr>
            </w:pPr>
            <w:r>
              <w:rPr>
                <w:rFonts w:hint="eastAsia"/>
                <w:color w:val="000000" w:themeColor="text1"/>
                <w:kern w:val="21"/>
                <w:sz w:val="24"/>
                <w14:textFill>
                  <w14:solidFill>
                    <w14:schemeClr w14:val="tx1"/>
                  </w14:solidFill>
                </w14:textFill>
              </w:rPr>
              <w:t>召集审查机关：河南省生态环境厅；</w:t>
            </w:r>
          </w:p>
          <w:p w14:paraId="32842C4B">
            <w:pPr>
              <w:autoSpaceDE w:val="0"/>
              <w:autoSpaceDN w:val="0"/>
              <w:adjustRightInd w:val="0"/>
              <w:snapToGrid w:val="0"/>
              <w:jc w:val="left"/>
              <w:rPr>
                <w:color w:val="000000" w:themeColor="text1"/>
                <w:sz w:val="24"/>
                <w14:textFill>
                  <w14:solidFill>
                    <w14:schemeClr w14:val="tx1"/>
                  </w14:solidFill>
                </w14:textFill>
              </w:rPr>
            </w:pPr>
            <w:r>
              <w:rPr>
                <w:rFonts w:hint="eastAsia"/>
                <w:color w:val="000000" w:themeColor="text1"/>
                <w:kern w:val="21"/>
                <w:sz w:val="24"/>
                <w14:textFill>
                  <w14:solidFill>
                    <w14:schemeClr w14:val="tx1"/>
                  </w14:solidFill>
                </w14:textFill>
              </w:rPr>
              <w:t>审查文件名称及文号：河南省生态环境厅关于《镇平县先进制造业开发区发展规划（2022-2035）环境影响报告书》的审查意见（豫环函〔2024〕128号）</w:t>
            </w:r>
          </w:p>
        </w:tc>
      </w:tr>
      <w:tr w14:paraId="09ADC2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vAlign w:val="center"/>
          </w:tcPr>
          <w:p w14:paraId="5A7893A1">
            <w:pPr>
              <w:autoSpaceDE w:val="0"/>
              <w:autoSpaceDN w:val="0"/>
              <w:adjustRightInd w:val="0"/>
              <w:snapToGrid w:val="0"/>
              <w:jc w:val="center"/>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规划及规划环境影响评价符合性分析</w:t>
            </w:r>
          </w:p>
        </w:tc>
        <w:tc>
          <w:tcPr>
            <w:tcW w:w="4381" w:type="pct"/>
            <w:gridSpan w:val="3"/>
            <w:vAlign w:val="center"/>
          </w:tcPr>
          <w:p w14:paraId="15D21E4B">
            <w:pPr>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1、《镇平县先进制造业开发区发展规划（2022-2035）》规划符合性分析</w:t>
            </w:r>
          </w:p>
          <w:p w14:paraId="3E38C25A">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（1）规划范围</w:t>
            </w:r>
          </w:p>
          <w:p w14:paraId="1802E9BC">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四至边界：本次规划范围为经省政府同意并批复的镇平县先进制造业开发区整合后的四至边界，总面积12.04km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共分三个片区，片区1（铁路北片区）：东至航天大道，西至玉龙路，南至宁西铁路，北至S330、北环路，边界规模605.57ha；片区2（铁路南片区）：东至航天大道、天工路，西至玉源路，南至南外环路，北至杏山大道，边界规模451.70ha；片区3（东部片区）：东至东外环路，西至东三里河，南至平安大道，北至建设大道，边界规模146.77ha。</w:t>
            </w:r>
          </w:p>
          <w:p w14:paraId="5E9B9124">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（2）规划时限</w:t>
            </w:r>
          </w:p>
          <w:p w14:paraId="3339D497">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规划期限为2022~2035年，近期至2025年，远期至2035年。</w:t>
            </w:r>
          </w:p>
          <w:p w14:paraId="427C058D">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w:t>
            </w:r>
            <w:r>
              <w:rPr>
                <w:rFonts w:hint="eastAsia"/>
                <w:color w:val="000000" w:themeColor="text1"/>
                <w:sz w:val="24"/>
                <w:lang w:val="en-US" w:eastAsia="zh-CN"/>
                <w14:textFill>
                  <w14:solidFill>
                    <w14:schemeClr w14:val="tx1"/>
                  </w14:solidFill>
                </w14:textFill>
              </w:rPr>
              <w:t>主导产业选择和</w:t>
            </w:r>
            <w:r>
              <w:rPr>
                <w:color w:val="000000" w:themeColor="text1"/>
                <w:sz w:val="24"/>
                <w14:textFill>
                  <w14:solidFill>
                    <w14:schemeClr w14:val="tx1"/>
                  </w14:solidFill>
                </w14:textFill>
              </w:rPr>
              <w:t>发展定位</w:t>
            </w:r>
          </w:p>
          <w:p w14:paraId="0516EB01">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主导产业选择：</w:t>
            </w:r>
            <w:r>
              <w:rPr>
                <w:color w:val="000000" w:themeColor="text1"/>
                <w:sz w:val="24"/>
                <w14:textFill>
                  <w14:solidFill>
                    <w14:schemeClr w14:val="tx1"/>
                  </w14:solidFill>
                </w14:textFill>
              </w:rPr>
              <w:t>2022年2月，省发改委《关于同意南阳市开发区整合方案的函》（豫发改工业函〔2022〕23号）同意镇平县先进制造业开发区的整合方案，在原镇平县产业集聚区范围上进行整合，绿色食品、高端装备制造、非金属矿物制品为主导产业。</w:t>
            </w:r>
          </w:p>
          <w:p w14:paraId="38C47CD8">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发展定位</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结合镇平县实际，未来开发区将成为中部地区重要的装备制造基地、豫西南绿色食品加工产业园、豫西南重要的非金属制品产业基地。</w:t>
            </w:r>
          </w:p>
          <w:p w14:paraId="2BA34533">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（4）用地规划</w:t>
            </w:r>
          </w:p>
          <w:p w14:paraId="64E18363">
            <w:pPr>
              <w:spacing w:line="360" w:lineRule="auto"/>
              <w:ind w:firstLine="480" w:firstLineChars="200"/>
              <w:rPr>
                <w:color w:val="000000" w:themeColor="text1"/>
                <w:sz w:val="24"/>
                <w14:textFill>
                  <w14:solidFill>
                    <w14:schemeClr w14:val="tx1"/>
                  </w14:solidFill>
                </w14:textFill>
              </w:rPr>
            </w:pPr>
            <w:r>
              <w:rPr>
                <w:rFonts w:hint="default" w:ascii="Times New Roman" w:hAnsi="Times New Roman" w:cs="Times New Roman"/>
                <w:color w:val="000000" w:themeColor="text1"/>
                <w:sz w:val="24"/>
                <w:lang w:val="en-US" w:eastAsia="zh-CN"/>
                <w14:textFill>
                  <w14:solidFill>
                    <w14:schemeClr w14:val="tx1"/>
                  </w14:solidFill>
                </w14:textFill>
              </w:rPr>
              <w:t>根据省政府发布《关于推动河南省开发区高质量发展的指导意见》中要求，强化产业用地保障，新增建设用地最大限度向开发区倾斜，按照产业用地占比需超过60</w:t>
            </w:r>
            <w:r>
              <w:rPr>
                <w:rFonts w:hint="eastAsia" w:ascii="Times New Roman" w:hAnsi="Times New Roman" w:cs="Times New Roman"/>
                <w:color w:val="000000" w:themeColor="text1"/>
                <w:sz w:val="24"/>
                <w:lang w:val="en-US"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的要求，为开发区扩区和产业发展留足空间。规划范围内现状工业用地459.57公顷，本次规划工业用地702.57公顷，仓储用地25.42公顷，占县城开发区60.68%。</w:t>
            </w:r>
          </w:p>
          <w:p w14:paraId="2AFA7B0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）功能结构</w:t>
            </w:r>
          </w:p>
          <w:p w14:paraId="6071674F">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结合开发区的功能要求和产业布局，本着统筹兼顾、综合协调的原则确定了</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一轴一心七组团</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的空间结构。</w:t>
            </w:r>
          </w:p>
          <w:p w14:paraId="111EA829">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轴：即产业发展轴。规划沿玉都大道串联各个产业园区，结合便利交通优势，形成县城开发区优势明显、特色突出的产业发展轴；同时，对接周边县市发展，形成差异发展优势，避免同类竞争，提升园区持续发展竞争力。</w:t>
            </w:r>
          </w:p>
          <w:p w14:paraId="16413B04">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一心：即是县城开发区综合服务中心。在建设大道以北、玉都大道以东，结合现状规划一处综合服务中心，安排科研中心、便民服务中心、商务办公、商业金融站等重要功能性用地，形成园区功能核心。</w:t>
            </w:r>
          </w:p>
          <w:p w14:paraId="3DF68191">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七组团：即开发区根据不同的功能需求和工业门类的需求，以及用地内自然条件与交通设施的分割，将开发区划分成六大功能分区，即新型建材产业园、玉石智谷产业园、优质提升园区、高端装备制造产业园、绿色食品产业园、医药健康产业园、产城融合区。</w:t>
            </w:r>
          </w:p>
          <w:p w14:paraId="3BD98A74">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6</w:t>
            </w:r>
            <w:r>
              <w:rPr>
                <w:color w:val="000000" w:themeColor="text1"/>
                <w:sz w:val="24"/>
                <w14:textFill>
                  <w14:solidFill>
                    <w14:schemeClr w14:val="tx1"/>
                  </w14:solidFill>
                </w14:textFill>
              </w:rPr>
              <w:t>）功能分区</w:t>
            </w:r>
          </w:p>
          <w:p w14:paraId="41A5B8CC">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开发区形成以新型建材产业园、高端装备制造产业园、绿色食品产业园、玉石智谷产业园和医药健康产业园五个主要园区，配套产城融合区和优化提升产业园（现状建成为主），形成</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5+2</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的区中园布局。做强主导、培育现代新兴，突出镇平特色；重点发展新型建材、方便食品制造、新型电子元器件及装备制造，淘汰落后产能。支持传统玉文化、纺织针织品牌建设。积极发展现代服务业、培育高端服务业，推进创新转型。</w:t>
            </w:r>
          </w:p>
          <w:p w14:paraId="4ADD3A96">
            <w:pPr>
              <w:spacing w:line="360" w:lineRule="auto"/>
              <w:ind w:firstLine="480" w:firstLineChars="200"/>
              <w:rPr>
                <w:rFonts w:hint="eastAsia" w:eastAsia="宋体"/>
                <w:color w:val="000000" w:themeColor="text1"/>
                <w:sz w:val="24"/>
                <w:lang w:eastAsia="zh-CN"/>
                <w14:textFill>
                  <w14:solidFill>
                    <w14:schemeClr w14:val="tx1"/>
                  </w14:solidFill>
                </w14:textFill>
              </w:rPr>
            </w:pPr>
            <w:r>
              <w:rPr>
                <w:color w:val="000000" w:themeColor="text1"/>
                <w:sz w:val="24"/>
                <w14:textFill>
                  <w14:solidFill>
                    <w14:schemeClr w14:val="tx1"/>
                  </w14:solidFill>
                </w14:textFill>
              </w:rPr>
              <w:t>（7）</w:t>
            </w:r>
            <w:r>
              <w:rPr>
                <w:rFonts w:hint="eastAsia"/>
                <w:color w:val="000000" w:themeColor="text1"/>
                <w:sz w:val="24"/>
                <w14:textFill>
                  <w14:solidFill>
                    <w14:schemeClr w14:val="tx1"/>
                  </w14:solidFill>
                </w14:textFill>
              </w:rPr>
              <w:t>项目与《镇平县先进制造业开发区发展规划（2022-2035）》项目准入标准和产业准入负面清单相符性分析见下表</w:t>
            </w:r>
            <w:r>
              <w:rPr>
                <w:rFonts w:hint="eastAsia"/>
                <w:color w:val="000000" w:themeColor="text1"/>
                <w:sz w:val="24"/>
                <w:lang w:eastAsia="zh-CN"/>
                <w14:textFill>
                  <w14:solidFill>
                    <w14:schemeClr w14:val="tx1"/>
                  </w14:solidFill>
                </w14:textFill>
              </w:rPr>
              <w:t>。</w:t>
            </w:r>
          </w:p>
          <w:p w14:paraId="0FB7926F">
            <w:pPr>
              <w:spacing w:line="360" w:lineRule="auto"/>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表1-1</w:t>
            </w:r>
            <w:r>
              <w:rPr>
                <w:rFonts w:hint="eastAsia"/>
                <w:b/>
                <w:bCs/>
                <w:color w:val="000000" w:themeColor="text1"/>
                <w:sz w:val="24"/>
                <w:lang w:val="en-US" w:eastAsia="zh-CN"/>
                <w14:textFill>
                  <w14:solidFill>
                    <w14:schemeClr w14:val="tx1"/>
                  </w14:solidFill>
                </w14:textFill>
              </w:rPr>
              <w:t xml:space="preserve"> </w:t>
            </w:r>
            <w:r>
              <w:rPr>
                <w:rFonts w:hint="eastAsia"/>
                <w:b/>
                <w:bCs/>
                <w:color w:val="000000" w:themeColor="text1"/>
                <w:sz w:val="24"/>
                <w14:textFill>
                  <w14:solidFill>
                    <w14:schemeClr w14:val="tx1"/>
                  </w14:solidFill>
                </w14:textFill>
              </w:rPr>
              <w:t xml:space="preserve"> 项目《镇平县先进制造业开发区发展规划（2022-2035）》项目准入标准和产业准入负面清单相符性分析情况表</w:t>
            </w:r>
          </w:p>
          <w:tbl>
            <w:tblPr>
              <w:tblStyle w:val="26"/>
              <w:tblW w:w="83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8"/>
              <w:gridCol w:w="3537"/>
              <w:gridCol w:w="3403"/>
              <w:gridCol w:w="908"/>
            </w:tblGrid>
            <w:tr w14:paraId="1BF69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05" w:type="dxa"/>
                  <w:gridSpan w:val="2"/>
                  <w:vAlign w:val="center"/>
                </w:tcPr>
                <w:p w14:paraId="768640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类别</w:t>
                  </w:r>
                </w:p>
              </w:tc>
              <w:tc>
                <w:tcPr>
                  <w:tcW w:w="3403" w:type="dxa"/>
                  <w:vAlign w:val="center"/>
                </w:tcPr>
                <w:p w14:paraId="0C71771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项目情况</w:t>
                  </w:r>
                </w:p>
              </w:tc>
              <w:tc>
                <w:tcPr>
                  <w:tcW w:w="908" w:type="dxa"/>
                  <w:vAlign w:val="center"/>
                </w:tcPr>
                <w:p w14:paraId="7E3C37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14:textFill>
                        <w14:solidFill>
                          <w14:schemeClr w14:val="tx1"/>
                        </w14:solidFill>
                      </w14:textFill>
                    </w:rPr>
                    <w:t>相符性</w:t>
                  </w:r>
                </w:p>
              </w:tc>
            </w:tr>
            <w:tr w14:paraId="676D1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8" w:type="dxa"/>
                  <w:vMerge w:val="restart"/>
                  <w:vAlign w:val="center"/>
                </w:tcPr>
                <w:p w14:paraId="1027D5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项目准入标准</w:t>
                  </w:r>
                </w:p>
              </w:tc>
              <w:tc>
                <w:tcPr>
                  <w:tcW w:w="3537" w:type="dxa"/>
                  <w:vAlign w:val="center"/>
                </w:tcPr>
                <w:p w14:paraId="703195B8">
                  <w:pPr>
                    <w:keepNext w:val="0"/>
                    <w:keepLines w:val="0"/>
                    <w:pageBreakBefore w:val="0"/>
                    <w:widowControl w:val="0"/>
                    <w:kinsoku/>
                    <w:wordWrap/>
                    <w:overflowPunct/>
                    <w:topLinePunct w:val="0"/>
                    <w:autoSpaceDE/>
                    <w:autoSpaceDN/>
                    <w:bidi w:val="0"/>
                    <w:adjustRightInd/>
                    <w:snapToGrid/>
                    <w:spacing w:line="240" w:lineRule="auto"/>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根据省市及我县招商引资相关文件要求，新入住项目准入标准为：新建项目投资强度应达到</w:t>
                  </w:r>
                  <w:r>
                    <w:rPr>
                      <w:rFonts w:hint="default"/>
                      <w:color w:val="000000" w:themeColor="text1"/>
                      <w:sz w:val="21"/>
                      <w:szCs w:val="21"/>
                      <w:vertAlign w:val="baseline"/>
                      <w:lang w:val="en-US" w:eastAsia="zh-CN"/>
                      <w14:textFill>
                        <w14:solidFill>
                          <w14:schemeClr w14:val="tx1"/>
                        </w14:solidFill>
                      </w14:textFill>
                    </w:rPr>
                    <w:t>234</w:t>
                  </w:r>
                  <w:r>
                    <w:rPr>
                      <w:rFonts w:hint="eastAsia"/>
                      <w:color w:val="000000" w:themeColor="text1"/>
                      <w:sz w:val="21"/>
                      <w:szCs w:val="21"/>
                      <w:vertAlign w:val="baseline"/>
                      <w:lang w:val="en-US" w:eastAsia="zh-CN"/>
                      <w14:textFill>
                        <w14:solidFill>
                          <w14:schemeClr w14:val="tx1"/>
                        </w14:solidFill>
                      </w14:textFill>
                    </w:rPr>
                    <w:t>万</w:t>
                  </w:r>
                  <w:r>
                    <w:rPr>
                      <w:rFonts w:hint="default"/>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亩以上，容积率应达到</w:t>
                  </w:r>
                  <w:r>
                    <w:rPr>
                      <w:rFonts w:hint="default"/>
                      <w:color w:val="000000" w:themeColor="text1"/>
                      <w:sz w:val="21"/>
                      <w:szCs w:val="21"/>
                      <w:vertAlign w:val="baseline"/>
                      <w:lang w:val="en-US" w:eastAsia="zh-CN"/>
                      <w14:textFill>
                        <w14:solidFill>
                          <w14:schemeClr w14:val="tx1"/>
                        </w14:solidFill>
                      </w14:textFill>
                    </w:rPr>
                    <w:t>1.0</w:t>
                  </w:r>
                  <w:r>
                    <w:rPr>
                      <w:rFonts w:hint="eastAsia"/>
                      <w:color w:val="000000" w:themeColor="text1"/>
                      <w:sz w:val="21"/>
                      <w:szCs w:val="21"/>
                      <w:vertAlign w:val="baseline"/>
                      <w:lang w:val="en-US" w:eastAsia="zh-CN"/>
                      <w14:textFill>
                        <w14:solidFill>
                          <w14:schemeClr w14:val="tx1"/>
                        </w14:solidFill>
                      </w14:textFill>
                    </w:rPr>
                    <w:t>以上；项目投产后亩均税收达到</w:t>
                  </w:r>
                  <w:r>
                    <w:rPr>
                      <w:rFonts w:hint="default"/>
                      <w:color w:val="000000" w:themeColor="text1"/>
                      <w:sz w:val="21"/>
                      <w:szCs w:val="21"/>
                      <w:vertAlign w:val="baseline"/>
                      <w:lang w:val="en-US" w:eastAsia="zh-CN"/>
                      <w14:textFill>
                        <w14:solidFill>
                          <w14:schemeClr w14:val="tx1"/>
                        </w14:solidFill>
                      </w14:textFill>
                    </w:rPr>
                    <w:t>15</w:t>
                  </w:r>
                  <w:r>
                    <w:rPr>
                      <w:rFonts w:hint="eastAsia"/>
                      <w:color w:val="000000" w:themeColor="text1"/>
                      <w:sz w:val="21"/>
                      <w:szCs w:val="21"/>
                      <w:vertAlign w:val="baseline"/>
                      <w:lang w:val="en-US" w:eastAsia="zh-CN"/>
                      <w14:textFill>
                        <w14:solidFill>
                          <w14:schemeClr w14:val="tx1"/>
                        </w14:solidFill>
                      </w14:textFill>
                    </w:rPr>
                    <w:t>万</w:t>
                  </w:r>
                  <w:r>
                    <w:rPr>
                      <w:rFonts w:hint="default"/>
                      <w:color w:val="000000" w:themeColor="text1"/>
                      <w:sz w:val="21"/>
                      <w:szCs w:val="21"/>
                      <w:vertAlign w:val="baseline"/>
                      <w:lang w:val="en-US" w:eastAsia="zh-CN"/>
                      <w14:textFill>
                        <w14:solidFill>
                          <w14:schemeClr w14:val="tx1"/>
                        </w14:solidFill>
                      </w14:textFill>
                    </w:rPr>
                    <w:t>/</w:t>
                  </w:r>
                  <w:r>
                    <w:rPr>
                      <w:rFonts w:hint="eastAsia"/>
                      <w:color w:val="000000" w:themeColor="text1"/>
                      <w:sz w:val="21"/>
                      <w:szCs w:val="21"/>
                      <w:vertAlign w:val="baseline"/>
                      <w:lang w:val="en-US" w:eastAsia="zh-CN"/>
                      <w14:textFill>
                        <w14:solidFill>
                          <w14:schemeClr w14:val="tx1"/>
                        </w14:solidFill>
                      </w14:textFill>
                    </w:rPr>
                    <w:t>亩以上，并严格落实规划环评及批复文件要求。</w:t>
                  </w:r>
                </w:p>
              </w:tc>
              <w:tc>
                <w:tcPr>
                  <w:tcW w:w="3403" w:type="dxa"/>
                  <w:vAlign w:val="center"/>
                </w:tcPr>
                <w:p w14:paraId="42549C28">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项目投产后严格落实规划环评及批复文件要求。</w:t>
                  </w:r>
                </w:p>
              </w:tc>
              <w:tc>
                <w:tcPr>
                  <w:tcW w:w="908" w:type="dxa"/>
                  <w:vAlign w:val="center"/>
                </w:tcPr>
                <w:p w14:paraId="52F73F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r w14:paraId="18B6D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8" w:type="dxa"/>
                  <w:vMerge w:val="continue"/>
                  <w:vAlign w:val="center"/>
                </w:tcPr>
                <w:p w14:paraId="60EBAC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p>
              </w:tc>
              <w:tc>
                <w:tcPr>
                  <w:tcW w:w="3537" w:type="dxa"/>
                  <w:vAlign w:val="center"/>
                </w:tcPr>
                <w:p w14:paraId="0BB55225">
                  <w:pPr>
                    <w:keepNext w:val="0"/>
                    <w:keepLines w:val="0"/>
                    <w:pageBreakBefore w:val="0"/>
                    <w:widowControl w:val="0"/>
                    <w:kinsoku/>
                    <w:wordWrap/>
                    <w:overflowPunct/>
                    <w:topLinePunct w:val="0"/>
                    <w:autoSpaceDE/>
                    <w:autoSpaceDN/>
                    <w:bidi w:val="0"/>
                    <w:adjustRightInd/>
                    <w:snapToGrid/>
                    <w:spacing w:line="240" w:lineRule="auto"/>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严格落实《河南省开发区新建（改建、扩建）项目控制指标及基准值》要求。具体新入园区项目应结合具体行业分类，严格把控亩均投资强度、亩均税收、容积率、建筑系数。镇平县先进制造业新入驻项目亩均投资强度、亩均税收可按开发区项目控制指标及基准值修正系数</w:t>
                  </w:r>
                  <w:r>
                    <w:rPr>
                      <w:color w:val="000000" w:themeColor="text1"/>
                      <w:sz w:val="21"/>
                      <w:szCs w:val="21"/>
                      <w:vertAlign w:val="baseline"/>
                      <w:lang w:val="en-US" w:eastAsia="zh-CN"/>
                      <w14:textFill>
                        <w14:solidFill>
                          <w14:schemeClr w14:val="tx1"/>
                        </w14:solidFill>
                      </w14:textFill>
                    </w:rPr>
                    <w:t>0.7</w:t>
                  </w:r>
                  <w:r>
                    <w:rPr>
                      <w:rFonts w:hint="eastAsia"/>
                      <w:color w:val="000000" w:themeColor="text1"/>
                      <w:sz w:val="21"/>
                      <w:szCs w:val="21"/>
                      <w:vertAlign w:val="baseline"/>
                      <w:lang w:val="en-US" w:eastAsia="zh-CN"/>
                      <w14:textFill>
                        <w14:solidFill>
                          <w14:schemeClr w14:val="tx1"/>
                        </w14:solidFill>
                      </w14:textFill>
                    </w:rPr>
                    <w:t>执行。</w:t>
                  </w:r>
                </w:p>
              </w:tc>
              <w:tc>
                <w:tcPr>
                  <w:tcW w:w="3403" w:type="dxa"/>
                  <w:vAlign w:val="center"/>
                </w:tcPr>
                <w:p w14:paraId="628A3455">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项目建成后严格落实《河南省开发区新建（改建、扩建）项目控制指标及基准值》要求。</w:t>
                  </w:r>
                </w:p>
              </w:tc>
              <w:tc>
                <w:tcPr>
                  <w:tcW w:w="908" w:type="dxa"/>
                  <w:vAlign w:val="center"/>
                </w:tcPr>
                <w:p w14:paraId="12511C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r w14:paraId="7E8BE5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8" w:type="dxa"/>
                  <w:vMerge w:val="continue"/>
                  <w:vAlign w:val="center"/>
                </w:tcPr>
                <w:p w14:paraId="5913A17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p>
              </w:tc>
              <w:tc>
                <w:tcPr>
                  <w:tcW w:w="3537" w:type="dxa"/>
                  <w:vAlign w:val="center"/>
                </w:tcPr>
                <w:p w14:paraId="43530B81">
                  <w:pPr>
                    <w:keepNext w:val="0"/>
                    <w:keepLines w:val="0"/>
                    <w:pageBreakBefore w:val="0"/>
                    <w:widowControl w:val="0"/>
                    <w:kinsoku/>
                    <w:wordWrap/>
                    <w:overflowPunct/>
                    <w:topLinePunct w:val="0"/>
                    <w:autoSpaceDE/>
                    <w:autoSpaceDN/>
                    <w:bidi w:val="0"/>
                    <w:adjustRightInd/>
                    <w:snapToGrid/>
                    <w:spacing w:line="240" w:lineRule="auto"/>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符合条件的战略性新兴产业项目，可采用“一事一议”方式确定指标值。</w:t>
                  </w:r>
                </w:p>
              </w:tc>
              <w:tc>
                <w:tcPr>
                  <w:tcW w:w="3403" w:type="dxa"/>
                  <w:vAlign w:val="center"/>
                </w:tcPr>
                <w:p w14:paraId="30E9E58A">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本项目不属于战略性新兴产业项目。</w:t>
                  </w:r>
                </w:p>
              </w:tc>
              <w:tc>
                <w:tcPr>
                  <w:tcW w:w="908" w:type="dxa"/>
                  <w:vAlign w:val="center"/>
                </w:tcPr>
                <w:p w14:paraId="104CF1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r w14:paraId="0049C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8" w:type="dxa"/>
                  <w:vMerge w:val="continue"/>
                  <w:vAlign w:val="center"/>
                </w:tcPr>
                <w:p w14:paraId="33F20E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p>
              </w:tc>
              <w:tc>
                <w:tcPr>
                  <w:tcW w:w="3537" w:type="dxa"/>
                  <w:vAlign w:val="center"/>
                </w:tcPr>
                <w:p w14:paraId="4FA22606">
                  <w:pPr>
                    <w:keepNext w:val="0"/>
                    <w:keepLines w:val="0"/>
                    <w:pageBreakBefore w:val="0"/>
                    <w:widowControl w:val="0"/>
                    <w:kinsoku/>
                    <w:wordWrap/>
                    <w:overflowPunct/>
                    <w:topLinePunct w:val="0"/>
                    <w:autoSpaceDE/>
                    <w:autoSpaceDN/>
                    <w:bidi w:val="0"/>
                    <w:adjustRightInd/>
                    <w:snapToGrid/>
                    <w:spacing w:line="240" w:lineRule="auto"/>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项目选址和入驻应符合“三线一单”管控、规划环评要求，符合国家和地方相应污染物排放标准和总量控制要求。</w:t>
                  </w:r>
                </w:p>
              </w:tc>
              <w:tc>
                <w:tcPr>
                  <w:tcW w:w="3403" w:type="dxa"/>
                  <w:vAlign w:val="center"/>
                </w:tcPr>
                <w:p w14:paraId="11776665">
                  <w:pPr>
                    <w:keepNext w:val="0"/>
                    <w:keepLines w:val="0"/>
                    <w:pageBreakBefore w:val="0"/>
                    <w:widowControl w:val="0"/>
                    <w:kinsoku/>
                    <w:wordWrap/>
                    <w:overflowPunct/>
                    <w:topLinePunct w:val="0"/>
                    <w:autoSpaceDE/>
                    <w:autoSpaceDN/>
                    <w:bidi w:val="0"/>
                    <w:adjustRightInd/>
                    <w:snapToGrid/>
                    <w:spacing w:line="240" w:lineRule="auto"/>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项目选址和入驻符合“三线一单”管控、规划环评要求，符合国家和地方相应污染物排放标准和总量控制要求。</w:t>
                  </w:r>
                </w:p>
              </w:tc>
              <w:tc>
                <w:tcPr>
                  <w:tcW w:w="908" w:type="dxa"/>
                  <w:vAlign w:val="center"/>
                </w:tcPr>
                <w:p w14:paraId="542795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r w14:paraId="7200A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8" w:type="dxa"/>
                  <w:vMerge w:val="restart"/>
                  <w:vAlign w:val="center"/>
                </w:tcPr>
                <w:p w14:paraId="421D88E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产业准入负面清单</w:t>
                  </w:r>
                </w:p>
              </w:tc>
              <w:tc>
                <w:tcPr>
                  <w:tcW w:w="3537" w:type="dxa"/>
                  <w:vAlign w:val="center"/>
                </w:tcPr>
                <w:p w14:paraId="68B9024E">
                  <w:pPr>
                    <w:keepNext w:val="0"/>
                    <w:keepLines w:val="0"/>
                    <w:pageBreakBefore w:val="0"/>
                    <w:widowControl w:val="0"/>
                    <w:kinsoku/>
                    <w:wordWrap/>
                    <w:overflowPunct/>
                    <w:topLinePunct w:val="0"/>
                    <w:autoSpaceDE/>
                    <w:autoSpaceDN/>
                    <w:bidi w:val="0"/>
                    <w:adjustRightInd/>
                    <w:snapToGrid/>
                    <w:spacing w:line="240" w:lineRule="auto"/>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禁止石化、化学制药、煤化工、制浆造纸项目入驻开发区，入驻项目应遵循循环经济理念，实施清洁生产，延长产业链。</w:t>
                  </w:r>
                </w:p>
              </w:tc>
              <w:tc>
                <w:tcPr>
                  <w:tcW w:w="3403" w:type="dxa"/>
                  <w:vAlign w:val="center"/>
                </w:tcPr>
                <w:p w14:paraId="0A904D08">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本项目不属于石化、化学制药、煤化工、制浆造纸项目，项目建成后遵循循环经济理念，实施清洁生产，延长产业链。</w:t>
                  </w:r>
                </w:p>
              </w:tc>
              <w:tc>
                <w:tcPr>
                  <w:tcW w:w="908" w:type="dxa"/>
                  <w:vAlign w:val="center"/>
                </w:tcPr>
                <w:p w14:paraId="2E09FE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r w14:paraId="47328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8" w:type="dxa"/>
                  <w:vMerge w:val="continue"/>
                  <w:vAlign w:val="center"/>
                </w:tcPr>
                <w:p w14:paraId="53C373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p>
              </w:tc>
              <w:tc>
                <w:tcPr>
                  <w:tcW w:w="3537" w:type="dxa"/>
                  <w:vAlign w:val="center"/>
                </w:tcPr>
                <w:p w14:paraId="6B7FB30B">
                  <w:pPr>
                    <w:keepNext w:val="0"/>
                    <w:keepLines w:val="0"/>
                    <w:pageBreakBefore w:val="0"/>
                    <w:widowControl w:val="0"/>
                    <w:kinsoku/>
                    <w:wordWrap/>
                    <w:overflowPunct/>
                    <w:topLinePunct w:val="0"/>
                    <w:autoSpaceDE/>
                    <w:autoSpaceDN/>
                    <w:bidi w:val="0"/>
                    <w:adjustRightInd/>
                    <w:snapToGrid/>
                    <w:spacing w:line="240" w:lineRule="auto"/>
                    <w:jc w:val="both"/>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严格落实《河南省开发区新建（改建、扩建）项目控制指标及基准值》要求。凡列入国家发改委、自然资源部发布的《禁止用地项目目录》中的建设项目和低效用地项目不准入驻开发区。</w:t>
                  </w:r>
                </w:p>
              </w:tc>
              <w:tc>
                <w:tcPr>
                  <w:tcW w:w="3403" w:type="dxa"/>
                  <w:vAlign w:val="center"/>
                </w:tcPr>
                <w:p w14:paraId="0E2C84C8">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项目建成后严格落实《河南省开发区新建（改建、扩建）项目控制指标及基准值》要求；且项目不属于列入国家发改委、自然资源部发布的《禁止用地项目目录》中的建设项目和低效用地项目。</w:t>
                  </w:r>
                </w:p>
              </w:tc>
              <w:tc>
                <w:tcPr>
                  <w:tcW w:w="908" w:type="dxa"/>
                  <w:vAlign w:val="center"/>
                </w:tcPr>
                <w:p w14:paraId="16593A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color w:val="000000" w:themeColor="text1"/>
                      <w:sz w:val="21"/>
                      <w:szCs w:val="21"/>
                      <w:vertAlign w:val="baseline"/>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相符</w:t>
                  </w:r>
                </w:p>
              </w:tc>
            </w:tr>
          </w:tbl>
          <w:p w14:paraId="36E0902C">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项目选址位于南阳市镇平县玉都工业园区新星路8号，属于</w:t>
            </w:r>
            <w:r>
              <w:rPr>
                <w:rFonts w:hint="eastAsia"/>
                <w:color w:val="000000" w:themeColor="text1"/>
                <w:sz w:val="24"/>
                <w:lang w:val="en-US" w:eastAsia="zh-CN"/>
                <w14:textFill>
                  <w14:solidFill>
                    <w14:schemeClr w14:val="tx1"/>
                  </w14:solidFill>
                </w14:textFill>
              </w:rPr>
              <w:t>镇平县先进制造业开发区片区2（铁路南片区）</w:t>
            </w:r>
            <w:r>
              <w:rPr>
                <w:rFonts w:hint="eastAsia"/>
                <w:color w:val="000000" w:themeColor="text1"/>
                <w:sz w:val="24"/>
                <w14:textFill>
                  <w14:solidFill>
                    <w14:schemeClr w14:val="tx1"/>
                  </w14:solidFill>
                </w14:textFill>
              </w:rPr>
              <w:t>范围，</w:t>
            </w:r>
            <w:r>
              <w:rPr>
                <w:rFonts w:hint="eastAsia"/>
                <w:color w:val="000000" w:themeColor="text1"/>
                <w:sz w:val="24"/>
                <w:lang w:val="en-US" w:eastAsia="zh-CN"/>
                <w14:textFill>
                  <w14:solidFill>
                    <w14:schemeClr w14:val="tx1"/>
                  </w14:solidFill>
                </w14:textFill>
              </w:rPr>
              <w:t>位于片区2（铁路南片区）中的</w:t>
            </w:r>
            <w:r>
              <w:rPr>
                <w:color w:val="000000" w:themeColor="text1"/>
                <w:sz w:val="24"/>
                <w14:textFill>
                  <w14:solidFill>
                    <w14:schemeClr w14:val="tx1"/>
                  </w14:solidFill>
                </w14:textFill>
              </w:rPr>
              <w:t>优质提升产业园（食品制造、医药、纺织）</w:t>
            </w:r>
            <w:r>
              <w:rPr>
                <w:rFonts w:hint="eastAsia"/>
                <w:color w:val="000000" w:themeColor="text1"/>
                <w:sz w:val="24"/>
                <w14:textFill>
                  <w14:solidFill>
                    <w14:schemeClr w14:val="tx1"/>
                  </w14:solidFill>
                </w14:textFill>
              </w:rPr>
              <w:t>（见附图5）</w:t>
            </w:r>
            <w:r>
              <w:rPr>
                <w:rFonts w:hint="eastAsia"/>
                <w:color w:val="000000" w:themeColor="text1"/>
                <w:sz w:val="24"/>
                <w:lang w:val="en-US" w:eastAsia="zh-CN"/>
                <w14:textFill>
                  <w14:solidFill>
                    <w14:schemeClr w14:val="tx1"/>
                  </w14:solidFill>
                </w14:textFill>
              </w:rPr>
              <w:t>，属于</w:t>
            </w:r>
            <w:r>
              <w:rPr>
                <w:color w:val="000000" w:themeColor="text1"/>
                <w:sz w:val="24"/>
                <w14:textFill>
                  <w14:solidFill>
                    <w14:schemeClr w14:val="tx1"/>
                  </w14:solidFill>
                </w14:textFill>
              </w:rPr>
              <w:t>优质提升产业园</w:t>
            </w:r>
            <w:r>
              <w:rPr>
                <w:rFonts w:hint="eastAsia"/>
                <w:color w:val="000000" w:themeColor="text1"/>
                <w:sz w:val="24"/>
                <w:lang w:val="en-US" w:eastAsia="zh-CN"/>
                <w14:textFill>
                  <w14:solidFill>
                    <w14:schemeClr w14:val="tx1"/>
                  </w14:solidFill>
                </w14:textFill>
              </w:rPr>
              <w:t>重点发展产业，选址环境合理；项目属于</w:t>
            </w:r>
            <w:r>
              <w:rPr>
                <w:color w:val="000000" w:themeColor="text1"/>
                <w:sz w:val="24"/>
                <w14:textFill>
                  <w14:solidFill>
                    <w14:schemeClr w14:val="tx1"/>
                  </w14:solidFill>
                </w14:textFill>
              </w:rPr>
              <w:t>酒</w:t>
            </w:r>
            <w:r>
              <w:rPr>
                <w:rFonts w:hint="eastAsia"/>
                <w:color w:val="000000" w:themeColor="text1"/>
                <w:sz w:val="24"/>
                <w14:textFill>
                  <w14:solidFill>
                    <w14:schemeClr w14:val="tx1"/>
                  </w14:solidFill>
                </w14:textFill>
              </w:rPr>
              <w:t>类、饮料生产</w:t>
            </w:r>
            <w:r>
              <w:rPr>
                <w:color w:val="000000" w:themeColor="text1"/>
                <w:sz w:val="24"/>
                <w14:textFill>
                  <w14:solidFill>
                    <w14:schemeClr w14:val="tx1"/>
                  </w14:solidFill>
                </w14:textFill>
              </w:rPr>
              <w:t>以及</w:t>
            </w:r>
            <w:r>
              <w:rPr>
                <w:rFonts w:hint="eastAsia"/>
                <w:color w:val="000000" w:themeColor="text1"/>
                <w:sz w:val="24"/>
                <w14:textFill>
                  <w14:solidFill>
                    <w14:schemeClr w14:val="tx1"/>
                  </w14:solidFill>
                </w14:textFill>
              </w:rPr>
              <w:t>卫生材料及医药用品制造，</w:t>
            </w:r>
            <w:r>
              <w:rPr>
                <w:rFonts w:hint="eastAsia"/>
                <w:color w:val="000000" w:themeColor="text1"/>
                <w:sz w:val="24"/>
                <w:lang w:val="en-US" w:eastAsia="zh-CN"/>
                <w14:textFill>
                  <w14:solidFill>
                    <w14:schemeClr w14:val="tx1"/>
                  </w14:solidFill>
                </w14:textFill>
              </w:rPr>
              <w:t>不属于石化、化学制药、煤化工、制浆造纸等禁止入驻开发区项目，本项目</w:t>
            </w:r>
            <w:r>
              <w:rPr>
                <w:rFonts w:hint="eastAsia"/>
                <w:color w:val="000000" w:themeColor="text1"/>
                <w:sz w:val="24"/>
                <w:highlight w:val="none"/>
                <w14:textFill>
                  <w14:solidFill>
                    <w14:schemeClr w14:val="tx1"/>
                  </w14:solidFill>
                </w14:textFill>
              </w:rPr>
              <w:t>属于《产业结构调整指导目录（2024年本）》</w:t>
            </w:r>
            <w:r>
              <w:rPr>
                <w:rFonts w:hint="eastAsia"/>
                <w:color w:val="000000" w:themeColor="text1"/>
                <w:sz w:val="24"/>
                <w:highlight w:val="none"/>
                <w:lang w:val="en-US" w:eastAsia="zh-CN"/>
                <w14:textFill>
                  <w14:solidFill>
                    <w14:schemeClr w14:val="tx1"/>
                  </w14:solidFill>
                </w14:textFill>
              </w:rPr>
              <w:t>中允许类</w:t>
            </w:r>
            <w:r>
              <w:rPr>
                <w:rFonts w:hint="eastAsia"/>
                <w:color w:val="000000" w:themeColor="text1"/>
                <w:sz w:val="24"/>
                <w:highlight w:val="none"/>
                <w14:textFill>
                  <w14:solidFill>
                    <w14:schemeClr w14:val="tx1"/>
                  </w14:solidFill>
                </w14:textFill>
              </w:rPr>
              <w:t>项目</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不属于列入国家发改委、自然资源部发布的《禁止用地项目目录》中的建设项目和低效用地项目，</w:t>
            </w:r>
            <w:r>
              <w:rPr>
                <w:rFonts w:hint="eastAsia"/>
                <w:color w:val="000000" w:themeColor="text1"/>
                <w:sz w:val="24"/>
                <w14:textFill>
                  <w14:solidFill>
                    <w14:schemeClr w14:val="tx1"/>
                  </w14:solidFill>
                </w14:textFill>
              </w:rPr>
              <w:t>符合开发区产业定位，符合《镇平县先进制造业开发区发展规划（2022-2035）》项目准入标准和产业准入负面清单要求，同时</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经对照镇平县先进制造业开发区发展规划，</w:t>
            </w:r>
            <w:r>
              <w:rPr>
                <w:color w:val="000000" w:themeColor="text1"/>
                <w:sz w:val="24"/>
                <w:highlight w:val="none"/>
                <w14:textFill>
                  <w14:solidFill>
                    <w14:schemeClr w14:val="tx1"/>
                  </w14:solidFill>
                </w14:textFill>
              </w:rPr>
              <w:t>用地性质属于工业用地</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且已取得</w:t>
            </w:r>
            <w:r>
              <w:rPr>
                <w:rFonts w:hint="default" w:ascii="Times New Roman" w:hAnsi="Times New Roman" w:eastAsia="宋体" w:cs="Times New Roman"/>
                <w:b w:val="0"/>
                <w:bCs w:val="0"/>
                <w:color w:val="000000" w:themeColor="text1"/>
                <w:sz w:val="24"/>
                <w:szCs w:val="24"/>
                <w:highlight w:val="none"/>
                <w:u w:val="none" w:color="auto"/>
                <w:lang w:val="en-US" w:eastAsia="zh-CN"/>
                <w14:textFill>
                  <w14:solidFill>
                    <w14:schemeClr w14:val="tx1"/>
                  </w14:solidFill>
                </w14:textFill>
              </w:rPr>
              <w:t>镇平县</w:t>
            </w:r>
            <w:r>
              <w:rPr>
                <w:rFonts w:hint="eastAsia"/>
                <w:color w:val="000000" w:themeColor="text1"/>
                <w:sz w:val="24"/>
                <w:highlight w:val="none"/>
                <w:lang w:val="en-US" w:eastAsia="zh-CN"/>
                <w14:textFill>
                  <w14:solidFill>
                    <w14:schemeClr w14:val="tx1"/>
                  </w14:solidFill>
                </w14:textFill>
              </w:rPr>
              <w:t>先进制造业开发区管理委员会出具的入驻证明，因此本项目建设符合镇平县先进制造业开发区规划要求。</w:t>
            </w:r>
          </w:p>
          <w:p w14:paraId="741E17B9">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w:t>
            </w:r>
            <w:r>
              <w:rPr>
                <w:b/>
                <w:bCs/>
                <w:color w:val="000000" w:themeColor="text1"/>
                <w:sz w:val="24"/>
                <w14:textFill>
                  <w14:solidFill>
                    <w14:schemeClr w14:val="tx1"/>
                  </w14:solidFill>
                </w14:textFill>
              </w:rPr>
              <w:t>、《镇平县先进制造业开发区发展规划（2022-2035）环境影响报告书》</w:t>
            </w:r>
          </w:p>
          <w:p w14:paraId="59CD91D9">
            <w:pPr>
              <w:spacing w:line="360" w:lineRule="auto"/>
              <w:ind w:firstLine="480" w:firstLineChars="200"/>
              <w:rPr>
                <w:rFonts w:hint="eastAsia"/>
                <w:b w:val="0"/>
                <w:bCs w:val="0"/>
                <w:color w:val="000000" w:themeColor="text1"/>
                <w:sz w:val="24"/>
                <w14:textFill>
                  <w14:solidFill>
                    <w14:schemeClr w14:val="tx1"/>
                  </w14:solidFill>
                </w14:textFill>
              </w:rPr>
            </w:pPr>
            <w:r>
              <w:rPr>
                <w:rFonts w:hint="eastAsia"/>
                <w:b w:val="0"/>
                <w:bCs w:val="0"/>
                <w:color w:val="000000" w:themeColor="text1"/>
                <w:sz w:val="24"/>
                <w14:textFill>
                  <w14:solidFill>
                    <w14:schemeClr w14:val="tx1"/>
                  </w14:solidFill>
                </w14:textFill>
              </w:rPr>
              <w:t>根据《镇平县先进制造业开发区发展规划（2022-2035）环境影响报告书》，项目建设</w:t>
            </w:r>
            <w:r>
              <w:rPr>
                <w:rFonts w:hint="eastAsia"/>
                <w:b w:val="0"/>
                <w:bCs w:val="0"/>
                <w:color w:val="000000" w:themeColor="text1"/>
                <w:sz w:val="24"/>
                <w:lang w:val="en-US" w:eastAsia="zh-CN"/>
                <w14:textFill>
                  <w14:solidFill>
                    <w14:schemeClr w14:val="tx1"/>
                  </w14:solidFill>
                </w14:textFill>
              </w:rPr>
              <w:t>满足环境准入负面清单条件，</w:t>
            </w:r>
            <w:r>
              <w:rPr>
                <w:rFonts w:hint="eastAsia"/>
                <w:b w:val="0"/>
                <w:bCs w:val="0"/>
                <w:color w:val="000000" w:themeColor="text1"/>
                <w:sz w:val="24"/>
                <w14:textFill>
                  <w14:solidFill>
                    <w14:schemeClr w14:val="tx1"/>
                  </w14:solidFill>
                </w14:textFill>
              </w:rPr>
              <w:t>符合空间管制要求，满足环境准入条件，符合性分析详见下表。</w:t>
            </w:r>
          </w:p>
          <w:p w14:paraId="2DA902C2">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表1-</w:t>
            </w:r>
            <w:r>
              <w:rPr>
                <w:rFonts w:hint="eastAsia"/>
                <w:b/>
                <w:bCs/>
                <w:color w:val="000000" w:themeColor="text1"/>
                <w:sz w:val="24"/>
                <w14:textFill>
                  <w14:solidFill>
                    <w14:schemeClr w14:val="tx1"/>
                  </w14:solidFill>
                </w14:textFill>
              </w:rPr>
              <w:t>2</w:t>
            </w:r>
            <w:r>
              <w:rPr>
                <w:b/>
                <w:bCs/>
                <w:color w:val="000000" w:themeColor="text1"/>
                <w:sz w:val="24"/>
                <w14:textFill>
                  <w14:solidFill>
                    <w14:schemeClr w14:val="tx1"/>
                  </w14:solidFill>
                </w14:textFill>
              </w:rPr>
              <w:t xml:space="preserve">  项目与镇平县先进制造业开发区环境准入负面清单符合性分析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2"/>
              <w:gridCol w:w="4025"/>
              <w:gridCol w:w="2521"/>
              <w:gridCol w:w="679"/>
            </w:tblGrid>
            <w:tr w14:paraId="108D0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67FB698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管控类 型</w:t>
                  </w:r>
                </w:p>
              </w:tc>
              <w:tc>
                <w:tcPr>
                  <w:tcW w:w="2419" w:type="pct"/>
                  <w:vAlign w:val="center"/>
                </w:tcPr>
                <w:p w14:paraId="24CDE90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管控要求</w:t>
                  </w:r>
                </w:p>
              </w:tc>
              <w:tc>
                <w:tcPr>
                  <w:tcW w:w="1515" w:type="pct"/>
                  <w:vAlign w:val="center"/>
                </w:tcPr>
                <w:p w14:paraId="0D97039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408" w:type="pct"/>
                  <w:vAlign w:val="center"/>
                </w:tcPr>
                <w:p w14:paraId="2DE37D9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符合性</w:t>
                  </w:r>
                </w:p>
              </w:tc>
            </w:tr>
            <w:tr w14:paraId="206F3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330844CA">
                  <w:pPr>
                    <w:rPr>
                      <w:color w:val="000000" w:themeColor="text1"/>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2419" w:type="pct"/>
                  <w:vAlign w:val="center"/>
                </w:tcPr>
                <w:p w14:paraId="2A9995EE">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1、禁止投资建设《产业结构调整指导目录（2024年本）》中淘汰类、限制类项目；</w:t>
                  </w:r>
                </w:p>
                <w:p w14:paraId="1CEB2223">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2、禁止新建、扩建单纯新增产能的钢铁、电解铝、水泥、平板玻璃、煤化工（甲醇、合成氨）、焦化、铝用炭素、耐火材料制品、砖瓦窑、铅锌冶炼（含再生铅）等高耗能、高排放和产能过剩的产业项目；</w:t>
                  </w:r>
                </w:p>
                <w:p w14:paraId="23FE5540">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3、禁止建设任何燃煤、燃重油设施；</w:t>
                  </w:r>
                </w:p>
                <w:p w14:paraId="237DC001">
                  <w:pPr>
                    <w:rPr>
                      <w:color w:val="000000" w:themeColor="text1"/>
                      <w:szCs w:val="21"/>
                      <w14:textFill>
                        <w14:solidFill>
                          <w14:schemeClr w14:val="tx1"/>
                        </w14:solidFill>
                      </w14:textFill>
                    </w:rPr>
                  </w:pPr>
                  <w:r>
                    <w:rPr>
                      <w:color w:val="000000" w:themeColor="text1"/>
                      <w:szCs w:val="21"/>
                      <w14:textFill>
                        <w14:solidFill>
                          <w14:schemeClr w14:val="tx1"/>
                        </w14:solidFill>
                      </w14:textFill>
                    </w:rPr>
                    <w:t>4、评价结合医药健康产业园的特点，认为东部医药健康产业园总体发展方向是合理的，建议禁止发展化学原料药、医药中间体等医药化工；根据高端装备制造产业链分析，高端装备制造产业链中的初级形态塑料及合成树脂制造属于国民经济中“化学原料和化学制品制造业”，因此建议禁止入驻该类项目；评价结合当地环境条件及行业发展情况，限制单纯新增发展平板玻璃、水泥等产能过剩项目；</w:t>
                  </w:r>
                </w:p>
                <w:p w14:paraId="6FEC0686">
                  <w:pPr>
                    <w:rPr>
                      <w:color w:val="000000" w:themeColor="text1"/>
                      <w:szCs w:val="21"/>
                      <w14:textFill>
                        <w14:solidFill>
                          <w14:schemeClr w14:val="tx1"/>
                        </w14:solidFill>
                      </w14:textFill>
                    </w:rPr>
                  </w:pPr>
                  <w:r>
                    <w:rPr>
                      <w:color w:val="000000" w:themeColor="text1"/>
                      <w:szCs w:val="21"/>
                      <w14:textFill>
                        <w14:solidFill>
                          <w14:schemeClr w14:val="tx1"/>
                        </w14:solidFill>
                      </w14:textFill>
                    </w:rPr>
                    <w:t>5、禁止建设冶金、钢铁、铁合金、制浆造纸、制革及毛皮鞣制项目；</w:t>
                  </w:r>
                </w:p>
                <w:p w14:paraId="29C4DBE2">
                  <w:pPr>
                    <w:rPr>
                      <w:color w:val="000000" w:themeColor="text1"/>
                      <w:szCs w:val="21"/>
                      <w14:textFill>
                        <w14:solidFill>
                          <w14:schemeClr w14:val="tx1"/>
                        </w14:solidFill>
                      </w14:textFill>
                    </w:rPr>
                  </w:pPr>
                  <w:r>
                    <w:rPr>
                      <w:color w:val="000000" w:themeColor="text1"/>
                      <w:szCs w:val="21"/>
                      <w14:textFill>
                        <w14:solidFill>
                          <w14:schemeClr w14:val="tx1"/>
                        </w14:solidFill>
                      </w14:textFill>
                    </w:rPr>
                    <w:t>6、禁止建设生产和使用高VOCs含量的溶剂型涂料、油墨、胶粘剂等项目；</w:t>
                  </w:r>
                </w:p>
                <w:p w14:paraId="4C11D8A0">
                  <w:pPr>
                    <w:rPr>
                      <w:color w:val="000000" w:themeColor="text1"/>
                      <w:szCs w:val="21"/>
                      <w14:textFill>
                        <w14:solidFill>
                          <w14:schemeClr w14:val="tx1"/>
                        </w14:solidFill>
                      </w14:textFill>
                    </w:rPr>
                  </w:pPr>
                  <w:r>
                    <w:rPr>
                      <w:color w:val="000000" w:themeColor="text1"/>
                      <w:szCs w:val="21"/>
                      <w14:textFill>
                        <w14:solidFill>
                          <w14:schemeClr w14:val="tx1"/>
                        </w14:solidFill>
                      </w14:textFill>
                    </w:rPr>
                    <w:t>7、禁止生产、使用《危险化学品目录》中的剧毒化学品；禁止引入农药中间体及原料药等涉及毒性较强且具有持久性、积累性影 响的化学品使用或生产项目；</w:t>
                  </w:r>
                </w:p>
                <w:p w14:paraId="60B81882">
                  <w:pPr>
                    <w:rPr>
                      <w:color w:val="000000" w:themeColor="text1"/>
                      <w:szCs w:val="21"/>
                      <w14:textFill>
                        <w14:solidFill>
                          <w14:schemeClr w14:val="tx1"/>
                        </w14:solidFill>
                      </w14:textFill>
                    </w:rPr>
                  </w:pPr>
                  <w:r>
                    <w:rPr>
                      <w:color w:val="000000" w:themeColor="text1"/>
                      <w:szCs w:val="21"/>
                      <w14:textFill>
                        <w14:solidFill>
                          <w14:schemeClr w14:val="tx1"/>
                        </w14:solidFill>
                      </w14:textFill>
                    </w:rPr>
                    <w:t>8、禁止引进与园区主导产业不相符的重污染项目；</w:t>
                  </w:r>
                </w:p>
                <w:p w14:paraId="15BBB1C1">
                  <w:pPr>
                    <w:rPr>
                      <w:color w:val="000000" w:themeColor="text1"/>
                      <w:szCs w:val="21"/>
                      <w14:textFill>
                        <w14:solidFill>
                          <w14:schemeClr w14:val="tx1"/>
                        </w14:solidFill>
                      </w14:textFill>
                    </w:rPr>
                  </w:pPr>
                  <w:r>
                    <w:rPr>
                      <w:color w:val="000000" w:themeColor="text1"/>
                      <w:szCs w:val="21"/>
                      <w14:textFill>
                        <w14:solidFill>
                          <w14:schemeClr w14:val="tx1"/>
                        </w14:solidFill>
                      </w14:textFill>
                    </w:rPr>
                    <w:t>9、园区严格控制“两高”项目准入，不符合园区主导产业或不在园区规划发展产业链上的“两高”项目禁止入园发展；同时，污染物排放总量不能满足区域总量替代削减方案的“两高 ”项目也不得入园发展；</w:t>
                  </w:r>
                </w:p>
                <w:p w14:paraId="4A4AC5D0">
                  <w:pPr>
                    <w:rPr>
                      <w:color w:val="000000" w:themeColor="text1"/>
                      <w:szCs w:val="21"/>
                      <w14:textFill>
                        <w14:solidFill>
                          <w14:schemeClr w14:val="tx1"/>
                        </w14:solidFill>
                      </w14:textFill>
                    </w:rPr>
                  </w:pPr>
                  <w:r>
                    <w:rPr>
                      <w:color w:val="000000" w:themeColor="text1"/>
                      <w:szCs w:val="21"/>
                      <w14:textFill>
                        <w14:solidFill>
                          <w14:schemeClr w14:val="tx1"/>
                        </w14:solidFill>
                      </w14:textFill>
                    </w:rPr>
                    <w:t>10、允许符合园区准入及环境保护要求、污染物控制要求、风险管控要求、资源开发管控要求的配套产业入驻</w:t>
                  </w:r>
                </w:p>
              </w:tc>
              <w:tc>
                <w:tcPr>
                  <w:tcW w:w="1515" w:type="pct"/>
                  <w:vAlign w:val="center"/>
                </w:tcPr>
                <w:p w14:paraId="2026467E">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1、本项目属于《产业结构调整指导目录（2024年本）》中允许类项目，不属于《产业结构调整指导目录（2024年本）》中淘汰类、限制类项目；</w:t>
                  </w:r>
                </w:p>
                <w:p w14:paraId="636BD430">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2、本项目不属于新增产能的钢铁、电解铝、水泥、平板玻璃、煤化工（甲醇、合成氨）、焦化、铝用炭素、耐火材料制品、砖瓦窑、铅锌冶炼（含再生铅）等高耗能、高排放和产能过剩的产业项目；</w:t>
                  </w:r>
                </w:p>
                <w:p w14:paraId="5C662669">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3、本项目不涉及；</w:t>
                  </w:r>
                </w:p>
                <w:p w14:paraId="2D2BC801">
                  <w:pPr>
                    <w:rPr>
                      <w:color w:val="000000" w:themeColor="text1"/>
                      <w:szCs w:val="21"/>
                      <w14:textFill>
                        <w14:solidFill>
                          <w14:schemeClr w14:val="tx1"/>
                        </w14:solidFill>
                      </w14:textFill>
                    </w:rPr>
                  </w:pPr>
                  <w:r>
                    <w:rPr>
                      <w:color w:val="000000" w:themeColor="text1"/>
                      <w:szCs w:val="21"/>
                      <w14:textFill>
                        <w14:solidFill>
                          <w14:schemeClr w14:val="tx1"/>
                        </w14:solidFill>
                      </w14:textFill>
                    </w:rPr>
                    <w:t>4、本项目不属于化学原料和化学制品制造业、平板玻璃、水泥等产能项目；</w:t>
                  </w:r>
                </w:p>
                <w:p w14:paraId="016D595A">
                  <w:pPr>
                    <w:rPr>
                      <w:color w:val="000000" w:themeColor="text1"/>
                      <w:szCs w:val="21"/>
                      <w14:textFill>
                        <w14:solidFill>
                          <w14:schemeClr w14:val="tx1"/>
                        </w14:solidFill>
                      </w14:textFill>
                    </w:rPr>
                  </w:pPr>
                  <w:r>
                    <w:rPr>
                      <w:color w:val="000000" w:themeColor="text1"/>
                      <w:szCs w:val="21"/>
                      <w14:textFill>
                        <w14:solidFill>
                          <w14:schemeClr w14:val="tx1"/>
                        </w14:solidFill>
                      </w14:textFill>
                    </w:rPr>
                    <w:t>5、本项目不属于冶金、钢铁、铁合金、制浆造纸、制革及毛皮鞣制项目；</w:t>
                  </w:r>
                </w:p>
                <w:p w14:paraId="3A00ACFF">
                  <w:pPr>
                    <w:rPr>
                      <w:color w:val="000000" w:themeColor="text1"/>
                      <w:szCs w:val="21"/>
                      <w14:textFill>
                        <w14:solidFill>
                          <w14:schemeClr w14:val="tx1"/>
                        </w14:solidFill>
                      </w14:textFill>
                    </w:rPr>
                  </w:pPr>
                  <w:r>
                    <w:rPr>
                      <w:color w:val="000000" w:themeColor="text1"/>
                      <w:szCs w:val="21"/>
                      <w14:textFill>
                        <w14:solidFill>
                          <w14:schemeClr w14:val="tx1"/>
                        </w14:solidFill>
                      </w14:textFill>
                    </w:rPr>
                    <w:t>6、本项目不属于生产和使用高VOCs含量的溶剂型涂料、油墨、胶粘剂等项目；</w:t>
                  </w:r>
                </w:p>
                <w:p w14:paraId="4D901A6B">
                  <w:pPr>
                    <w:rPr>
                      <w:color w:val="000000" w:themeColor="text1"/>
                      <w:szCs w:val="21"/>
                      <w14:textFill>
                        <w14:solidFill>
                          <w14:schemeClr w14:val="tx1"/>
                        </w14:solidFill>
                      </w14:textFill>
                    </w:rPr>
                  </w:pPr>
                  <w:r>
                    <w:rPr>
                      <w:color w:val="000000" w:themeColor="text1"/>
                      <w:szCs w:val="21"/>
                      <w14:textFill>
                        <w14:solidFill>
                          <w14:schemeClr w14:val="tx1"/>
                        </w14:solidFill>
                      </w14:textFill>
                    </w:rPr>
                    <w:t>7、本项目不涉及生产、使用《危险化学品目录》中的剧毒化学品，不属于引入农药中间体及原料药等涉及毒性较强且具有持久性、积累性影 响的化学品使用或生产项目；</w:t>
                  </w:r>
                </w:p>
                <w:p w14:paraId="5BD83491">
                  <w:pPr>
                    <w:rPr>
                      <w:color w:val="000000" w:themeColor="text1"/>
                      <w:szCs w:val="21"/>
                      <w14:textFill>
                        <w14:solidFill>
                          <w14:schemeClr w14:val="tx1"/>
                        </w14:solidFill>
                      </w14:textFill>
                    </w:rPr>
                  </w:pPr>
                  <w:r>
                    <w:rPr>
                      <w:color w:val="000000" w:themeColor="text1"/>
                      <w:szCs w:val="21"/>
                      <w14:textFill>
                        <w14:solidFill>
                          <w14:schemeClr w14:val="tx1"/>
                        </w14:solidFill>
                      </w14:textFill>
                    </w:rPr>
                    <w:t>8、本项目属于</w:t>
                  </w:r>
                  <w:r>
                    <w:rPr>
                      <w:rFonts w:hint="eastAsia"/>
                      <w:color w:val="000000" w:themeColor="text1"/>
                      <w:szCs w:val="21"/>
                      <w14:textFill>
                        <w14:solidFill>
                          <w14:schemeClr w14:val="tx1"/>
                        </w14:solidFill>
                      </w14:textFill>
                    </w:rPr>
                    <w:t>酒、饮料制造业以及医药制造业</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不属于</w:t>
                  </w:r>
                  <w:r>
                    <w:rPr>
                      <w:color w:val="000000" w:themeColor="text1"/>
                      <w:szCs w:val="21"/>
                      <w14:textFill>
                        <w14:solidFill>
                          <w14:schemeClr w14:val="tx1"/>
                        </w14:solidFill>
                      </w14:textFill>
                    </w:rPr>
                    <w:t>与园区主导产业不相符的重污染项目</w:t>
                  </w:r>
                  <w:r>
                    <w:rPr>
                      <w:rFonts w:hint="eastAsia"/>
                      <w:color w:val="000000" w:themeColor="text1"/>
                      <w:szCs w:val="21"/>
                      <w14:textFill>
                        <w14:solidFill>
                          <w14:schemeClr w14:val="tx1"/>
                        </w14:solidFill>
                      </w14:textFill>
                    </w:rPr>
                    <w:t>；</w:t>
                  </w:r>
                </w:p>
                <w:p w14:paraId="39084C4D">
                  <w:pPr>
                    <w:rPr>
                      <w:color w:val="000000" w:themeColor="text1"/>
                      <w:szCs w:val="21"/>
                      <w14:textFill>
                        <w14:solidFill>
                          <w14:schemeClr w14:val="tx1"/>
                        </w14:solidFill>
                      </w14:textFill>
                    </w:rPr>
                  </w:pPr>
                  <w:r>
                    <w:rPr>
                      <w:color w:val="000000" w:themeColor="text1"/>
                      <w:szCs w:val="21"/>
                      <w14:textFill>
                        <w14:solidFill>
                          <w14:schemeClr w14:val="tx1"/>
                        </w14:solidFill>
                      </w14:textFill>
                    </w:rPr>
                    <w:t>9、本项目不属于“两高 ”项目；</w:t>
                  </w:r>
                </w:p>
                <w:p w14:paraId="7EC6D08A">
                  <w:pPr>
                    <w:rPr>
                      <w:color w:val="000000" w:themeColor="text1"/>
                      <w:szCs w:val="21"/>
                      <w14:textFill>
                        <w14:solidFill>
                          <w14:schemeClr w14:val="tx1"/>
                        </w14:solidFill>
                      </w14:textFill>
                    </w:rPr>
                  </w:pPr>
                  <w:r>
                    <w:rPr>
                      <w:color w:val="000000" w:themeColor="text1"/>
                      <w:szCs w:val="21"/>
                      <w14:textFill>
                        <w14:solidFill>
                          <w14:schemeClr w14:val="tx1"/>
                        </w14:solidFill>
                      </w14:textFill>
                    </w:rPr>
                    <w:t>10、本项目符合园区准入及环境保护要求、污染物控制要求、风险管控要求、资源开发管控要求</w:t>
                  </w:r>
                  <w:r>
                    <w:rPr>
                      <w:rFonts w:hint="eastAsia"/>
                      <w:color w:val="000000" w:themeColor="text1"/>
                      <w:szCs w:val="21"/>
                      <w14:textFill>
                        <w14:solidFill>
                          <w14:schemeClr w14:val="tx1"/>
                        </w14:solidFill>
                      </w14:textFill>
                    </w:rPr>
                    <w:t>。</w:t>
                  </w:r>
                </w:p>
              </w:tc>
              <w:tc>
                <w:tcPr>
                  <w:tcW w:w="408" w:type="pct"/>
                  <w:vAlign w:val="center"/>
                </w:tcPr>
                <w:p w14:paraId="558631A5">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5845B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4F451247">
                  <w:pP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2419" w:type="pct"/>
                  <w:vAlign w:val="center"/>
                </w:tcPr>
                <w:p w14:paraId="51CE2EFC">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1、禁止入园项目排水直接入河；</w:t>
                  </w:r>
                </w:p>
                <w:p w14:paraId="716080F2">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2、禁止园区集中供热中心生物质锅炉掺烧煤炭、垃圾、工业固体废物等其他物料；</w:t>
                  </w:r>
                </w:p>
                <w:p w14:paraId="557C0BC0">
                  <w:pPr>
                    <w:rPr>
                      <w:color w:val="000000" w:themeColor="text1"/>
                      <w:szCs w:val="21"/>
                      <w14:textFill>
                        <w14:solidFill>
                          <w14:schemeClr w14:val="tx1"/>
                        </w14:solidFill>
                      </w14:textFill>
                    </w:rPr>
                  </w:pPr>
                  <w:r>
                    <w:rPr>
                      <w:color w:val="000000" w:themeColor="text1"/>
                      <w:szCs w:val="21"/>
                      <w14:textFill>
                        <w14:solidFill>
                          <w14:schemeClr w14:val="tx1"/>
                        </w14:solidFill>
                      </w14:textFill>
                    </w:rPr>
                    <w:t>3、VOCs废气采用活性炭吸附工艺的，活性炭碘值选择不符合要求、更换不及时的，或治理设施设计不符合《吸附法工业有机废气治理工程技术规范》标准要求的，也认定为低效治理设施；VOCs废气采用RCO或RTO技术的，其治理设施设计不符合《催化燃烧法工业有机废气治理工程技术规范》《蓄热燃烧法工业有机废气治理工程技术规范》相关标准要求的，也认定为低效治理设施；</w:t>
                  </w:r>
                </w:p>
                <w:p w14:paraId="7B24A8AE">
                  <w:pPr>
                    <w:rPr>
                      <w:color w:val="000000" w:themeColor="text1"/>
                      <w:szCs w:val="21"/>
                      <w14:textFill>
                        <w14:solidFill>
                          <w14:schemeClr w14:val="tx1"/>
                        </w14:solidFill>
                      </w14:textFill>
                    </w:rPr>
                  </w:pPr>
                  <w:r>
                    <w:rPr>
                      <w:color w:val="000000" w:themeColor="text1"/>
                      <w:szCs w:val="21"/>
                      <w14:textFill>
                        <w14:solidFill>
                          <w14:schemeClr w14:val="tx1"/>
                        </w14:solidFill>
                      </w14:textFill>
                    </w:rPr>
                    <w:t>4、入园的新建、扩建金属表面处理及热处理加工、商砼（沥青）搅拌站环保绩效分级需达到A级绩效水平，改建项目达到B级绩效水平</w:t>
                  </w:r>
                </w:p>
              </w:tc>
              <w:tc>
                <w:tcPr>
                  <w:tcW w:w="1515" w:type="pct"/>
                  <w:vAlign w:val="center"/>
                </w:tcPr>
                <w:p w14:paraId="4283D65C">
                  <w:pPr>
                    <w:rPr>
                      <w:color w:val="000000" w:themeColor="text1"/>
                      <w:szCs w:val="21"/>
                      <w14:textFill>
                        <w14:solidFill>
                          <w14:schemeClr w14:val="tx1"/>
                        </w14:solidFill>
                      </w14:textFill>
                    </w:rPr>
                  </w:pPr>
                  <w:r>
                    <w:rPr>
                      <w:color w:val="000000" w:themeColor="text1"/>
                      <w:szCs w:val="21"/>
                      <w14:textFill>
                        <w14:solidFill>
                          <w14:schemeClr w14:val="tx1"/>
                        </w14:solidFill>
                      </w14:textFill>
                    </w:rPr>
                    <w:t>1、营运期</w:t>
                  </w:r>
                  <w:r>
                    <w:rPr>
                      <w:color w:val="000000" w:themeColor="text1"/>
                      <w14:textFill>
                        <w14:solidFill>
                          <w14:schemeClr w14:val="tx1"/>
                        </w14:solidFill>
                      </w14:textFill>
                    </w:rPr>
                    <w:t>职工生活污水经化粪池处理后与各生产废水一并进入厂区污水处理站处理后，出水水质能够满足《发酵酒精和白酒工业水污染物排放标准》（GB27631-2011）及其修改单表2间接排放标准</w:t>
                  </w:r>
                  <w:r>
                    <w:rPr>
                      <w:rFonts w:hint="eastAsia"/>
                      <w:color w:val="000000" w:themeColor="text1"/>
                      <w14:textFill>
                        <w14:solidFill>
                          <w14:schemeClr w14:val="tx1"/>
                        </w14:solidFill>
                      </w14:textFill>
                    </w:rPr>
                    <w:t>、</w:t>
                  </w:r>
                  <w:r>
                    <w:rPr>
                      <w:rFonts w:hint="eastAsia"/>
                      <w:color w:val="000000" w:themeColor="text1"/>
                      <w:kern w:val="0"/>
                      <w:szCs w:val="21"/>
                      <w14:textFill>
                        <w14:solidFill>
                          <w14:schemeClr w14:val="tx1"/>
                        </w14:solidFill>
                      </w14:textFill>
                    </w:rPr>
                    <w:t>《啤酒工业水污染物排放标准》（DB41/681-2011）</w:t>
                  </w:r>
                  <w:r>
                    <w:rPr>
                      <w:color w:val="000000" w:themeColor="text1"/>
                      <w:szCs w:val="21"/>
                      <w14:textFill>
                        <w14:solidFill>
                          <w14:schemeClr w14:val="tx1"/>
                        </w14:solidFill>
                      </w14:textFill>
                    </w:rPr>
                    <w:t>及镇平县第二污水处理厂进水水质指标后经市政污水管网进入镇平县第二污水处理厂进一步处理达到《城镇污水处理厂污染物排放标准》（GB18918-2002）一级A标准后排入赵河；</w:t>
                  </w:r>
                </w:p>
                <w:p w14:paraId="78580A8F">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2、本项目不涉及；</w:t>
                  </w:r>
                </w:p>
                <w:p w14:paraId="1E50B89E">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3、本项目VOCs废气治理采用</w:t>
                  </w:r>
                  <w:r>
                    <w:rPr>
                      <w:rFonts w:hint="eastAsia"/>
                      <w:color w:val="000000" w:themeColor="text1"/>
                      <w:szCs w:val="21"/>
                      <w14:textFill>
                        <w14:solidFill>
                          <w14:schemeClr w14:val="tx1"/>
                        </w14:solidFill>
                      </w14:textFill>
                    </w:rPr>
                    <w:t>二级</w:t>
                  </w:r>
                  <w:r>
                    <w:rPr>
                      <w:color w:val="000000" w:themeColor="text1"/>
                      <w:szCs w:val="21"/>
                      <w14:textFill>
                        <w14:solidFill>
                          <w14:schemeClr w14:val="tx1"/>
                        </w14:solidFill>
                      </w14:textFill>
                    </w:rPr>
                    <w:t>活性炭吸附工艺，活性炭碘值选择符合要求，治理设施设计符合《吸附法工业有机废气治理工程技术规范》标准要求；</w:t>
                  </w:r>
                </w:p>
                <w:p w14:paraId="6BB5CB71">
                  <w:pPr>
                    <w:rPr>
                      <w:color w:val="000000" w:themeColor="text1"/>
                      <w:szCs w:val="21"/>
                      <w14:textFill>
                        <w14:solidFill>
                          <w14:schemeClr w14:val="tx1"/>
                        </w14:solidFill>
                      </w14:textFill>
                    </w:rPr>
                  </w:pPr>
                  <w:r>
                    <w:rPr>
                      <w:color w:val="000000" w:themeColor="text1"/>
                      <w:szCs w:val="21"/>
                      <w14:textFill>
                        <w14:solidFill>
                          <w14:schemeClr w14:val="tx1"/>
                        </w14:solidFill>
                      </w14:textFill>
                    </w:rPr>
                    <w:t>4、本项目不属于金属表面处理及热处理加工、商砼（沥青）搅拌站等行业</w:t>
                  </w:r>
                </w:p>
              </w:tc>
              <w:tc>
                <w:tcPr>
                  <w:tcW w:w="408" w:type="pct"/>
                  <w:vAlign w:val="center"/>
                </w:tcPr>
                <w:p w14:paraId="4E39EBAF">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60C49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5E2631F9">
                  <w:pP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环境风险防控</w:t>
                  </w:r>
                </w:p>
              </w:tc>
              <w:tc>
                <w:tcPr>
                  <w:tcW w:w="2419" w:type="pct"/>
                  <w:vAlign w:val="center"/>
                </w:tcPr>
                <w:p w14:paraId="1CC4E1E9">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1、禁止建设大中型危险化学品库（库房或货场总面积大于550平方米的）；</w:t>
                  </w:r>
                </w:p>
                <w:p w14:paraId="7EA0BA5D">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2、各企业加强分区防渗措施；</w:t>
                  </w:r>
                </w:p>
                <w:p w14:paraId="61706E75">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3、禁止集中电镀企业、含化学合成的化工项目（单纯物理分离、物理提纯、混合、分装的除外）入驻</w:t>
                  </w:r>
                  <w:r>
                    <w:rPr>
                      <w:rFonts w:hint="eastAsia"/>
                      <w:color w:val="000000" w:themeColor="text1"/>
                      <w:szCs w:val="21"/>
                      <w14:textFill>
                        <w14:solidFill>
                          <w14:schemeClr w14:val="tx1"/>
                        </w14:solidFill>
                      </w14:textFill>
                    </w:rPr>
                    <w:t>；</w:t>
                  </w:r>
                </w:p>
              </w:tc>
              <w:tc>
                <w:tcPr>
                  <w:tcW w:w="1515" w:type="pct"/>
                  <w:vAlign w:val="center"/>
                </w:tcPr>
                <w:p w14:paraId="782645F3">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本项目不涉及；</w:t>
                  </w:r>
                </w:p>
                <w:p w14:paraId="6500AE6D">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企业应加强分区防渗措施；</w:t>
                  </w:r>
                </w:p>
                <w:p w14:paraId="4D09F677">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本项目不属于电镀、含化学合成的化工项目；</w:t>
                  </w:r>
                </w:p>
              </w:tc>
              <w:tc>
                <w:tcPr>
                  <w:tcW w:w="408" w:type="pct"/>
                  <w:vAlign w:val="center"/>
                </w:tcPr>
                <w:p w14:paraId="68BDC8E4">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0F86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57" w:type="pct"/>
                  <w:vAlign w:val="center"/>
                </w:tcPr>
                <w:p w14:paraId="5785CAEB">
                  <w:pPr>
                    <w:rPr>
                      <w:color w:val="000000" w:themeColor="text1"/>
                      <w:szCs w:val="21"/>
                      <w14:textFill>
                        <w14:solidFill>
                          <w14:schemeClr w14:val="tx1"/>
                        </w14:solidFill>
                      </w14:textFill>
                    </w:rPr>
                  </w:pPr>
                  <w:r>
                    <w:rPr>
                      <w:color w:val="000000" w:themeColor="text1"/>
                      <w:szCs w:val="21"/>
                      <w14:textFill>
                        <w14:solidFill>
                          <w14:schemeClr w14:val="tx1"/>
                        </w14:solidFill>
                      </w14:textFill>
                    </w:rPr>
                    <w:t>资源开发管控</w:t>
                  </w:r>
                </w:p>
              </w:tc>
              <w:tc>
                <w:tcPr>
                  <w:tcW w:w="2419" w:type="pct"/>
                  <w:vAlign w:val="center"/>
                </w:tcPr>
                <w:p w14:paraId="0E2FD534">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1、禁止新建项目开采地下水；</w:t>
                  </w:r>
                </w:p>
                <w:p w14:paraId="04634607">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2、禁止投资建设列入禁止用地目录、限制用地目录的项目；</w:t>
                  </w:r>
                </w:p>
                <w:p w14:paraId="718E0A98">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3、入园项目投资强度需满足《工业项目建设用地控制指标》的要求和《河南省人民政府办公厅关于实施开发区土地利用综合评价促进节约集约高效用地的意见》（豫政办[2023]13号）文件要求，否则禁止入园</w:t>
                  </w:r>
                </w:p>
              </w:tc>
              <w:tc>
                <w:tcPr>
                  <w:tcW w:w="1515" w:type="pct"/>
                  <w:vAlign w:val="center"/>
                </w:tcPr>
                <w:p w14:paraId="10A0EAE0">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1、本项目用水由市政供水系统供给，不涉及开采地下水；</w:t>
                  </w:r>
                </w:p>
                <w:p w14:paraId="4F662B58">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2、本项目不属于列入禁止用地目录、限制用地目录的项目；</w:t>
                  </w:r>
                </w:p>
                <w:p w14:paraId="15CBE63C">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3、本项目投资强度满足《工业项目建设用地控制指标》的要求和《河南省人民政府办公厅关于实施开发区土地利用综合评价促进节约集约高效用地的意见》（豫政办[2023]13号）文件要求；</w:t>
                  </w:r>
                </w:p>
              </w:tc>
              <w:tc>
                <w:tcPr>
                  <w:tcW w:w="408" w:type="pct"/>
                  <w:vAlign w:val="center"/>
                </w:tcPr>
                <w:p w14:paraId="02F23A10">
                  <w:pPr>
                    <w:rPr>
                      <w:color w:val="000000" w:themeColor="text1"/>
                      <w:szCs w:val="21"/>
                      <w14:textFill>
                        <w14:solidFill>
                          <w14:schemeClr w14:val="tx1"/>
                        </w14:solidFill>
                      </w14:textFill>
                    </w:rPr>
                  </w:pPr>
                </w:p>
              </w:tc>
            </w:tr>
          </w:tbl>
          <w:p w14:paraId="04421E77">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表1-</w:t>
            </w:r>
            <w:r>
              <w:rPr>
                <w:rFonts w:hint="eastAsia"/>
                <w:b/>
                <w:bCs/>
                <w:color w:val="000000" w:themeColor="text1"/>
                <w:sz w:val="24"/>
                <w:lang w:val="en-US" w:eastAsia="zh-CN"/>
                <w14:textFill>
                  <w14:solidFill>
                    <w14:schemeClr w14:val="tx1"/>
                  </w14:solidFill>
                </w14:textFill>
              </w:rPr>
              <w:t>3</w:t>
            </w:r>
            <w:r>
              <w:rPr>
                <w:b/>
                <w:bCs/>
                <w:color w:val="000000" w:themeColor="text1"/>
                <w:sz w:val="24"/>
                <w14:textFill>
                  <w14:solidFill>
                    <w14:schemeClr w14:val="tx1"/>
                  </w14:solidFill>
                </w14:textFill>
              </w:rPr>
              <w:t xml:space="preserve">  项目与</w:t>
            </w:r>
            <w:r>
              <w:rPr>
                <w:rFonts w:hint="eastAsia"/>
                <w:b/>
                <w:bCs/>
                <w:color w:val="000000" w:themeColor="text1"/>
                <w:sz w:val="24"/>
                <w:lang w:val="en-US" w:eastAsia="zh-CN"/>
                <w14:textFill>
                  <w14:solidFill>
                    <w14:schemeClr w14:val="tx1"/>
                  </w14:solidFill>
                </w14:textFill>
              </w:rPr>
              <w:t>镇平县先进制造业开发区环境准入</w:t>
            </w:r>
            <w:r>
              <w:rPr>
                <w:b/>
                <w:bCs/>
                <w:color w:val="000000" w:themeColor="text1"/>
                <w:sz w:val="24"/>
                <w14:textFill>
                  <w14:solidFill>
                    <w14:schemeClr w14:val="tx1"/>
                  </w14:solidFill>
                </w14:textFill>
              </w:rPr>
              <w:t>符合性分析</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7"/>
              <w:gridCol w:w="624"/>
              <w:gridCol w:w="670"/>
              <w:gridCol w:w="3353"/>
              <w:gridCol w:w="2495"/>
              <w:gridCol w:w="698"/>
            </w:tblGrid>
            <w:tr w14:paraId="1A5A7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2" w:type="pct"/>
                  <w:gridSpan w:val="2"/>
                  <w:vAlign w:val="center"/>
                </w:tcPr>
                <w:p w14:paraId="4A18BC1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管控类 型</w:t>
                  </w:r>
                </w:p>
              </w:tc>
              <w:tc>
                <w:tcPr>
                  <w:tcW w:w="2419" w:type="pct"/>
                  <w:gridSpan w:val="2"/>
                  <w:vAlign w:val="center"/>
                </w:tcPr>
                <w:p w14:paraId="24D8FE9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管控要求</w:t>
                  </w:r>
                </w:p>
              </w:tc>
              <w:tc>
                <w:tcPr>
                  <w:tcW w:w="1500" w:type="pct"/>
                  <w:vAlign w:val="center"/>
                </w:tcPr>
                <w:p w14:paraId="4581096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417" w:type="pct"/>
                  <w:vAlign w:val="center"/>
                </w:tcPr>
                <w:p w14:paraId="06649D3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符合性</w:t>
                  </w:r>
                </w:p>
              </w:tc>
            </w:tr>
            <w:tr w14:paraId="5693AB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restart"/>
                  <w:vAlign w:val="center"/>
                </w:tcPr>
                <w:p w14:paraId="4AC7582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基本要求</w:t>
                  </w:r>
                </w:p>
              </w:tc>
              <w:tc>
                <w:tcPr>
                  <w:tcW w:w="375" w:type="pct"/>
                  <w:vMerge w:val="restart"/>
                  <w:vAlign w:val="center"/>
                </w:tcPr>
                <w:p w14:paraId="2591060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403" w:type="pct"/>
                  <w:vAlign w:val="center"/>
                </w:tcPr>
                <w:p w14:paraId="1A6EDAB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禁止开发建设活动</w:t>
                  </w:r>
                </w:p>
              </w:tc>
              <w:tc>
                <w:tcPr>
                  <w:tcW w:w="2015" w:type="pct"/>
                  <w:vAlign w:val="center"/>
                </w:tcPr>
                <w:p w14:paraId="1F44D3BA">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1、禁止新建与园区主导产业不相符或不在园区规划发展产业链上的</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项目；入驻的</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项目必须符合主导产业或在园区规划产业链上</w:t>
                  </w:r>
                </w:p>
                <w:p w14:paraId="02A7DA91">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2、禁止新建、改扩建与园区主导产业不相符的重污染或国家、省绩效分级重点行业项目；</w:t>
                  </w:r>
                </w:p>
                <w:p w14:paraId="7C52D2EF">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3、禁止新建集中电镀项目（配套电镀工序企业除外*），入驻电镀项目需满足《河南省电镀建设项目环境影响评价文件审查审批原则要求（试行）》</w:t>
                  </w:r>
                </w:p>
                <w:p w14:paraId="6815478B">
                  <w:pPr>
                    <w:rPr>
                      <w:color w:val="000000" w:themeColor="text1"/>
                      <w:szCs w:val="21"/>
                      <w14:textFill>
                        <w14:solidFill>
                          <w14:schemeClr w14:val="tx1"/>
                        </w14:solidFill>
                      </w14:textFill>
                    </w:rPr>
                  </w:pPr>
                  <w:r>
                    <w:rPr>
                      <w:color w:val="000000" w:themeColor="text1"/>
                      <w:szCs w:val="21"/>
                      <w14:textFill>
                        <w14:solidFill>
                          <w14:schemeClr w14:val="tx1"/>
                        </w14:solidFill>
                      </w14:textFill>
                    </w:rPr>
                    <w:t>4 、禁止新建含化学合成的化工项目及产品</w:t>
                  </w:r>
                </w:p>
              </w:tc>
              <w:tc>
                <w:tcPr>
                  <w:tcW w:w="1500" w:type="pct"/>
                  <w:vAlign w:val="center"/>
                </w:tcPr>
                <w:p w14:paraId="677E363D">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本项目为属于酒、饮料制造业以及医药制造业，不属于</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项目</w:t>
                  </w:r>
                  <w:r>
                    <w:rPr>
                      <w:rFonts w:hint="eastAsia"/>
                      <w:color w:val="000000" w:themeColor="text1"/>
                      <w:szCs w:val="21"/>
                      <w14:textFill>
                        <w14:solidFill>
                          <w14:schemeClr w14:val="tx1"/>
                        </w14:solidFill>
                      </w14:textFill>
                    </w:rPr>
                    <w:t>；</w:t>
                  </w:r>
                </w:p>
                <w:p w14:paraId="56DEFE2F">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2、本项目属于酒</w:t>
                  </w:r>
                  <w:r>
                    <w:rPr>
                      <w:rFonts w:hint="eastAsia"/>
                      <w:color w:val="000000" w:themeColor="text1"/>
                      <w:szCs w:val="21"/>
                      <w14:textFill>
                        <w14:solidFill>
                          <w14:schemeClr w14:val="tx1"/>
                        </w14:solidFill>
                      </w14:textFill>
                    </w:rPr>
                    <w:t>类、饮料生产</w:t>
                  </w:r>
                  <w:r>
                    <w:rPr>
                      <w:color w:val="000000" w:themeColor="text1"/>
                      <w:szCs w:val="21"/>
                      <w14:textFill>
                        <w14:solidFill>
                          <w14:schemeClr w14:val="tx1"/>
                        </w14:solidFill>
                      </w14:textFill>
                    </w:rPr>
                    <w:t>以及</w:t>
                  </w:r>
                  <w:r>
                    <w:rPr>
                      <w:rFonts w:hint="eastAsia"/>
                      <w:color w:val="000000" w:themeColor="text1"/>
                      <w:szCs w:val="21"/>
                      <w14:textFill>
                        <w14:solidFill>
                          <w14:schemeClr w14:val="tx1"/>
                        </w14:solidFill>
                      </w14:textFill>
                    </w:rPr>
                    <w:t>卫生材料及医药用品制造，属于食品制造及医药制造，符合园区主导产业要求；</w:t>
                  </w:r>
                </w:p>
                <w:p w14:paraId="595931EF">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3、本项目</w:t>
                  </w:r>
                  <w:r>
                    <w:rPr>
                      <w:color w:val="000000" w:themeColor="text1"/>
                      <w:szCs w:val="21"/>
                      <w14:textFill>
                        <w14:solidFill>
                          <w14:schemeClr w14:val="tx1"/>
                        </w14:solidFill>
                      </w14:textFill>
                    </w:rPr>
                    <w:t>不涉及电镀，不属于集中电镀项目</w:t>
                  </w:r>
                  <w:r>
                    <w:rPr>
                      <w:rFonts w:hint="eastAsia"/>
                      <w:color w:val="000000" w:themeColor="text1"/>
                      <w:szCs w:val="21"/>
                      <w14:textFill>
                        <w14:solidFill>
                          <w14:schemeClr w14:val="tx1"/>
                        </w14:solidFill>
                      </w14:textFill>
                    </w:rPr>
                    <w:t>；</w:t>
                  </w:r>
                </w:p>
                <w:p w14:paraId="792EC4EE">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4、本项目</w:t>
                  </w:r>
                  <w:r>
                    <w:rPr>
                      <w:color w:val="000000" w:themeColor="text1"/>
                      <w:szCs w:val="21"/>
                      <w14:textFill>
                        <w14:solidFill>
                          <w14:schemeClr w14:val="tx1"/>
                        </w14:solidFill>
                      </w14:textFill>
                    </w:rPr>
                    <w:t>不属于含化学合成的化工项目；</w:t>
                  </w:r>
                </w:p>
              </w:tc>
              <w:tc>
                <w:tcPr>
                  <w:tcW w:w="417" w:type="pct"/>
                  <w:vAlign w:val="center"/>
                </w:tcPr>
                <w:p w14:paraId="0CB72DB1">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D661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4CDBB6A0">
                  <w:pPr>
                    <w:rPr>
                      <w:color w:val="000000" w:themeColor="text1"/>
                      <w:szCs w:val="21"/>
                      <w14:textFill>
                        <w14:solidFill>
                          <w14:schemeClr w14:val="tx1"/>
                        </w14:solidFill>
                      </w14:textFill>
                    </w:rPr>
                  </w:pPr>
                </w:p>
              </w:tc>
              <w:tc>
                <w:tcPr>
                  <w:tcW w:w="375" w:type="pct"/>
                  <w:vMerge w:val="continue"/>
                  <w:vAlign w:val="center"/>
                </w:tcPr>
                <w:p w14:paraId="65569ECA">
                  <w:pPr>
                    <w:rPr>
                      <w:color w:val="000000" w:themeColor="text1"/>
                      <w:szCs w:val="21"/>
                      <w14:textFill>
                        <w14:solidFill>
                          <w14:schemeClr w14:val="tx1"/>
                        </w14:solidFill>
                      </w14:textFill>
                    </w:rPr>
                  </w:pPr>
                </w:p>
              </w:tc>
              <w:tc>
                <w:tcPr>
                  <w:tcW w:w="403" w:type="pct"/>
                  <w:vAlign w:val="center"/>
                </w:tcPr>
                <w:p w14:paraId="5CD0314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限制开发建设活动</w:t>
                  </w:r>
                </w:p>
              </w:tc>
              <w:tc>
                <w:tcPr>
                  <w:tcW w:w="2015" w:type="pct"/>
                  <w:vAlign w:val="center"/>
                </w:tcPr>
                <w:p w14:paraId="489FDC6E">
                  <w:pPr>
                    <w:rPr>
                      <w:color w:val="000000" w:themeColor="text1"/>
                      <w:szCs w:val="21"/>
                      <w14:textFill>
                        <w14:solidFill>
                          <w14:schemeClr w14:val="tx1"/>
                        </w14:solidFill>
                      </w14:textFill>
                    </w:rPr>
                  </w:pPr>
                  <w:r>
                    <w:rPr>
                      <w:color w:val="000000" w:themeColor="text1"/>
                      <w:szCs w:val="21"/>
                      <w14:textFill>
                        <w14:solidFill>
                          <w14:schemeClr w14:val="tx1"/>
                        </w14:solidFill>
                      </w14:textFill>
                    </w:rPr>
                    <w:t>限制《产业结构调整指导目录（2024年本）》中限制类项目</w:t>
                  </w:r>
                </w:p>
              </w:tc>
              <w:tc>
                <w:tcPr>
                  <w:tcW w:w="1500" w:type="pct"/>
                  <w:vAlign w:val="center"/>
                </w:tcPr>
                <w:p w14:paraId="0DCEEF3A">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项目不属于《产业结构调整指导目录（2024年本）》中限制类项目</w:t>
                  </w:r>
                  <w:r>
                    <w:rPr>
                      <w:rFonts w:hint="eastAsia"/>
                      <w:color w:val="000000" w:themeColor="text1"/>
                      <w:szCs w:val="21"/>
                      <w14:textFill>
                        <w14:solidFill>
                          <w14:schemeClr w14:val="tx1"/>
                        </w14:solidFill>
                      </w14:textFill>
                    </w:rPr>
                    <w:t>。</w:t>
                  </w:r>
                </w:p>
              </w:tc>
              <w:tc>
                <w:tcPr>
                  <w:tcW w:w="417" w:type="pct"/>
                  <w:vAlign w:val="center"/>
                </w:tcPr>
                <w:p w14:paraId="695E89D0">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3FA99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50310BEA">
                  <w:pPr>
                    <w:rPr>
                      <w:color w:val="000000" w:themeColor="text1"/>
                      <w:szCs w:val="21"/>
                      <w14:textFill>
                        <w14:solidFill>
                          <w14:schemeClr w14:val="tx1"/>
                        </w14:solidFill>
                      </w14:textFill>
                    </w:rPr>
                  </w:pPr>
                </w:p>
              </w:tc>
              <w:tc>
                <w:tcPr>
                  <w:tcW w:w="375" w:type="pct"/>
                  <w:vMerge w:val="continue"/>
                  <w:vAlign w:val="center"/>
                </w:tcPr>
                <w:p w14:paraId="7A474EF2">
                  <w:pPr>
                    <w:rPr>
                      <w:color w:val="000000" w:themeColor="text1"/>
                      <w:szCs w:val="21"/>
                      <w14:textFill>
                        <w14:solidFill>
                          <w14:schemeClr w14:val="tx1"/>
                        </w14:solidFill>
                      </w14:textFill>
                    </w:rPr>
                  </w:pPr>
                </w:p>
              </w:tc>
              <w:tc>
                <w:tcPr>
                  <w:tcW w:w="403" w:type="pct"/>
                  <w:vAlign w:val="center"/>
                </w:tcPr>
                <w:p w14:paraId="7B9F2A9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不符合规划园区空间布局的退出要求</w:t>
                  </w:r>
                </w:p>
              </w:tc>
              <w:tc>
                <w:tcPr>
                  <w:tcW w:w="2015" w:type="pct"/>
                  <w:vAlign w:val="center"/>
                </w:tcPr>
                <w:p w14:paraId="7B87AA53">
                  <w:pPr>
                    <w:rPr>
                      <w:color w:val="000000" w:themeColor="text1"/>
                      <w:szCs w:val="21"/>
                      <w14:textFill>
                        <w14:solidFill>
                          <w14:schemeClr w14:val="tx1"/>
                        </w14:solidFill>
                      </w14:textFill>
                    </w:rPr>
                  </w:pPr>
                  <w:r>
                    <w:rPr>
                      <w:color w:val="000000" w:themeColor="text1"/>
                      <w:szCs w:val="21"/>
                      <w14:textFill>
                        <w14:solidFill>
                          <w14:schemeClr w14:val="tx1"/>
                        </w14:solidFill>
                      </w14:textFill>
                    </w:rPr>
                    <w:t>现有化工项目，限制新增发展用地，污染物排放总量只降不增；允许在厂内通过技术改造、改建等进一步提升现有的清洁生产水平或逐步转变产品结构，发展与园区主导产业形成补链或配套的项目；禁止新增或扩建含化学合成的化工项目及产品产能，禁止增加新的含化学合成的化工产品种类</w:t>
                  </w:r>
                </w:p>
              </w:tc>
              <w:tc>
                <w:tcPr>
                  <w:tcW w:w="1500" w:type="pct"/>
                  <w:vAlign w:val="center"/>
                </w:tcPr>
                <w:p w14:paraId="565CC11B">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项目不属于化工项目</w:t>
                  </w:r>
                  <w:r>
                    <w:rPr>
                      <w:rFonts w:hint="eastAsia"/>
                      <w:color w:val="000000" w:themeColor="text1"/>
                      <w:szCs w:val="21"/>
                      <w14:textFill>
                        <w14:solidFill>
                          <w14:schemeClr w14:val="tx1"/>
                        </w14:solidFill>
                      </w14:textFill>
                    </w:rPr>
                    <w:t>。</w:t>
                  </w:r>
                </w:p>
              </w:tc>
              <w:tc>
                <w:tcPr>
                  <w:tcW w:w="417" w:type="pct"/>
                  <w:vAlign w:val="center"/>
                </w:tcPr>
                <w:p w14:paraId="7430416B">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52A6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87" w:type="pct"/>
                  <w:vMerge w:val="continue"/>
                  <w:vAlign w:val="center"/>
                </w:tcPr>
                <w:p w14:paraId="0ED9540A">
                  <w:pPr>
                    <w:rPr>
                      <w:color w:val="000000" w:themeColor="text1"/>
                      <w:szCs w:val="21"/>
                      <w14:textFill>
                        <w14:solidFill>
                          <w14:schemeClr w14:val="tx1"/>
                        </w14:solidFill>
                      </w14:textFill>
                    </w:rPr>
                  </w:pPr>
                </w:p>
              </w:tc>
              <w:tc>
                <w:tcPr>
                  <w:tcW w:w="375" w:type="pct"/>
                  <w:vMerge w:val="restart"/>
                  <w:vAlign w:val="center"/>
                </w:tcPr>
                <w:p w14:paraId="4D5351D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403" w:type="pct"/>
                  <w:vAlign w:val="center"/>
                </w:tcPr>
                <w:p w14:paraId="51EDE5E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现有源提标升级改造</w:t>
                  </w:r>
                </w:p>
              </w:tc>
              <w:tc>
                <w:tcPr>
                  <w:tcW w:w="2015" w:type="pct"/>
                  <w:vAlign w:val="center"/>
                </w:tcPr>
                <w:p w14:paraId="0B0F8D4E">
                  <w:pPr>
                    <w:rPr>
                      <w:color w:val="000000" w:themeColor="text1"/>
                      <w:szCs w:val="21"/>
                      <w14:textFill>
                        <w14:solidFill>
                          <w14:schemeClr w14:val="tx1"/>
                        </w14:solidFill>
                      </w14:textFill>
                    </w:rPr>
                  </w:pPr>
                  <w:r>
                    <w:rPr>
                      <w:color w:val="000000" w:themeColor="text1"/>
                      <w:szCs w:val="21"/>
                      <w14:textFill>
                        <w14:solidFill>
                          <w14:schemeClr w14:val="tx1"/>
                        </w14:solidFill>
                      </w14:textFill>
                    </w:rPr>
                    <w:t>鼓励现有属于国家、省环保绩效分级重点行业项目按照地方管理文件要求开展提标升级改造工作，废气污染物排放逐步达到特别排放限值</w:t>
                  </w:r>
                </w:p>
              </w:tc>
              <w:tc>
                <w:tcPr>
                  <w:tcW w:w="1500" w:type="pct"/>
                  <w:vAlign w:val="center"/>
                </w:tcPr>
                <w:p w14:paraId="47A9D5A6">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w:t>
                  </w:r>
                  <w:r>
                    <w:rPr>
                      <w:rFonts w:hint="eastAsia"/>
                      <w:color w:val="000000" w:themeColor="text1"/>
                      <w:szCs w:val="21"/>
                      <w14:textFill>
                        <w14:solidFill>
                          <w14:schemeClr w14:val="tx1"/>
                        </w14:solidFill>
                      </w14:textFill>
                    </w:rPr>
                    <w:t>。</w:t>
                  </w:r>
                </w:p>
              </w:tc>
              <w:tc>
                <w:tcPr>
                  <w:tcW w:w="417" w:type="pct"/>
                  <w:vAlign w:val="center"/>
                </w:tcPr>
                <w:p w14:paraId="64C3E954">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97428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6C4FB2CA">
                  <w:pPr>
                    <w:rPr>
                      <w:color w:val="000000" w:themeColor="text1"/>
                      <w:szCs w:val="21"/>
                      <w14:textFill>
                        <w14:solidFill>
                          <w14:schemeClr w14:val="tx1"/>
                        </w14:solidFill>
                      </w14:textFill>
                    </w:rPr>
                  </w:pPr>
                </w:p>
              </w:tc>
              <w:tc>
                <w:tcPr>
                  <w:tcW w:w="375" w:type="pct"/>
                  <w:vMerge w:val="continue"/>
                  <w:vAlign w:val="center"/>
                </w:tcPr>
                <w:p w14:paraId="3A9410E7">
                  <w:pPr>
                    <w:rPr>
                      <w:color w:val="000000" w:themeColor="text1"/>
                      <w:szCs w:val="21"/>
                      <w14:textFill>
                        <w14:solidFill>
                          <w14:schemeClr w14:val="tx1"/>
                        </w14:solidFill>
                      </w14:textFill>
                    </w:rPr>
                  </w:pPr>
                </w:p>
              </w:tc>
              <w:tc>
                <w:tcPr>
                  <w:tcW w:w="403" w:type="pct"/>
                  <w:vAlign w:val="center"/>
                </w:tcPr>
                <w:p w14:paraId="1A4AC6D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新增源等量或倍量替代</w:t>
                  </w:r>
                </w:p>
              </w:tc>
              <w:tc>
                <w:tcPr>
                  <w:tcW w:w="2015" w:type="pct"/>
                  <w:vAlign w:val="center"/>
                </w:tcPr>
                <w:p w14:paraId="5FF029BA">
                  <w:pPr>
                    <w:rPr>
                      <w:color w:val="000000" w:themeColor="text1"/>
                      <w:szCs w:val="21"/>
                      <w14:textFill>
                        <w14:solidFill>
                          <w14:schemeClr w14:val="tx1"/>
                        </w14:solidFill>
                      </w14:textFill>
                    </w:rPr>
                  </w:pPr>
                  <w:r>
                    <w:rPr>
                      <w:color w:val="000000" w:themeColor="text1"/>
                      <w:szCs w:val="21"/>
                      <w14:textFill>
                        <w14:solidFill>
                          <w14:schemeClr w14:val="tx1"/>
                        </w14:solidFill>
                      </w14:textFill>
                    </w:rPr>
                    <w:t>新建、扩建项目新增废气总量控制因子实施污染物倍量替代削减；</w:t>
                  </w:r>
                </w:p>
                <w:p w14:paraId="09CFA1FC">
                  <w:pPr>
                    <w:rPr>
                      <w:color w:val="000000" w:themeColor="text1"/>
                      <w:szCs w:val="21"/>
                      <w14:textFill>
                        <w14:solidFill>
                          <w14:schemeClr w14:val="tx1"/>
                        </w14:solidFill>
                      </w14:textFill>
                    </w:rPr>
                  </w:pPr>
                  <w:r>
                    <w:rPr>
                      <w:color w:val="000000" w:themeColor="text1"/>
                      <w:szCs w:val="21"/>
                      <w14:textFill>
                        <w14:solidFill>
                          <w14:schemeClr w14:val="tx1"/>
                        </w14:solidFill>
                      </w14:textFill>
                    </w:rPr>
                    <w:t>新建、扩建项目新增废水总量控制因子实施污染物等量替代削减</w:t>
                  </w:r>
                </w:p>
              </w:tc>
              <w:tc>
                <w:tcPr>
                  <w:tcW w:w="1500" w:type="pct"/>
                  <w:vAlign w:val="center"/>
                </w:tcPr>
                <w:p w14:paraId="4A4A2D12">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项目新增废气总量控制因子颗粒物、非甲烷总烃等实施污染物倍量替代削减；项目新增废水总量控制因子COD、NH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-N实施污染物等量替代削减。</w:t>
                  </w:r>
                </w:p>
              </w:tc>
              <w:tc>
                <w:tcPr>
                  <w:tcW w:w="417" w:type="pct"/>
                  <w:vAlign w:val="center"/>
                </w:tcPr>
                <w:p w14:paraId="3BC70B89">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4458A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2F944538">
                  <w:pPr>
                    <w:rPr>
                      <w:color w:val="000000" w:themeColor="text1"/>
                      <w:szCs w:val="21"/>
                      <w14:textFill>
                        <w14:solidFill>
                          <w14:schemeClr w14:val="tx1"/>
                        </w14:solidFill>
                      </w14:textFill>
                    </w:rPr>
                  </w:pPr>
                </w:p>
              </w:tc>
              <w:tc>
                <w:tcPr>
                  <w:tcW w:w="375" w:type="pct"/>
                  <w:vMerge w:val="continue"/>
                  <w:vAlign w:val="center"/>
                </w:tcPr>
                <w:p w14:paraId="5BFA67DE">
                  <w:pPr>
                    <w:rPr>
                      <w:color w:val="000000" w:themeColor="text1"/>
                      <w:szCs w:val="21"/>
                      <w14:textFill>
                        <w14:solidFill>
                          <w14:schemeClr w14:val="tx1"/>
                        </w14:solidFill>
                      </w14:textFill>
                    </w:rPr>
                  </w:pPr>
                </w:p>
              </w:tc>
              <w:tc>
                <w:tcPr>
                  <w:tcW w:w="403" w:type="pct"/>
                  <w:vAlign w:val="center"/>
                </w:tcPr>
                <w:p w14:paraId="1E1FC34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新增污染源排放标准限值</w:t>
                  </w:r>
                </w:p>
              </w:tc>
              <w:tc>
                <w:tcPr>
                  <w:tcW w:w="2015" w:type="pct"/>
                  <w:vAlign w:val="center"/>
                </w:tcPr>
                <w:p w14:paraId="05D90CD9">
                  <w:pPr>
                    <w:rPr>
                      <w:color w:val="000000" w:themeColor="text1"/>
                      <w:szCs w:val="21"/>
                      <w14:textFill>
                        <w14:solidFill>
                          <w14:schemeClr w14:val="tx1"/>
                        </w14:solidFill>
                      </w14:textFill>
                    </w:rPr>
                  </w:pPr>
                  <w:r>
                    <w:rPr>
                      <w:color w:val="000000" w:themeColor="text1"/>
                      <w:szCs w:val="21"/>
                      <w14:textFill>
                        <w14:solidFill>
                          <w14:schemeClr w14:val="tx1"/>
                        </w14:solidFill>
                      </w14:textFill>
                    </w:rPr>
                    <w:t>新建符合园区主导产业或产业链发展要求的国家、省环保绩效分级重点行业项目需满足国家、地方污染物排放标准要求</w:t>
                  </w:r>
                </w:p>
              </w:tc>
              <w:tc>
                <w:tcPr>
                  <w:tcW w:w="1500" w:type="pct"/>
                  <w:vAlign w:val="center"/>
                </w:tcPr>
                <w:p w14:paraId="10A76B60">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经比对</w:t>
                  </w:r>
                  <w:r>
                    <w:rPr>
                      <w:color w:val="000000" w:themeColor="text1"/>
                      <w:szCs w:val="21"/>
                      <w14:textFill>
                        <w14:solidFill>
                          <w14:schemeClr w14:val="tx1"/>
                        </w14:solidFill>
                      </w14:textFill>
                    </w:rPr>
                    <w:t>《河南省重污染天气重点行业应急减排措施制定技术指南》（202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w:t>
                  </w:r>
                  <w:r>
                    <w:rPr>
                      <w:rFonts w:hint="eastAsia"/>
                      <w:color w:val="000000" w:themeColor="text1"/>
                      <w:szCs w:val="21"/>
                      <w14:textFill>
                        <w14:solidFill>
                          <w14:schemeClr w14:val="tx1"/>
                        </w14:solidFill>
                      </w14:textFill>
                    </w:rPr>
                    <w:t>，项目不属于其中的重点行业</w:t>
                  </w:r>
                  <w:r>
                    <w:rPr>
                      <w:rStyle w:val="30"/>
                      <w:rFonts w:hint="eastAsia"/>
                      <w:color w:val="000000" w:themeColor="text1"/>
                      <w14:textFill>
                        <w14:solidFill>
                          <w14:schemeClr w14:val="tx1"/>
                        </w14:solidFill>
                      </w14:textFill>
                    </w:rPr>
                    <w:t>，符合通用行业基本要求</w:t>
                  </w:r>
                  <w:r>
                    <w:rPr>
                      <w:color w:val="000000" w:themeColor="text1"/>
                      <w:szCs w:val="21"/>
                      <w14:textFill>
                        <w14:solidFill>
                          <w14:schemeClr w14:val="tx1"/>
                        </w14:solidFill>
                      </w14:textFill>
                    </w:rPr>
                    <w:t>。</w:t>
                  </w:r>
                </w:p>
              </w:tc>
              <w:tc>
                <w:tcPr>
                  <w:tcW w:w="417" w:type="pct"/>
                  <w:vAlign w:val="center"/>
                </w:tcPr>
                <w:p w14:paraId="1E87DC05">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4BE1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36A096C9">
                  <w:pPr>
                    <w:rPr>
                      <w:color w:val="000000" w:themeColor="text1"/>
                      <w:szCs w:val="21"/>
                      <w14:textFill>
                        <w14:solidFill>
                          <w14:schemeClr w14:val="tx1"/>
                        </w14:solidFill>
                      </w14:textFill>
                    </w:rPr>
                  </w:pPr>
                </w:p>
              </w:tc>
              <w:tc>
                <w:tcPr>
                  <w:tcW w:w="375" w:type="pct"/>
                  <w:vMerge w:val="continue"/>
                  <w:vAlign w:val="center"/>
                </w:tcPr>
                <w:p w14:paraId="2B7ABF06">
                  <w:pPr>
                    <w:rPr>
                      <w:color w:val="000000" w:themeColor="text1"/>
                      <w:szCs w:val="21"/>
                      <w14:textFill>
                        <w14:solidFill>
                          <w14:schemeClr w14:val="tx1"/>
                        </w14:solidFill>
                      </w14:textFill>
                    </w:rPr>
                  </w:pPr>
                </w:p>
              </w:tc>
              <w:tc>
                <w:tcPr>
                  <w:tcW w:w="403" w:type="pct"/>
                  <w:vAlign w:val="center"/>
                </w:tcPr>
                <w:p w14:paraId="6FE5A79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污染物排放环保绩效水平准</w:t>
                  </w:r>
                </w:p>
                <w:p w14:paraId="0C77C5C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入</w:t>
                  </w:r>
                </w:p>
              </w:tc>
              <w:tc>
                <w:tcPr>
                  <w:tcW w:w="2015" w:type="pct"/>
                  <w:vAlign w:val="center"/>
                </w:tcPr>
                <w:p w14:paraId="550ADCF2">
                  <w:pPr>
                    <w:rPr>
                      <w:color w:val="000000" w:themeColor="text1"/>
                      <w:szCs w:val="21"/>
                      <w14:textFill>
                        <w14:solidFill>
                          <w14:schemeClr w14:val="tx1"/>
                        </w14:solidFill>
                      </w14:textFill>
                    </w:rPr>
                  </w:pPr>
                  <w:r>
                    <w:rPr>
                      <w:color w:val="000000" w:themeColor="text1"/>
                      <w:szCs w:val="21"/>
                      <w14:textFill>
                        <w14:solidFill>
                          <w14:schemeClr w14:val="tx1"/>
                        </w14:solidFill>
                      </w14:textFill>
                    </w:rPr>
                    <w:t>入园的新建、扩建金属表面处理及热处理加工、商砼（沥青）搅拌站环保绩效分级需达到A级绩效水平，改建项目达到B级绩效水平</w:t>
                  </w:r>
                </w:p>
              </w:tc>
              <w:tc>
                <w:tcPr>
                  <w:tcW w:w="1500" w:type="pct"/>
                  <w:vAlign w:val="center"/>
                </w:tcPr>
                <w:p w14:paraId="5C579158">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项目不属于金属表面处理及热处理加工、商砼（沥青）搅拌站等行业</w:t>
                  </w:r>
                  <w:r>
                    <w:rPr>
                      <w:rStyle w:val="30"/>
                      <w:rFonts w:hint="eastAsia"/>
                      <w:color w:val="000000" w:themeColor="text1"/>
                      <w14:textFill>
                        <w14:solidFill>
                          <w14:schemeClr w14:val="tx1"/>
                        </w14:solidFill>
                      </w14:textFill>
                    </w:rPr>
                    <w:t>，符合通用行业基本要求</w:t>
                  </w:r>
                  <w:r>
                    <w:rPr>
                      <w:rFonts w:hint="eastAsia"/>
                      <w:color w:val="000000" w:themeColor="text1"/>
                      <w:szCs w:val="21"/>
                      <w14:textFill>
                        <w14:solidFill>
                          <w14:schemeClr w14:val="tx1"/>
                        </w14:solidFill>
                      </w14:textFill>
                    </w:rPr>
                    <w:t>。</w:t>
                  </w:r>
                </w:p>
              </w:tc>
              <w:tc>
                <w:tcPr>
                  <w:tcW w:w="417" w:type="pct"/>
                  <w:vAlign w:val="center"/>
                </w:tcPr>
                <w:p w14:paraId="41D3CE76">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4183C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717AD54A">
                  <w:pPr>
                    <w:rPr>
                      <w:color w:val="000000" w:themeColor="text1"/>
                      <w:szCs w:val="21"/>
                      <w14:textFill>
                        <w14:solidFill>
                          <w14:schemeClr w14:val="tx1"/>
                        </w14:solidFill>
                      </w14:textFill>
                    </w:rPr>
                  </w:pPr>
                </w:p>
              </w:tc>
              <w:tc>
                <w:tcPr>
                  <w:tcW w:w="375" w:type="pct"/>
                  <w:vMerge w:val="restart"/>
                  <w:vAlign w:val="center"/>
                </w:tcPr>
                <w:p w14:paraId="2E05083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环境风险防控</w:t>
                  </w:r>
                </w:p>
              </w:tc>
              <w:tc>
                <w:tcPr>
                  <w:tcW w:w="403" w:type="pct"/>
                  <w:vAlign w:val="center"/>
                </w:tcPr>
                <w:p w14:paraId="3E6CD69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用地环境风险防控</w:t>
                  </w:r>
                </w:p>
              </w:tc>
              <w:tc>
                <w:tcPr>
                  <w:tcW w:w="2015" w:type="pct"/>
                  <w:vAlign w:val="center"/>
                </w:tcPr>
                <w:p w14:paraId="246B4C7C">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1、对列入疑似污染地块名单的地块，未经土壤污染状况调查确定为未污染地块的，不得进入用地程序；</w:t>
                  </w:r>
                </w:p>
                <w:p w14:paraId="71B3D6ED">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2、已污染地块，应当依法开展土壤污染状况调查、治理与修复，符合规划利用土地性质土壤环境质量 要求后，方可进入用地程序</w:t>
                  </w:r>
                </w:p>
              </w:tc>
              <w:tc>
                <w:tcPr>
                  <w:tcW w:w="1500" w:type="pct"/>
                  <w:vAlign w:val="center"/>
                </w:tcPr>
                <w:p w14:paraId="1C76C27A">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项目厂区用地不属于疑似污染地块、已污染地块</w:t>
                  </w:r>
                  <w:r>
                    <w:rPr>
                      <w:rFonts w:hint="eastAsia"/>
                      <w:color w:val="000000" w:themeColor="text1"/>
                      <w:szCs w:val="21"/>
                      <w14:textFill>
                        <w14:solidFill>
                          <w14:schemeClr w14:val="tx1"/>
                        </w14:solidFill>
                      </w14:textFill>
                    </w:rPr>
                    <w:t>。</w:t>
                  </w:r>
                </w:p>
              </w:tc>
              <w:tc>
                <w:tcPr>
                  <w:tcW w:w="417" w:type="pct"/>
                  <w:vAlign w:val="center"/>
                </w:tcPr>
                <w:p w14:paraId="48E2878F">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04492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031E58F9">
                  <w:pPr>
                    <w:rPr>
                      <w:color w:val="000000" w:themeColor="text1"/>
                      <w:szCs w:val="21"/>
                      <w14:textFill>
                        <w14:solidFill>
                          <w14:schemeClr w14:val="tx1"/>
                        </w14:solidFill>
                      </w14:textFill>
                    </w:rPr>
                  </w:pPr>
                </w:p>
              </w:tc>
              <w:tc>
                <w:tcPr>
                  <w:tcW w:w="375" w:type="pct"/>
                  <w:vMerge w:val="continue"/>
                  <w:vAlign w:val="center"/>
                </w:tcPr>
                <w:p w14:paraId="169EC553">
                  <w:pPr>
                    <w:jc w:val="center"/>
                    <w:rPr>
                      <w:color w:val="000000" w:themeColor="text1"/>
                      <w:szCs w:val="21"/>
                      <w14:textFill>
                        <w14:solidFill>
                          <w14:schemeClr w14:val="tx1"/>
                        </w14:solidFill>
                      </w14:textFill>
                    </w:rPr>
                  </w:pPr>
                </w:p>
              </w:tc>
              <w:tc>
                <w:tcPr>
                  <w:tcW w:w="403" w:type="pct"/>
                  <w:vAlign w:val="center"/>
                </w:tcPr>
                <w:p w14:paraId="18DE67DB">
                  <w:pP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企业环境风险防控</w:t>
                  </w:r>
                </w:p>
              </w:tc>
              <w:tc>
                <w:tcPr>
                  <w:tcW w:w="2015" w:type="pct"/>
                  <w:vAlign w:val="center"/>
                </w:tcPr>
                <w:p w14:paraId="28E10B60">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1、禁止生产、使用《危险化学品目录》中的剧毒化学品</w:t>
                  </w:r>
                </w:p>
                <w:p w14:paraId="039A30F3">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2、禁止建设采用国家重点监管的危险化工工艺项目</w:t>
                  </w:r>
                </w:p>
              </w:tc>
              <w:tc>
                <w:tcPr>
                  <w:tcW w:w="1500" w:type="pct"/>
                  <w:vAlign w:val="center"/>
                </w:tcPr>
                <w:p w14:paraId="40C8113B">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本项目不生产和使用《危险化学品目录》中的剧毒化学品</w:t>
                  </w:r>
                  <w:r>
                    <w:rPr>
                      <w:rFonts w:hint="eastAsia"/>
                      <w:color w:val="000000" w:themeColor="text1"/>
                      <w:szCs w:val="21"/>
                      <w14:textFill>
                        <w14:solidFill>
                          <w14:schemeClr w14:val="tx1"/>
                        </w14:solidFill>
                      </w14:textFill>
                    </w:rPr>
                    <w:t>；</w:t>
                  </w:r>
                </w:p>
                <w:p w14:paraId="553C9EFD">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2、本项目</w:t>
                  </w:r>
                  <w:r>
                    <w:rPr>
                      <w:color w:val="000000" w:themeColor="text1"/>
                      <w:szCs w:val="21"/>
                      <w14:textFill>
                        <w14:solidFill>
                          <w14:schemeClr w14:val="tx1"/>
                        </w14:solidFill>
                      </w14:textFill>
                    </w:rPr>
                    <w:t>不属于国家重点监管的危险化工工艺项目</w:t>
                  </w:r>
                  <w:r>
                    <w:rPr>
                      <w:rFonts w:hint="eastAsia"/>
                      <w:color w:val="000000" w:themeColor="text1"/>
                      <w:szCs w:val="21"/>
                      <w14:textFill>
                        <w14:solidFill>
                          <w14:schemeClr w14:val="tx1"/>
                        </w14:solidFill>
                      </w14:textFill>
                    </w:rPr>
                    <w:t>。</w:t>
                  </w:r>
                </w:p>
              </w:tc>
              <w:tc>
                <w:tcPr>
                  <w:tcW w:w="417" w:type="pct"/>
                  <w:vAlign w:val="center"/>
                </w:tcPr>
                <w:p w14:paraId="181033C4">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6B2D9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2FFD0C04">
                  <w:pPr>
                    <w:rPr>
                      <w:color w:val="000000" w:themeColor="text1"/>
                      <w:szCs w:val="21"/>
                      <w14:textFill>
                        <w14:solidFill>
                          <w14:schemeClr w14:val="tx1"/>
                        </w14:solidFill>
                      </w14:textFill>
                    </w:rPr>
                  </w:pPr>
                </w:p>
              </w:tc>
              <w:tc>
                <w:tcPr>
                  <w:tcW w:w="375" w:type="pct"/>
                  <w:vMerge w:val="restart"/>
                  <w:vAlign w:val="center"/>
                </w:tcPr>
                <w:p w14:paraId="6EFD986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资源利用效率</w:t>
                  </w:r>
                </w:p>
              </w:tc>
              <w:tc>
                <w:tcPr>
                  <w:tcW w:w="403" w:type="pct"/>
                  <w:vAlign w:val="center"/>
                </w:tcPr>
                <w:p w14:paraId="0EB1079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水资源利用效率要求</w:t>
                  </w:r>
                </w:p>
              </w:tc>
              <w:tc>
                <w:tcPr>
                  <w:tcW w:w="2015" w:type="pct"/>
                  <w:vAlign w:val="center"/>
                </w:tcPr>
                <w:p w14:paraId="09FD7D44">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1、禁止入驻印染、制革等高耗水项目</w:t>
                  </w:r>
                </w:p>
                <w:p w14:paraId="7C7C5654">
                  <w:pPr>
                    <w:rPr>
                      <w:color w:val="000000" w:themeColor="text1"/>
                      <w:szCs w:val="21"/>
                      <w14:textFill>
                        <w14:solidFill>
                          <w14:schemeClr w14:val="tx1"/>
                        </w14:solidFill>
                      </w14:textFill>
                    </w:rPr>
                  </w:pPr>
                  <w:r>
                    <w:rPr>
                      <w:color w:val="000000" w:themeColor="text1"/>
                      <w:szCs w:val="21"/>
                      <w14:textFill>
                        <w14:solidFill>
                          <w14:schemeClr w14:val="tx1"/>
                        </w14:solidFill>
                      </w14:textFill>
                    </w:rPr>
                    <w:t>2、限制工业发展使用优质南水北调水源</w:t>
                  </w:r>
                </w:p>
                <w:p w14:paraId="5413AD73">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3、开发区中水回用率不低于30%</w:t>
                  </w:r>
                </w:p>
              </w:tc>
              <w:tc>
                <w:tcPr>
                  <w:tcW w:w="1500" w:type="pct"/>
                  <w:vAlign w:val="center"/>
                </w:tcPr>
                <w:p w14:paraId="41C1CF23">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项目不属于印染、制革等高耗水项目</w:t>
                  </w:r>
                  <w:r>
                    <w:rPr>
                      <w:rFonts w:hint="eastAsia"/>
                      <w:color w:val="000000" w:themeColor="text1"/>
                      <w:szCs w:val="21"/>
                      <w14:textFill>
                        <w14:solidFill>
                          <w14:schemeClr w14:val="tx1"/>
                        </w14:solidFill>
                      </w14:textFill>
                    </w:rPr>
                    <w:t>；</w:t>
                  </w:r>
                </w:p>
                <w:p w14:paraId="493A5434">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项目用水来源于市政供水</w:t>
                  </w:r>
                  <w:r>
                    <w:rPr>
                      <w:rFonts w:hint="eastAsia"/>
                      <w:color w:val="000000" w:themeColor="text1"/>
                      <w:szCs w:val="21"/>
                      <w14:textFill>
                        <w14:solidFill>
                          <w14:schemeClr w14:val="tx1"/>
                        </w14:solidFill>
                      </w14:textFill>
                    </w:rPr>
                    <w:t>；</w:t>
                  </w:r>
                </w:p>
                <w:p w14:paraId="7265B990">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3、本项目不涉及。</w:t>
                  </w:r>
                </w:p>
              </w:tc>
              <w:tc>
                <w:tcPr>
                  <w:tcW w:w="417" w:type="pct"/>
                  <w:vAlign w:val="center"/>
                </w:tcPr>
                <w:p w14:paraId="4446CA19">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2C79F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137781FA">
                  <w:pPr>
                    <w:rPr>
                      <w:color w:val="000000" w:themeColor="text1"/>
                      <w:szCs w:val="21"/>
                      <w14:textFill>
                        <w14:solidFill>
                          <w14:schemeClr w14:val="tx1"/>
                        </w14:solidFill>
                      </w14:textFill>
                    </w:rPr>
                  </w:pPr>
                </w:p>
              </w:tc>
              <w:tc>
                <w:tcPr>
                  <w:tcW w:w="375" w:type="pct"/>
                  <w:vMerge w:val="continue"/>
                  <w:vAlign w:val="center"/>
                </w:tcPr>
                <w:p w14:paraId="52FF63FA">
                  <w:pPr>
                    <w:rPr>
                      <w:color w:val="000000" w:themeColor="text1"/>
                      <w:szCs w:val="21"/>
                      <w14:textFill>
                        <w14:solidFill>
                          <w14:schemeClr w14:val="tx1"/>
                        </w14:solidFill>
                      </w14:textFill>
                    </w:rPr>
                  </w:pPr>
                </w:p>
              </w:tc>
              <w:tc>
                <w:tcPr>
                  <w:tcW w:w="403" w:type="pct"/>
                  <w:vAlign w:val="center"/>
                </w:tcPr>
                <w:p w14:paraId="78F2ED1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地下水开采要求</w:t>
                  </w:r>
                </w:p>
              </w:tc>
              <w:tc>
                <w:tcPr>
                  <w:tcW w:w="2015" w:type="pct"/>
                  <w:vAlign w:val="center"/>
                </w:tcPr>
                <w:p w14:paraId="43B72807">
                  <w:pPr>
                    <w:rPr>
                      <w:color w:val="000000" w:themeColor="text1"/>
                      <w:szCs w:val="21"/>
                      <w14:textFill>
                        <w14:solidFill>
                          <w14:schemeClr w14:val="tx1"/>
                        </w14:solidFill>
                      </w14:textFill>
                    </w:rPr>
                  </w:pPr>
                  <w:r>
                    <w:rPr>
                      <w:color w:val="000000" w:themeColor="text1"/>
                      <w:szCs w:val="21"/>
                      <w14:textFill>
                        <w14:solidFill>
                          <w14:schemeClr w14:val="tx1"/>
                        </w14:solidFill>
                      </w14:textFill>
                    </w:rPr>
                    <w:t>禁止工业发展新增地下水开采量</w:t>
                  </w:r>
                </w:p>
              </w:tc>
              <w:tc>
                <w:tcPr>
                  <w:tcW w:w="1500" w:type="pct"/>
                  <w:vAlign w:val="center"/>
                </w:tcPr>
                <w:p w14:paraId="0BA6FD2E">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项目用水来源于市政供水</w:t>
                  </w:r>
                  <w:r>
                    <w:rPr>
                      <w:rFonts w:hint="eastAsia"/>
                      <w:color w:val="000000" w:themeColor="text1"/>
                      <w:szCs w:val="21"/>
                      <w14:textFill>
                        <w14:solidFill>
                          <w14:schemeClr w14:val="tx1"/>
                        </w14:solidFill>
                      </w14:textFill>
                    </w:rPr>
                    <w:t>。</w:t>
                  </w:r>
                </w:p>
              </w:tc>
              <w:tc>
                <w:tcPr>
                  <w:tcW w:w="417" w:type="pct"/>
                  <w:vAlign w:val="center"/>
                </w:tcPr>
                <w:p w14:paraId="2EE51F05">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0DDDD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restart"/>
                  <w:vAlign w:val="center"/>
                </w:tcPr>
                <w:p w14:paraId="0442B499">
                  <w:pPr>
                    <w:rPr>
                      <w:color w:val="000000" w:themeColor="text1"/>
                      <w:szCs w:val="21"/>
                      <w14:textFill>
                        <w14:solidFill>
                          <w14:schemeClr w14:val="tx1"/>
                        </w14:solidFill>
                      </w14:textFill>
                    </w:rPr>
                  </w:pPr>
                  <w:r>
                    <w:rPr>
                      <w:color w:val="000000" w:themeColor="text1"/>
                      <w:szCs w:val="21"/>
                      <w14:textFill>
                        <w14:solidFill>
                          <w14:schemeClr w14:val="tx1"/>
                        </w14:solidFill>
                      </w14:textFill>
                    </w:rPr>
                    <w:t>其他方面</w:t>
                  </w:r>
                </w:p>
              </w:tc>
              <w:tc>
                <w:tcPr>
                  <w:tcW w:w="375" w:type="pct"/>
                  <w:vMerge w:val="restart"/>
                  <w:vAlign w:val="center"/>
                </w:tcPr>
                <w:p w14:paraId="51F869C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产业 政策</w:t>
                  </w:r>
                </w:p>
              </w:tc>
              <w:tc>
                <w:tcPr>
                  <w:tcW w:w="403" w:type="pct"/>
                  <w:vAlign w:val="center"/>
                </w:tcPr>
                <w:p w14:paraId="5F300FB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鼓励类</w:t>
                  </w:r>
                </w:p>
              </w:tc>
              <w:tc>
                <w:tcPr>
                  <w:tcW w:w="2015" w:type="pct"/>
                  <w:vAlign w:val="center"/>
                </w:tcPr>
                <w:p w14:paraId="5AC52283">
                  <w:pPr>
                    <w:rPr>
                      <w:color w:val="000000" w:themeColor="text1"/>
                      <w:szCs w:val="21"/>
                      <w14:textFill>
                        <w14:solidFill>
                          <w14:schemeClr w14:val="tx1"/>
                        </w14:solidFill>
                      </w14:textFill>
                    </w:rPr>
                  </w:pPr>
                  <w:r>
                    <w:rPr>
                      <w:color w:val="000000" w:themeColor="text1"/>
                      <w:szCs w:val="21"/>
                      <w14:textFill>
                        <w14:solidFill>
                          <w14:schemeClr w14:val="tx1"/>
                        </w14:solidFill>
                      </w14:textFill>
                    </w:rPr>
                    <w:t>1、鼓励园区市政基础设施项目、集中供热中心热电联产扩建项目</w:t>
                  </w:r>
                </w:p>
                <w:p w14:paraId="1B36F44B">
                  <w:pPr>
                    <w:rPr>
                      <w:color w:val="000000" w:themeColor="text1"/>
                      <w:szCs w:val="21"/>
                      <w14:textFill>
                        <w14:solidFill>
                          <w14:schemeClr w14:val="tx1"/>
                        </w14:solidFill>
                      </w14:textFill>
                    </w:rPr>
                  </w:pPr>
                  <w:r>
                    <w:rPr>
                      <w:color w:val="000000" w:themeColor="text1"/>
                      <w:szCs w:val="21"/>
                      <w14:textFill>
                        <w14:solidFill>
                          <w14:schemeClr w14:val="tx1"/>
                        </w14:solidFill>
                      </w14:textFill>
                    </w:rPr>
                    <w:t>2、鼓励属于《产业结构调整指导目录（2024年本）》中鼓励类项目、且环境影响较小的项目入驻</w:t>
                  </w:r>
                </w:p>
              </w:tc>
              <w:tc>
                <w:tcPr>
                  <w:tcW w:w="1500" w:type="pct"/>
                  <w:vAlign w:val="center"/>
                </w:tcPr>
                <w:p w14:paraId="45D3569A">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项目属于《产业结构调整指导目录（2024年本）》</w:t>
                  </w:r>
                  <w:r>
                    <w:rPr>
                      <w:rFonts w:hint="eastAsia"/>
                      <w:color w:val="000000" w:themeColor="text1"/>
                      <w:szCs w:val="21"/>
                      <w14:textFill>
                        <w14:solidFill>
                          <w14:schemeClr w14:val="tx1"/>
                        </w14:solidFill>
                      </w14:textFill>
                    </w:rPr>
                    <w:t>中</w:t>
                  </w:r>
                  <w:r>
                    <w:rPr>
                      <w:color w:val="000000" w:themeColor="text1"/>
                      <w:szCs w:val="21"/>
                      <w14:textFill>
                        <w14:solidFill>
                          <w14:schemeClr w14:val="tx1"/>
                        </w14:solidFill>
                      </w14:textFill>
                    </w:rPr>
                    <w:t>允许类，在严格落实各项污染防治措施基础上预计环境影响较小</w:t>
                  </w:r>
                  <w:r>
                    <w:rPr>
                      <w:rFonts w:hint="eastAsia"/>
                      <w:color w:val="000000" w:themeColor="text1"/>
                      <w:szCs w:val="21"/>
                      <w14:textFill>
                        <w14:solidFill>
                          <w14:schemeClr w14:val="tx1"/>
                        </w14:solidFill>
                      </w14:textFill>
                    </w:rPr>
                    <w:t>。</w:t>
                  </w:r>
                </w:p>
              </w:tc>
              <w:tc>
                <w:tcPr>
                  <w:tcW w:w="417" w:type="pct"/>
                  <w:vAlign w:val="center"/>
                </w:tcPr>
                <w:p w14:paraId="15FFD550">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08002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0C6D5526">
                  <w:pPr>
                    <w:rPr>
                      <w:color w:val="000000" w:themeColor="text1"/>
                      <w:szCs w:val="21"/>
                      <w14:textFill>
                        <w14:solidFill>
                          <w14:schemeClr w14:val="tx1"/>
                        </w14:solidFill>
                      </w14:textFill>
                    </w:rPr>
                  </w:pPr>
                </w:p>
              </w:tc>
              <w:tc>
                <w:tcPr>
                  <w:tcW w:w="375" w:type="pct"/>
                  <w:vMerge w:val="continue"/>
                  <w:vAlign w:val="center"/>
                </w:tcPr>
                <w:p w14:paraId="77C2006C">
                  <w:pPr>
                    <w:rPr>
                      <w:color w:val="000000" w:themeColor="text1"/>
                      <w:szCs w:val="21"/>
                      <w14:textFill>
                        <w14:solidFill>
                          <w14:schemeClr w14:val="tx1"/>
                        </w14:solidFill>
                      </w14:textFill>
                    </w:rPr>
                  </w:pPr>
                </w:p>
              </w:tc>
              <w:tc>
                <w:tcPr>
                  <w:tcW w:w="403" w:type="pct"/>
                  <w:vAlign w:val="center"/>
                </w:tcPr>
                <w:p w14:paraId="40F2EB9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限制类</w:t>
                  </w:r>
                </w:p>
              </w:tc>
              <w:tc>
                <w:tcPr>
                  <w:tcW w:w="2015" w:type="pct"/>
                  <w:vAlign w:val="center"/>
                </w:tcPr>
                <w:p w14:paraId="054486DD">
                  <w:pPr>
                    <w:rPr>
                      <w:color w:val="000000" w:themeColor="text1"/>
                      <w:szCs w:val="21"/>
                      <w14:textFill>
                        <w14:solidFill>
                          <w14:schemeClr w14:val="tx1"/>
                        </w14:solidFill>
                      </w14:textFill>
                    </w:rPr>
                  </w:pPr>
                  <w:r>
                    <w:rPr>
                      <w:color w:val="000000" w:themeColor="text1"/>
                      <w:szCs w:val="21"/>
                      <w14:textFill>
                        <w14:solidFill>
                          <w14:schemeClr w14:val="tx1"/>
                        </w14:solidFill>
                      </w14:textFill>
                    </w:rPr>
                    <w:t>1、《产业结构调整指导目录（2024 年本）》中限制类项目</w:t>
                  </w:r>
                </w:p>
                <w:p w14:paraId="740D658C">
                  <w:pPr>
                    <w:rPr>
                      <w:color w:val="000000" w:themeColor="text1"/>
                      <w:szCs w:val="21"/>
                      <w14:textFill>
                        <w14:solidFill>
                          <w14:schemeClr w14:val="tx1"/>
                        </w14:solidFill>
                      </w14:textFill>
                    </w:rPr>
                  </w:pPr>
                  <w:r>
                    <w:rPr>
                      <w:color w:val="000000" w:themeColor="text1"/>
                      <w:szCs w:val="21"/>
                      <w14:textFill>
                        <w14:solidFill>
                          <w14:schemeClr w14:val="tx1"/>
                        </w14:solidFill>
                      </w14:textFill>
                    </w:rPr>
                    <w:t>2、《产业发展与转移指导目录（2018年本）》中，中部地区引导逐步调整退出的产业</w:t>
                  </w:r>
                </w:p>
              </w:tc>
              <w:tc>
                <w:tcPr>
                  <w:tcW w:w="1500" w:type="pct"/>
                  <w:vAlign w:val="center"/>
                </w:tcPr>
                <w:p w14:paraId="68BD8721">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项目不属于《产业结构调整指导目录（2024年本）》中限制类项目</w:t>
                  </w:r>
                  <w:r>
                    <w:rPr>
                      <w:rFonts w:hint="eastAsia"/>
                      <w:color w:val="000000" w:themeColor="text1"/>
                      <w:szCs w:val="21"/>
                      <w14:textFill>
                        <w14:solidFill>
                          <w14:schemeClr w14:val="tx1"/>
                        </w14:solidFill>
                      </w14:textFill>
                    </w:rPr>
                    <w:t>；</w:t>
                  </w:r>
                </w:p>
                <w:p w14:paraId="50DAF49B">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2、本项目不属于</w:t>
                  </w:r>
                  <w:r>
                    <w:rPr>
                      <w:color w:val="000000" w:themeColor="text1"/>
                      <w:szCs w:val="21"/>
                      <w14:textFill>
                        <w14:solidFill>
                          <w14:schemeClr w14:val="tx1"/>
                        </w14:solidFill>
                      </w14:textFill>
                    </w:rPr>
                    <w:t>《产业发展与转移指导目录（2018年本）》中，中部地区引导逐步调整退出的产业</w:t>
                  </w:r>
                  <w:r>
                    <w:rPr>
                      <w:rFonts w:hint="eastAsia"/>
                      <w:color w:val="000000" w:themeColor="text1"/>
                      <w:szCs w:val="21"/>
                      <w14:textFill>
                        <w14:solidFill>
                          <w14:schemeClr w14:val="tx1"/>
                        </w14:solidFill>
                      </w14:textFill>
                    </w:rPr>
                    <w:t>。</w:t>
                  </w:r>
                </w:p>
              </w:tc>
              <w:tc>
                <w:tcPr>
                  <w:tcW w:w="417" w:type="pct"/>
                  <w:vAlign w:val="center"/>
                </w:tcPr>
                <w:p w14:paraId="2A400BCE">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2808A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552668E0">
                  <w:pPr>
                    <w:rPr>
                      <w:color w:val="000000" w:themeColor="text1"/>
                      <w:szCs w:val="21"/>
                      <w14:textFill>
                        <w14:solidFill>
                          <w14:schemeClr w14:val="tx1"/>
                        </w14:solidFill>
                      </w14:textFill>
                    </w:rPr>
                  </w:pPr>
                </w:p>
              </w:tc>
              <w:tc>
                <w:tcPr>
                  <w:tcW w:w="375" w:type="pct"/>
                  <w:vMerge w:val="continue"/>
                  <w:vAlign w:val="center"/>
                </w:tcPr>
                <w:p w14:paraId="32D47576">
                  <w:pPr>
                    <w:rPr>
                      <w:color w:val="000000" w:themeColor="text1"/>
                      <w:szCs w:val="21"/>
                      <w14:textFill>
                        <w14:solidFill>
                          <w14:schemeClr w14:val="tx1"/>
                        </w14:solidFill>
                      </w14:textFill>
                    </w:rPr>
                  </w:pPr>
                </w:p>
              </w:tc>
              <w:tc>
                <w:tcPr>
                  <w:tcW w:w="403" w:type="pct"/>
                  <w:vAlign w:val="center"/>
                </w:tcPr>
                <w:p w14:paraId="3029772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禁止类</w:t>
                  </w:r>
                </w:p>
              </w:tc>
              <w:tc>
                <w:tcPr>
                  <w:tcW w:w="2015" w:type="pct"/>
                  <w:vAlign w:val="center"/>
                </w:tcPr>
                <w:p w14:paraId="3BA40BD8">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1、禁止建设《河南省承接化工产业转移“禁限控 ”目录》（豫发改工业[2022]610号）中项目</w:t>
                  </w:r>
                </w:p>
                <w:p w14:paraId="1230E841">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2、禁止建设《产业结构调整指导目录（2023年本）》中淘汰类、限制类项目</w:t>
                  </w:r>
                </w:p>
                <w:p w14:paraId="6000E866">
                  <w:pPr>
                    <w:rPr>
                      <w:color w:val="000000" w:themeColor="text1"/>
                      <w:szCs w:val="21"/>
                      <w14:textFill>
                        <w14:solidFill>
                          <w14:schemeClr w14:val="tx1"/>
                        </w14:solidFill>
                      </w14:textFill>
                    </w:rPr>
                  </w:pPr>
                  <w:r>
                    <w:rPr>
                      <w:color w:val="000000" w:themeColor="text1"/>
                      <w:szCs w:val="21"/>
                      <w14:textFill>
                        <w14:solidFill>
                          <w14:schemeClr w14:val="tx1"/>
                        </w14:solidFill>
                      </w14:textFill>
                    </w:rPr>
                    <w:t>3、《产业发展与转移指导目录（2018 年本）》中，中部地区引导不再承接的产业</w:t>
                  </w:r>
                </w:p>
                <w:p w14:paraId="0A4FFE44">
                  <w:pPr>
                    <w:rPr>
                      <w:color w:val="000000" w:themeColor="text1"/>
                      <w:szCs w:val="21"/>
                      <w14:textFill>
                        <w14:solidFill>
                          <w14:schemeClr w14:val="tx1"/>
                        </w14:solidFill>
                      </w14:textFill>
                    </w:rPr>
                  </w:pPr>
                  <w:r>
                    <w:rPr>
                      <w:color w:val="000000" w:themeColor="text1"/>
                      <w:szCs w:val="21"/>
                      <w14:textFill>
                        <w14:solidFill>
                          <w14:schemeClr w14:val="tx1"/>
                        </w14:solidFill>
                      </w14:textFill>
                    </w:rPr>
                    <w:t>4、东部片区禁止入驻化学原料药、医药中间体等医药化工；根据高端装备制造产业链分析，高端装备制造产业链中的初级形态塑料及合成树脂制造属于国民经济中“化学原料和化学制品制造业”，因此建议禁止入驻该类项目；评价结合当地环境条件及行业发展情况，限制单纯新增发展平板玻璃、水泥等产能过剩项目</w:t>
                  </w:r>
                </w:p>
              </w:tc>
              <w:tc>
                <w:tcPr>
                  <w:tcW w:w="1500" w:type="pct"/>
                  <w:vAlign w:val="center"/>
                </w:tcPr>
                <w:p w14:paraId="158463E3">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1、本项目不属于《河南省承接化工产业转移</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禁限控</w:t>
                  </w: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目录》（豫发改工业[2022]610号）中项目；</w:t>
                  </w:r>
                </w:p>
                <w:p w14:paraId="58AE9F1B">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2、本项目属于《产业结构调整指导目录（2024年本）》中允许类项目，不属于淘汰类、限制类项目；</w:t>
                  </w:r>
                </w:p>
                <w:p w14:paraId="32FEAFA1">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3、本项目不属于《产业发展与转移指导目录（2018年本）》中，中部地区引导不再承接的产业；</w:t>
                  </w:r>
                </w:p>
                <w:p w14:paraId="291CEE82">
                  <w:pPr>
                    <w:rPr>
                      <w:color w:val="000000" w:themeColor="text1"/>
                      <w:szCs w:val="21"/>
                      <w14:textFill>
                        <w14:solidFill>
                          <w14:schemeClr w14:val="tx1"/>
                        </w14:solidFill>
                      </w14:textFill>
                    </w:rPr>
                  </w:pPr>
                  <w:r>
                    <w:rPr>
                      <w:color w:val="000000" w:themeColor="text1"/>
                      <w:szCs w:val="21"/>
                      <w14:textFill>
                        <w14:solidFill>
                          <w14:schemeClr w14:val="tx1"/>
                        </w14:solidFill>
                      </w14:textFill>
                    </w:rPr>
                    <w:t>4、本项目不属于化学原料和化学制品制造业、平板玻璃、水泥等产能项目</w:t>
                  </w:r>
                  <w:r>
                    <w:rPr>
                      <w:rFonts w:hint="eastAsia"/>
                      <w:color w:val="000000" w:themeColor="text1"/>
                      <w:szCs w:val="21"/>
                      <w14:textFill>
                        <w14:solidFill>
                          <w14:schemeClr w14:val="tx1"/>
                        </w14:solidFill>
                      </w14:textFill>
                    </w:rPr>
                    <w:t>。</w:t>
                  </w:r>
                </w:p>
              </w:tc>
              <w:tc>
                <w:tcPr>
                  <w:tcW w:w="417" w:type="pct"/>
                  <w:vAlign w:val="center"/>
                </w:tcPr>
                <w:p w14:paraId="217200FD">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39056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1C864119">
                  <w:pPr>
                    <w:rPr>
                      <w:color w:val="000000" w:themeColor="text1"/>
                      <w:szCs w:val="21"/>
                      <w14:textFill>
                        <w14:solidFill>
                          <w14:schemeClr w14:val="tx1"/>
                        </w14:solidFill>
                      </w14:textFill>
                    </w:rPr>
                  </w:pPr>
                </w:p>
              </w:tc>
              <w:tc>
                <w:tcPr>
                  <w:tcW w:w="778" w:type="pct"/>
                  <w:gridSpan w:val="2"/>
                  <w:vAlign w:val="center"/>
                </w:tcPr>
                <w:p w14:paraId="030CB8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生产规模和工艺装备水平</w:t>
                  </w:r>
                </w:p>
              </w:tc>
              <w:tc>
                <w:tcPr>
                  <w:tcW w:w="2015" w:type="pct"/>
                  <w:vAlign w:val="center"/>
                </w:tcPr>
                <w:p w14:paraId="04725705">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1、入园项目必须达到国内同行业领先水平或具备国际先进水平</w:t>
                  </w:r>
                </w:p>
                <w:p w14:paraId="555E179E">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2、入园企业建设规模应符合国家相关行业准入条件中的经济、产品规模和生产工艺、污染治理、污染 物排放的相关要求</w:t>
                  </w:r>
                </w:p>
              </w:tc>
              <w:tc>
                <w:tcPr>
                  <w:tcW w:w="1500" w:type="pct"/>
                  <w:vAlign w:val="center"/>
                </w:tcPr>
                <w:p w14:paraId="1D7081C9">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项目达到国内同行业领先水平；项目生产工艺、污染防治措施及污染物排放满足相关标准要求</w:t>
                  </w:r>
                  <w:r>
                    <w:rPr>
                      <w:rFonts w:hint="eastAsia"/>
                      <w:color w:val="000000" w:themeColor="text1"/>
                      <w:szCs w:val="21"/>
                      <w14:textFill>
                        <w14:solidFill>
                          <w14:schemeClr w14:val="tx1"/>
                        </w14:solidFill>
                      </w14:textFill>
                    </w:rPr>
                    <w:t>。</w:t>
                  </w:r>
                </w:p>
              </w:tc>
              <w:tc>
                <w:tcPr>
                  <w:tcW w:w="417" w:type="pct"/>
                  <w:vAlign w:val="center"/>
                </w:tcPr>
                <w:p w14:paraId="5C471F82">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1CC10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01FC4F7A">
                  <w:pPr>
                    <w:rPr>
                      <w:color w:val="000000" w:themeColor="text1"/>
                      <w:szCs w:val="21"/>
                      <w14:textFill>
                        <w14:solidFill>
                          <w14:schemeClr w14:val="tx1"/>
                        </w14:solidFill>
                      </w14:textFill>
                    </w:rPr>
                  </w:pPr>
                </w:p>
              </w:tc>
              <w:tc>
                <w:tcPr>
                  <w:tcW w:w="778" w:type="pct"/>
                  <w:gridSpan w:val="2"/>
                  <w:vAlign w:val="center"/>
                </w:tcPr>
                <w:p w14:paraId="76E0766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清洁生产</w:t>
                  </w:r>
                </w:p>
              </w:tc>
              <w:tc>
                <w:tcPr>
                  <w:tcW w:w="2015" w:type="pct"/>
                  <w:vAlign w:val="center"/>
                </w:tcPr>
                <w:p w14:paraId="7C547647">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1、应选择使用原料和产品为环境友好型的项目，避免园区大规模建设造成的不良辐射效应，诱使国家明令禁止项目在园区周边出现</w:t>
                  </w:r>
                </w:p>
                <w:p w14:paraId="7E408B18">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2、入园项目在单位产品水耗、能耗、污染物排放量等清洁生产指标应达到国内同类行业先进水平；</w:t>
                  </w:r>
                </w:p>
                <w:p w14:paraId="69E764E1">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3、按照循环经济发展之路，评价建议能够与园区定位发展产业形成良好循环经济链条的项目可优先入园</w:t>
                  </w:r>
                </w:p>
              </w:tc>
              <w:tc>
                <w:tcPr>
                  <w:tcW w:w="1500" w:type="pct"/>
                  <w:vAlign w:val="center"/>
                </w:tcPr>
                <w:p w14:paraId="2FC28B1E">
                  <w:pPr>
                    <w:rPr>
                      <w:color w:val="000000" w:themeColor="text1"/>
                      <w:szCs w:val="21"/>
                      <w14:textFill>
                        <w14:solidFill>
                          <w14:schemeClr w14:val="tx1"/>
                        </w14:solidFill>
                      </w14:textFill>
                    </w:rPr>
                  </w:pPr>
                  <w:r>
                    <w:rPr>
                      <w:color w:val="000000" w:themeColor="text1"/>
                      <w:szCs w:val="21"/>
                      <w14:textFill>
                        <w14:solidFill>
                          <w14:schemeClr w14:val="tx1"/>
                        </w14:solidFill>
                      </w14:textFill>
                    </w:rPr>
                    <w:t>预计项目清洁生产可达到国内先进水平</w:t>
                  </w:r>
                  <w:r>
                    <w:rPr>
                      <w:rFonts w:hint="eastAsia"/>
                      <w:color w:val="000000" w:themeColor="text1"/>
                      <w:szCs w:val="21"/>
                      <w14:textFill>
                        <w14:solidFill>
                          <w14:schemeClr w14:val="tx1"/>
                        </w14:solidFill>
                      </w14:textFill>
                    </w:rPr>
                    <w:t>。</w:t>
                  </w:r>
                </w:p>
              </w:tc>
              <w:tc>
                <w:tcPr>
                  <w:tcW w:w="417" w:type="pct"/>
                  <w:vAlign w:val="center"/>
                </w:tcPr>
                <w:p w14:paraId="1C3AA7A4">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7B8EA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87" w:type="pct"/>
                  <w:vMerge w:val="continue"/>
                  <w:vAlign w:val="center"/>
                </w:tcPr>
                <w:p w14:paraId="12BBF17D">
                  <w:pPr>
                    <w:rPr>
                      <w:color w:val="000000" w:themeColor="text1"/>
                      <w:szCs w:val="21"/>
                      <w14:textFill>
                        <w14:solidFill>
                          <w14:schemeClr w14:val="tx1"/>
                        </w14:solidFill>
                      </w14:textFill>
                    </w:rPr>
                  </w:pPr>
                </w:p>
              </w:tc>
              <w:tc>
                <w:tcPr>
                  <w:tcW w:w="778" w:type="pct"/>
                  <w:gridSpan w:val="2"/>
                  <w:vAlign w:val="center"/>
                </w:tcPr>
                <w:p w14:paraId="2F563385">
                  <w:pPr>
                    <w:rPr>
                      <w:color w:val="000000" w:themeColor="text1"/>
                      <w:szCs w:val="21"/>
                      <w14:textFill>
                        <w14:solidFill>
                          <w14:schemeClr w14:val="tx1"/>
                        </w14:solidFill>
                      </w14:textFill>
                    </w:rPr>
                  </w:pPr>
                  <w:r>
                    <w:rPr>
                      <w:color w:val="000000" w:themeColor="text1"/>
                      <w:szCs w:val="21"/>
                      <w14:textFill>
                        <w14:solidFill>
                          <w14:schemeClr w14:val="tx1"/>
                        </w14:solidFill>
                      </w14:textFill>
                    </w:rPr>
                    <w:t>土地利用</w:t>
                  </w:r>
                </w:p>
              </w:tc>
              <w:tc>
                <w:tcPr>
                  <w:tcW w:w="2015" w:type="pct"/>
                  <w:vAlign w:val="center"/>
                </w:tcPr>
                <w:p w14:paraId="5F5ECE33">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1、入园项目投资强度满足《工业项目建设用地控制指标》的要求和《河南省人民政府办公厅关于实施开发区土地利用综合评价促进节约集约高效用地的意见》（豫政办[2023]13号）文件要求</w:t>
                  </w:r>
                </w:p>
                <w:p w14:paraId="3C236B09">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2、入园项目用地必须符合园区土地利用规划要求</w:t>
                  </w:r>
                </w:p>
                <w:p w14:paraId="3F40F22B">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3、入园项目必须符合园区产业布局要求</w:t>
                  </w:r>
                </w:p>
              </w:tc>
              <w:tc>
                <w:tcPr>
                  <w:tcW w:w="1500" w:type="pct"/>
                  <w:vAlign w:val="center"/>
                </w:tcPr>
                <w:p w14:paraId="1A60D763">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本项目符合园区土地利用规划要求</w:t>
                  </w:r>
                  <w:r>
                    <w:rPr>
                      <w:rFonts w:hint="eastAsia"/>
                      <w:color w:val="000000" w:themeColor="text1"/>
                      <w:szCs w:val="21"/>
                      <w14:textFill>
                        <w14:solidFill>
                          <w14:schemeClr w14:val="tx1"/>
                        </w14:solidFill>
                      </w14:textFill>
                    </w:rPr>
                    <w:t>。</w:t>
                  </w:r>
                </w:p>
              </w:tc>
              <w:tc>
                <w:tcPr>
                  <w:tcW w:w="417" w:type="pct"/>
                  <w:vAlign w:val="center"/>
                </w:tcPr>
                <w:p w14:paraId="400426C9">
                  <w:pPr>
                    <w:rPr>
                      <w:color w:val="000000" w:themeColor="text1"/>
                      <w:szCs w:val="21"/>
                      <w14:textFill>
                        <w14:solidFill>
                          <w14:schemeClr w14:val="tx1"/>
                        </w14:solidFill>
                      </w14:textFill>
                    </w:rPr>
                  </w:pPr>
                  <w:r>
                    <w:rPr>
                      <w:color w:val="000000" w:themeColor="text1"/>
                      <w:szCs w:val="21"/>
                      <w14:textFill>
                        <w14:solidFill>
                          <w14:schemeClr w14:val="tx1"/>
                        </w14:solidFill>
                      </w14:textFill>
                    </w:rPr>
                    <w:t>符合</w:t>
                  </w:r>
                </w:p>
              </w:tc>
            </w:tr>
            <w:tr w14:paraId="29498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6"/>
                  <w:vAlign w:val="center"/>
                </w:tcPr>
                <w:p w14:paraId="4F567DC6">
                  <w:pPr>
                    <w:rPr>
                      <w:color w:val="000000" w:themeColor="text1"/>
                      <w:szCs w:val="21"/>
                      <w14:textFill>
                        <w14:solidFill>
                          <w14:schemeClr w14:val="tx1"/>
                        </w14:solidFill>
                      </w14:textFill>
                    </w:rPr>
                  </w:pPr>
                  <w:r>
                    <w:rPr>
                      <w:color w:val="000000" w:themeColor="text1"/>
                      <w:szCs w:val="21"/>
                      <w14:textFill>
                        <w14:solidFill>
                          <w14:schemeClr w14:val="tx1"/>
                        </w14:solidFill>
                      </w14:textFill>
                    </w:rPr>
                    <w:t>注：*配套电镀企业是指电镀加工只是企业生产流程中的一道工序。</w:t>
                  </w:r>
                </w:p>
              </w:tc>
            </w:tr>
          </w:tbl>
          <w:p w14:paraId="04C1E6B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b w:val="0"/>
                <w:bCs w:val="0"/>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bCs/>
                <w:color w:val="000000" w:themeColor="text1"/>
                <w:sz w:val="24"/>
                <w14:textFill>
                  <w14:solidFill>
                    <w14:schemeClr w14:val="tx1"/>
                  </w14:solidFill>
                </w14:textFill>
              </w:rPr>
              <w:t>，本项目建设符合《镇平县先进制造业开发区发展规划（2022-2035）环境影响报告书》中镇平县先进制造业开发区环境准入负面清单</w:t>
            </w:r>
            <w:r>
              <w:rPr>
                <w:rFonts w:hint="eastAsia"/>
                <w:bCs/>
                <w:color w:val="000000" w:themeColor="text1"/>
                <w:sz w:val="24"/>
                <w:lang w:val="en-US" w:eastAsia="zh-CN"/>
                <w14:textFill>
                  <w14:solidFill>
                    <w14:schemeClr w14:val="tx1"/>
                  </w14:solidFill>
                </w14:textFill>
              </w:rPr>
              <w:t>和</w:t>
            </w:r>
            <w:r>
              <w:rPr>
                <w:bCs/>
                <w:color w:val="000000" w:themeColor="text1"/>
                <w:sz w:val="24"/>
                <w14:textFill>
                  <w14:solidFill>
                    <w14:schemeClr w14:val="tx1"/>
                  </w14:solidFill>
                </w14:textFill>
              </w:rPr>
              <w:t>环境准入要求。</w:t>
            </w:r>
          </w:p>
          <w:p w14:paraId="20912298">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3、</w:t>
            </w:r>
            <w:r>
              <w:rPr>
                <w:b/>
                <w:color w:val="000000" w:themeColor="text1"/>
                <w:sz w:val="24"/>
                <w14:textFill>
                  <w14:solidFill>
                    <w14:schemeClr w14:val="tx1"/>
                  </w14:solidFill>
                </w14:textFill>
              </w:rPr>
              <w:t>项目与</w:t>
            </w:r>
            <w:r>
              <w:rPr>
                <w:rFonts w:hint="eastAsia"/>
                <w:b/>
                <w:color w:val="000000" w:themeColor="text1"/>
                <w:sz w:val="24"/>
                <w14:textFill>
                  <w14:solidFill>
                    <w14:schemeClr w14:val="tx1"/>
                  </w14:solidFill>
                </w14:textFill>
              </w:rPr>
              <w:t>河南省生态环境厅关于《镇平县先进制造业开发区发展规划（2022-2035）环境影响报告书》的审查意见（豫环函〔2024〕128号）的相符性分析</w:t>
            </w:r>
          </w:p>
          <w:p w14:paraId="70F1C6C6">
            <w:pPr>
              <w:pStyle w:val="24"/>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b/>
                <w:color w:val="000000" w:themeColor="text1"/>
                <w:sz w:val="24"/>
                <w14:textFill>
                  <w14:solidFill>
                    <w14:schemeClr w14:val="tx1"/>
                  </w14:solidFill>
                </w14:textFill>
              </w:rPr>
            </w:pPr>
            <w:r>
              <w:rPr>
                <w:rFonts w:hint="eastAsia" w:ascii="Times New Roman" w:hAnsi="Times New Roman"/>
                <w:b/>
                <w:color w:val="000000" w:themeColor="text1"/>
                <w:sz w:val="24"/>
                <w14:textFill>
                  <w14:solidFill>
                    <w14:schemeClr w14:val="tx1"/>
                  </w14:solidFill>
                </w14:textFill>
              </w:rPr>
              <w:t>表1-</w:t>
            </w:r>
            <w:r>
              <w:rPr>
                <w:rFonts w:hint="eastAsia" w:ascii="Times New Roman" w:hAnsi="Times New Roman"/>
                <w:b/>
                <w:color w:val="000000" w:themeColor="text1"/>
                <w:sz w:val="24"/>
                <w:lang w:val="en-US" w:eastAsia="zh-CN"/>
                <w14:textFill>
                  <w14:solidFill>
                    <w14:schemeClr w14:val="tx1"/>
                  </w14:solidFill>
                </w14:textFill>
              </w:rPr>
              <w:t>4</w:t>
            </w:r>
            <w:r>
              <w:rPr>
                <w:rFonts w:hint="eastAsia" w:ascii="Times New Roman" w:hAnsi="Times New Roman"/>
                <w:b/>
                <w:color w:val="000000" w:themeColor="text1"/>
                <w:sz w:val="24"/>
                <w14:textFill>
                  <w14:solidFill>
                    <w14:schemeClr w14:val="tx1"/>
                  </w14:solidFill>
                </w14:textFill>
              </w:rPr>
              <w:t xml:space="preserve">  项目与河南省生态环境厅关于《镇平县先进制造业开发区发展规划（2022-2035）环境影响报告书》的审查意见（豫环函〔2024〕128号）相符性分析一览表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88"/>
              <w:gridCol w:w="3269"/>
              <w:gridCol w:w="857"/>
            </w:tblGrid>
            <w:tr w14:paraId="4FB85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19D4772B">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审查意见要求</w:t>
                  </w:r>
                </w:p>
              </w:tc>
              <w:tc>
                <w:tcPr>
                  <w:tcW w:w="1965" w:type="pct"/>
                  <w:vAlign w:val="center"/>
                </w:tcPr>
                <w:p w14:paraId="776F45E9">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515" w:type="pct"/>
                  <w:vAlign w:val="center"/>
                </w:tcPr>
                <w:p w14:paraId="7E0E2854">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29DCD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374D2342">
                  <w:pPr>
                    <w:autoSpaceDE w:val="0"/>
                    <w:autoSpaceDN w:val="0"/>
                    <w:adjustRightIn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一、开发区的基本情况</w:t>
                  </w:r>
                </w:p>
                <w:p w14:paraId="23D4B14D">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先进制造业开发区包括三个片区，主导产业为非金属矿物制品、绿色食品、高端装备制造。根据《河南省人民政府办公厅关于公布河南省开发区四至边界范围的通知》（豫政办〔2023〕26号）确定四至边界范围，片区1：东至航天大道，西至玉龙路，南至宁西铁路，北至S330、北环路；片区2：东至航天大道、天工路，西至玉缘路，南至南外环路，北至杏山大道；片区3：东至东外环路，西至东三里河，南至平安大道，北至建设大道。规划建设用地面积1204.04公顷。</w:t>
                  </w:r>
                </w:p>
              </w:tc>
              <w:tc>
                <w:tcPr>
                  <w:tcW w:w="1965" w:type="pct"/>
                  <w:vAlign w:val="center"/>
                </w:tcPr>
                <w:p w14:paraId="4EF3C263">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本项目位于</w:t>
                  </w:r>
                  <w:r>
                    <w:rPr>
                      <w:rFonts w:hint="eastAsia"/>
                      <w:color w:val="000000" w:themeColor="text1"/>
                      <w:szCs w:val="21"/>
                      <w14:textFill>
                        <w14:solidFill>
                          <w14:schemeClr w14:val="tx1"/>
                        </w14:solidFill>
                      </w14:textFill>
                    </w:rPr>
                    <w:t>南阳市镇平县玉都工业园区新星路8号</w:t>
                  </w:r>
                  <w:r>
                    <w:rPr>
                      <w:color w:val="000000" w:themeColor="text1"/>
                      <w:szCs w:val="21"/>
                      <w14:textFill>
                        <w14:solidFill>
                          <w14:schemeClr w14:val="tx1"/>
                        </w14:solidFill>
                      </w14:textFill>
                    </w:rPr>
                    <w:t>，位于南阳市镇平县先进制造业开发区规划范围内的片区</w:t>
                  </w: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，本项目属于</w:t>
                  </w:r>
                  <w:r>
                    <w:rPr>
                      <w:rFonts w:hint="eastAsia"/>
                      <w:color w:val="000000" w:themeColor="text1"/>
                      <w:szCs w:val="21"/>
                      <w14:textFill>
                        <w14:solidFill>
                          <w14:schemeClr w14:val="tx1"/>
                        </w14:solidFill>
                      </w14:textFill>
                    </w:rPr>
                    <w:t>酒、饮料制造业以及医药制造业</w:t>
                  </w:r>
                  <w:r>
                    <w:rPr>
                      <w:color w:val="000000" w:themeColor="text1"/>
                      <w:szCs w:val="21"/>
                      <w14:textFill>
                        <w14:solidFill>
                          <w14:schemeClr w14:val="tx1"/>
                        </w14:solidFill>
                      </w14:textFill>
                    </w:rPr>
                    <w:t>。</w:t>
                  </w:r>
                </w:p>
              </w:tc>
              <w:tc>
                <w:tcPr>
                  <w:tcW w:w="515" w:type="pct"/>
                  <w:vAlign w:val="center"/>
                </w:tcPr>
                <w:p w14:paraId="173004D7">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5B75A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3B88DBFD">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二、对《报告书》的总体意见</w:t>
                  </w:r>
                </w:p>
                <w:p w14:paraId="72E5AB36">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审查小组认为，《报告书》基础资料较翔实，采用的技术路线与方法适当，提出了规划优化调整建议和减缓不良环境影响的对策措施，评价结论总体可信，可作为规划优化调整和实施的依据。</w:t>
                  </w:r>
                </w:p>
              </w:tc>
              <w:tc>
                <w:tcPr>
                  <w:tcW w:w="1965" w:type="pct"/>
                  <w:vAlign w:val="center"/>
                </w:tcPr>
                <w:p w14:paraId="7351C42F">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w:t>
                  </w:r>
                  <w:r>
                    <w:rPr>
                      <w:rFonts w:hint="eastAsia"/>
                      <w:color w:val="000000" w:themeColor="text1"/>
                      <w:szCs w:val="21"/>
                      <w14:textFill>
                        <w14:solidFill>
                          <w14:schemeClr w14:val="tx1"/>
                        </w14:solidFill>
                      </w14:textFill>
                    </w:rPr>
                    <w:t>。</w:t>
                  </w:r>
                </w:p>
              </w:tc>
              <w:tc>
                <w:tcPr>
                  <w:tcW w:w="515" w:type="pct"/>
                  <w:vAlign w:val="center"/>
                </w:tcPr>
                <w:p w14:paraId="1D81204C">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591CD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47A49083">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三、对规划优化调整和实施的意见</w:t>
                  </w:r>
                </w:p>
                <w:p w14:paraId="4F45305D">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一）坚持绿色低碳高质量发展。规划应贯彻生态优先、绿色低碳、集约高效的绿色发展、协调发展理念，根据国家和我省发展战略，以环境质量改善为核心，进一步优化开发区的产业结构、发展规模、用地布局等，做好与生态环境分区管控成果的协调衔接，实现绿色低碳高质量发展目标。</w:t>
                  </w:r>
                </w:p>
                <w:p w14:paraId="08279D7C">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二）加快推进产业转型。开发区应遵循循环经济理念，积极推进产业技术进步和循环化改造；入区新、改、扩建项目应实施清洁生产，生产工艺、设备、污染治理技术以及单位产品能耗、物耗、污染物排放和资源利用率均需达到同行业国内先进水平，确保产业发展与生态环境保护相协调。</w:t>
                  </w:r>
                </w:p>
                <w:p w14:paraId="0DC620DB">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三）优化空间布局，严格空间管控。进一步加强与国土空间规划的衔接，保持规划之间协调一致；做好规划控制和生态隔离带建设，落实河南南阳恐龙蛋化石群国家级自然保护区的保护要求，确保产业布局与生态环境保护、人居环境安全相协调。</w:t>
                  </w:r>
                </w:p>
                <w:p w14:paraId="119538FF">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四）强化减污降碳协同增效。根据国家和我省关于挥发性有机物、工业炉窑等大气和水、土壤污染防治相关要求，严格执行相关行业污染物排放标准及特别排放限值；加强重金属污染物管控，严格执行污染物排放总量控制制度，主要污染物新增排放量应做到“等量或倍量替代”。结合碳达峰目标，强化碳评价及减排措施，确保区域环境质量持续改善。</w:t>
                  </w:r>
                </w:p>
                <w:p w14:paraId="1AD999B4">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 xml:space="preserve">（五）严格落实建设项目入驻要求。严格落实《报告书》提出的生态环境准入要求，强化区内企业污染物排放控制，严格落实排污许可制度。鼓励符合开发区功能定位、主导产业、国家产业政策鼓励类项目入驻。开发区内历史遗留、手续齐全的化工企业保持现状，禁止扩产，仅允许以现状为基础进行内部挖潜（环保节能改造、安全设施改造等）。 </w:t>
                  </w:r>
                </w:p>
                <w:p w14:paraId="47F0FF63">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六）加快环境基础设施建设。建设完善集中排水、供气、供水等基础设施，加快推进开发区中水回用工程建设，确保企业外排废水全部有效收集，并提高水资源利用率，减少废水排放。积极实施集中供热管网建设，确保尽快实现集中供热。工业固体废物应依法依规分类收集、安全妥善处理处置，危险固废严格按照有关规定收集、贮存、转运、处置，确保100%安全处置。</w:t>
                  </w:r>
                </w:p>
                <w:p w14:paraId="3463AE25">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七）建立健全生态环境监管体系。统筹考虑污染防治、生态恢复与建设、环境风险防范，建立健全区域日常环境管理、环境风险防控体系和联防联控机制，提升环境风险防控和应急响应能力，保障区域生态环境安全。定期开展环境空气、地表水、地下水、土壤等环境要素监测，健全大气污染物自动监测体系，做好长期跟踪监测与管理，并根据监测评估结果适时优化调整规划。</w:t>
                  </w:r>
                </w:p>
                <w:p w14:paraId="2DDDACA0">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八）严格落实规划环评要求。根据《报告书》和审查意见要求，按期完成现有生态环境问题整改，作为入区建设项目环境准入的重要依据。在规划实施过程中，严格按照《规划环境影响评价条例》要求开展环境影响跟踪评价。规划发生重大调整或者修订时应重新进行环境影响评价。</w:t>
                  </w:r>
                </w:p>
              </w:tc>
              <w:tc>
                <w:tcPr>
                  <w:tcW w:w="1965" w:type="pct"/>
                  <w:vAlign w:val="center"/>
                </w:tcPr>
                <w:p w14:paraId="0B6CF820">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1、本项目不涉及；</w:t>
                  </w:r>
                </w:p>
                <w:p w14:paraId="3CE40BF7">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2、本项目为新建项目，项目实施清洁生产，且生产工艺、设备、污染治理技术以及单位产品能耗、物耗、污染物排放和资源利用率均需达到同行业国内先进水平；</w:t>
                  </w:r>
                </w:p>
                <w:p w14:paraId="75B926B5">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3、本项目为新建项目，项目位于南阳市镇平县玉都工业园区新星路8号，距离</w:t>
                  </w:r>
                  <w:r>
                    <w:rPr>
                      <w:color w:val="000000" w:themeColor="text1"/>
                      <w:szCs w:val="21"/>
                      <w14:textFill>
                        <w14:solidFill>
                          <w14:schemeClr w14:val="tx1"/>
                        </w14:solidFill>
                      </w14:textFill>
                    </w:rPr>
                    <w:t>河南南阳恐龙蛋化石群国家级自然保护区缓冲区边界最近直线距离约为</w:t>
                  </w:r>
                  <w:r>
                    <w:rPr>
                      <w:rFonts w:hint="eastAsia"/>
                      <w:color w:val="000000" w:themeColor="text1"/>
                      <w:szCs w:val="21"/>
                      <w14:textFill>
                        <w14:solidFill>
                          <w14:schemeClr w14:val="tx1"/>
                        </w14:solidFill>
                      </w14:textFill>
                    </w:rPr>
                    <w:t>1.84km，不在保护区范围内；</w:t>
                  </w:r>
                </w:p>
                <w:p w14:paraId="35E69149">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4、本项目为新建项目，项目建成后</w:t>
                  </w:r>
                  <w:r>
                    <w:rPr>
                      <w:color w:val="000000" w:themeColor="text1"/>
                      <w:szCs w:val="21"/>
                      <w14:textFill>
                        <w14:solidFill>
                          <w14:schemeClr w14:val="tx1"/>
                        </w14:solidFill>
                      </w14:textFill>
                    </w:rPr>
                    <w:t>严格执行相关行业污染物排放标准及特别排放限值；加强重金属污染物管控，严格执行污染物排放总量控制制度，主要污染物新增排放量应做到“等量或倍量替代”。结合碳达峰目标，强化碳评价及减排措施，确保区域环境质量持续改善</w:t>
                  </w:r>
                  <w:r>
                    <w:rPr>
                      <w:rFonts w:hint="eastAsia"/>
                      <w:color w:val="000000" w:themeColor="text1"/>
                      <w:szCs w:val="21"/>
                      <w14:textFill>
                        <w14:solidFill>
                          <w14:schemeClr w14:val="tx1"/>
                        </w14:solidFill>
                      </w14:textFill>
                    </w:rPr>
                    <w:t>；</w:t>
                  </w:r>
                </w:p>
                <w:p w14:paraId="0289E476">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5、本项目属于酒、饮料制造业和医药制造业，项目建成后严格落实</w:t>
                  </w:r>
                  <w:r>
                    <w:rPr>
                      <w:color w:val="000000" w:themeColor="text1"/>
                      <w:szCs w:val="21"/>
                      <w14:textFill>
                        <w14:solidFill>
                          <w14:schemeClr w14:val="tx1"/>
                        </w14:solidFill>
                      </w14:textFill>
                    </w:rPr>
                    <w:t>《报告书》提出的生态环境准入要求，强化区内企业污染物排放控制，严格落实排污许可制度</w:t>
                  </w:r>
                  <w:r>
                    <w:rPr>
                      <w:rFonts w:hint="eastAsia"/>
                      <w:color w:val="000000" w:themeColor="text1"/>
                      <w:szCs w:val="21"/>
                      <w14:textFill>
                        <w14:solidFill>
                          <w14:schemeClr w14:val="tx1"/>
                        </w14:solidFill>
                      </w14:textFill>
                    </w:rPr>
                    <w:t>；</w:t>
                  </w:r>
                </w:p>
                <w:p w14:paraId="6304B827">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6、本项目不涉及；</w:t>
                  </w:r>
                </w:p>
                <w:p w14:paraId="278AFC0A">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7、本项目不涉及；</w:t>
                  </w:r>
                </w:p>
                <w:p w14:paraId="3BAF607A">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8、本项目不涉及。</w:t>
                  </w:r>
                </w:p>
              </w:tc>
              <w:tc>
                <w:tcPr>
                  <w:tcW w:w="515" w:type="pct"/>
                  <w:vAlign w:val="center"/>
                </w:tcPr>
                <w:p w14:paraId="4596C0F9">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08775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518" w:type="pct"/>
                  <w:vAlign w:val="center"/>
                </w:tcPr>
                <w:p w14:paraId="367718D6">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四、对拟入区建设项目环评的指导意见</w:t>
                  </w:r>
                </w:p>
                <w:p w14:paraId="48A8AC25">
                  <w:pPr>
                    <w:autoSpaceDE w:val="0"/>
                    <w:autoSpaceDN w:val="0"/>
                    <w:adjustRightIn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拟入区的建设项目应结合规划环评意见做好环境影响评价工作，落实相关要求，加强与规划环评的联动，严格项目生态环境准入要求，重点开展工程分析、污染物允许排放量测算和生态环境保护措施的可行性论证等工作，强化环境监测和生态环境保护相关措施的落实。规划环评中协调性分析、环境现状、污染源调查等符合要求的资料可供建设项目环评共享，项目环评相应评价内容可结合实际情况予以简化。</w:t>
                  </w:r>
                </w:p>
              </w:tc>
              <w:tc>
                <w:tcPr>
                  <w:tcW w:w="1965" w:type="pct"/>
                  <w:vAlign w:val="center"/>
                </w:tcPr>
                <w:p w14:paraId="50BEE8F7">
                  <w:pPr>
                    <w:autoSpaceDE w:val="0"/>
                    <w:autoSpaceDN w:val="0"/>
                    <w:adjustRightIn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w:t>
                  </w:r>
                  <w:r>
                    <w:rPr>
                      <w:color w:val="000000" w:themeColor="text1"/>
                      <w:szCs w:val="21"/>
                      <w14:textFill>
                        <w14:solidFill>
                          <w14:schemeClr w14:val="tx1"/>
                        </w14:solidFill>
                      </w14:textFill>
                    </w:rPr>
                    <w:t>结合规划环评意见做好环境影响评价工作，落实相关要求，加强与规划环评的联动，严格项目生态环境准入要求，重点开展工程分析、污染物允许排放量测算和生态环境保护措施的可行性论证等工作，强化环境监测和生态环境保护相关措施的落实。</w:t>
                  </w:r>
                </w:p>
              </w:tc>
              <w:tc>
                <w:tcPr>
                  <w:tcW w:w="515" w:type="pct"/>
                  <w:vAlign w:val="center"/>
                </w:tcPr>
                <w:p w14:paraId="2B0FB9BE">
                  <w:pPr>
                    <w:autoSpaceDE w:val="0"/>
                    <w:autoSpaceDN w:val="0"/>
                    <w:adjustRightIn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bl>
          <w:p w14:paraId="545FE860">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bCs/>
                <w:color w:val="000000" w:themeColor="text1"/>
                <w:sz w:val="24"/>
                <w14:textFill>
                  <w14:solidFill>
                    <w14:schemeClr w14:val="tx1"/>
                  </w14:solidFill>
                </w14:textFill>
              </w:rPr>
              <w:t>，本项目建设符合</w:t>
            </w:r>
            <w:r>
              <w:rPr>
                <w:rFonts w:hint="eastAsia"/>
                <w:bCs/>
                <w:color w:val="000000" w:themeColor="text1"/>
                <w:sz w:val="24"/>
                <w14:textFill>
                  <w14:solidFill>
                    <w14:schemeClr w14:val="tx1"/>
                  </w14:solidFill>
                </w14:textFill>
              </w:rPr>
              <w:t>河南省生态环境厅关于《镇平县先进制造业开发区发展规划（2022-2035）环境影响报告书》的审查意见（豫环函〔2024〕128号）</w:t>
            </w:r>
            <w:r>
              <w:rPr>
                <w:bCs/>
                <w:color w:val="000000" w:themeColor="text1"/>
                <w:sz w:val="24"/>
                <w14:textFill>
                  <w14:solidFill>
                    <w14:schemeClr w14:val="tx1"/>
                  </w14:solidFill>
                </w14:textFill>
              </w:rPr>
              <w:t>要求。</w:t>
            </w:r>
          </w:p>
        </w:tc>
      </w:tr>
      <w:tr w14:paraId="6B3855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18" w:type="pct"/>
            <w:vAlign w:val="center"/>
          </w:tcPr>
          <w:p w14:paraId="6C4AE7A9">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 w:val="24"/>
                <w14:textFill>
                  <w14:solidFill>
                    <w14:schemeClr w14:val="tx1"/>
                  </w14:solidFill>
                </w14:textFill>
              </w:rPr>
              <w:t>其他符合性分析</w:t>
            </w:r>
          </w:p>
        </w:tc>
        <w:tc>
          <w:tcPr>
            <w:tcW w:w="4381" w:type="pct"/>
            <w:gridSpan w:val="3"/>
            <w:vAlign w:val="center"/>
          </w:tcPr>
          <w:p w14:paraId="16010419">
            <w:pPr>
              <w:tabs>
                <w:tab w:val="left" w:pos="7245"/>
              </w:tabs>
              <w:spacing w:line="360" w:lineRule="auto"/>
              <w:ind w:firstLine="482" w:firstLineChars="200"/>
              <w:rPr>
                <w:color w:val="000000" w:themeColor="text1"/>
                <w:sz w:val="24"/>
                <w14:textFill>
                  <w14:solidFill>
                    <w14:schemeClr w14:val="tx1"/>
                  </w14:solidFill>
                </w14:textFill>
              </w:rPr>
            </w:pPr>
            <w:r>
              <w:rPr>
                <w:b/>
                <w:bCs/>
                <w:color w:val="000000" w:themeColor="text1"/>
                <w:sz w:val="24"/>
                <w14:textFill>
                  <w14:solidFill>
                    <w14:schemeClr w14:val="tx1"/>
                  </w14:solidFill>
                </w14:textFill>
              </w:rPr>
              <w:t>1、产业政策符合性</w:t>
            </w:r>
          </w:p>
          <w:p w14:paraId="609FF240">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经比对《产业结构调整指导目录（2024年本）》，本项目</w:t>
            </w:r>
            <w:r>
              <w:rPr>
                <w:rFonts w:hint="eastAsia"/>
                <w:color w:val="000000" w:themeColor="text1"/>
                <w:sz w:val="24"/>
                <w14:textFill>
                  <w14:solidFill>
                    <w14:schemeClr w14:val="tx1"/>
                  </w14:solidFill>
                </w14:textFill>
              </w:rPr>
              <w:t>不</w:t>
            </w:r>
            <w:r>
              <w:rPr>
                <w:color w:val="000000" w:themeColor="text1"/>
                <w:sz w:val="24"/>
                <w14:textFill>
                  <w14:solidFill>
                    <w14:schemeClr w14:val="tx1"/>
                  </w14:solidFill>
                </w14:textFill>
              </w:rPr>
              <w:t>属于鼓励类</w:t>
            </w:r>
            <w:r>
              <w:rPr>
                <w:rFonts w:hint="eastAsia"/>
                <w:color w:val="000000" w:themeColor="text1"/>
                <w:sz w:val="24"/>
                <w14:textFill>
                  <w14:solidFill>
                    <w14:schemeClr w14:val="tx1"/>
                  </w14:solidFill>
                </w14:textFill>
              </w:rPr>
              <w:t>、限制类和淘汰类，属于允许类。</w:t>
            </w:r>
            <w:r>
              <w:rPr>
                <w:color w:val="000000" w:themeColor="text1"/>
                <w:sz w:val="24"/>
                <w14:textFill>
                  <w14:solidFill>
                    <w14:schemeClr w14:val="tx1"/>
                  </w14:solidFill>
                </w14:textFill>
              </w:rPr>
              <w:t>且项目生产工艺及设备不属于《河南省部分工业行业淘汰落后生产工艺装备和产品目录（2019年本）》中的限制类和淘汰类；项目已取得镇平县发展和改革委员会出具的备案证明（项目代码：</w:t>
            </w:r>
            <w:r>
              <w:rPr>
                <w:rFonts w:hint="eastAsia"/>
                <w:color w:val="000000" w:themeColor="text1"/>
                <w:sz w:val="24"/>
                <w14:textFill>
                  <w14:solidFill>
                    <w14:schemeClr w14:val="tx1"/>
                  </w14:solidFill>
                </w14:textFill>
              </w:rPr>
              <w:t>2409-411324-04-01-535468</w:t>
            </w:r>
            <w:r>
              <w:rPr>
                <w:color w:val="000000" w:themeColor="text1"/>
                <w:sz w:val="24"/>
                <w14:textFill>
                  <w14:solidFill>
                    <w14:schemeClr w14:val="tx1"/>
                  </w14:solidFill>
                </w14:textFill>
              </w:rPr>
              <w:t>，见附件），因此项目建设符合国家当前产业政策的要求。</w:t>
            </w:r>
          </w:p>
          <w:p w14:paraId="6B734DF7">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2、项目建设与相关规划的符合性</w:t>
            </w:r>
          </w:p>
          <w:p w14:paraId="360DE5A9">
            <w:pPr>
              <w:tabs>
                <w:tab w:val="left" w:pos="1081"/>
              </w:tabs>
              <w:adjustRightInd w:val="0"/>
              <w:snapToGrid w:val="0"/>
              <w:spacing w:line="360" w:lineRule="auto"/>
              <w:ind w:firstLine="482" w:firstLineChars="200"/>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2.1项目建设与《</w:t>
            </w:r>
            <w:r>
              <w:rPr>
                <w:b/>
                <w:color w:val="000000" w:themeColor="text1"/>
                <w:sz w:val="24"/>
                <w14:textFill>
                  <w14:solidFill>
                    <w14:schemeClr w14:val="tx1"/>
                  </w14:solidFill>
                </w14:textFill>
              </w:rPr>
              <w:t>镇平县国土空间总体规划（2021-2035）》的相符性</w:t>
            </w:r>
          </w:p>
          <w:p w14:paraId="1DBFE122">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2.1.1镇平县国土空间总体规划相关内容</w:t>
            </w:r>
          </w:p>
          <w:p w14:paraId="6D92C587">
            <w:pPr>
              <w:tabs>
                <w:tab w:val="left" w:pos="1081"/>
              </w:tabs>
              <w:adjustRightInd w:val="0"/>
              <w:snapToGrid w:val="0"/>
              <w:spacing w:line="360" w:lineRule="auto"/>
              <w:ind w:firstLine="480" w:firstLineChars="200"/>
              <w:rPr>
                <w:color w:val="000000" w:themeColor="text1"/>
                <w:sz w:val="24"/>
                <w:u w:val="single"/>
                <w14:textFill>
                  <w14:solidFill>
                    <w14:schemeClr w14:val="tx1"/>
                  </w14:solidFill>
                </w14:textFill>
              </w:rPr>
            </w:pPr>
            <w:r>
              <w:rPr>
                <w:color w:val="000000" w:themeColor="text1"/>
                <w:sz w:val="24"/>
                <w14:textFill>
                  <w14:solidFill>
                    <w14:schemeClr w14:val="tx1"/>
                  </w14:solidFill>
                </w14:textFill>
              </w:rPr>
              <w:t>（1）规划期限</w:t>
            </w:r>
          </w:p>
          <w:p w14:paraId="7DC9583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规划期限为2021年至2035年，基期年为2020年，近期至2025年，远期至2035年，远景展望至2050年。</w:t>
            </w:r>
          </w:p>
          <w:p w14:paraId="3783A36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（2）规划范围</w:t>
            </w:r>
          </w:p>
          <w:p w14:paraId="2717D87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范围分县域和中心城区两个层次。县域包括镇平县行政辖区全域，国土总面积1493.97平方公里。中心城区划定城区面积为66.51平方公里，范围北至省道S330，西至玉龙路与玉源南路，南至南外环路，东至东外环路。</w:t>
            </w:r>
          </w:p>
          <w:p w14:paraId="475833B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（3）发展定位</w:t>
            </w:r>
          </w:p>
          <w:p w14:paraId="2F41308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定位为南阳市先进制造业隆起区、全省数字经济先行区、全国三产融合示范区、全球玉文化消费中心。</w:t>
            </w:r>
          </w:p>
          <w:p w14:paraId="11579DB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（4）空间布局</w:t>
            </w:r>
          </w:p>
          <w:p w14:paraId="2A0AE9E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形成</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一河两岸五区、两心两轴共荣</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的现代化城市空间结构。</w:t>
            </w:r>
          </w:p>
          <w:p w14:paraId="3D578AD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一河：赵河滨水景观带；</w:t>
            </w:r>
          </w:p>
          <w:p w14:paraId="3C653FE1">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两轴：为沿建设大道和平安大道的两条横向交通发展轴线；</w:t>
            </w:r>
          </w:p>
          <w:p w14:paraId="3FDE81A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两心：是指老城综合服务中心、新城综合服务中心；</w:t>
            </w:r>
          </w:p>
          <w:p w14:paraId="1F2D600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五片区：是指老城片区、新城片区、开发区片区、赵河西岸片区和东城片区。</w:t>
            </w:r>
          </w:p>
          <w:p w14:paraId="5FC6B07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先进制造业开发区片区：建设大道以北，航天大道以西。开发区形成以新型建材产业园、高端装备制造产业园、绿色食品产业园、玉石智谷产业园和医药健康产业园五个主要园区。</w:t>
            </w:r>
          </w:p>
          <w:p w14:paraId="69F42761">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（5）开发边界内分区指引</w:t>
            </w:r>
          </w:p>
          <w:p w14:paraId="067A0F9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规划布局居住生活区、综合服务区、商业商务区、工业发展区、绿地休闲区五大主导功能分区。</w:t>
            </w:r>
          </w:p>
          <w:p w14:paraId="28348AD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居住生活区，规划总面积约1998.45公顷，占比51.67%。将主要居住用地和相关配套设施用地划入居住生活区；</w:t>
            </w:r>
          </w:p>
          <w:p w14:paraId="06BF724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合服务区，规划总面积约305.25公顷，占比7.89%。将新城片区县级行政办公用地、三馆一院、便民服务中心等县级大型文化、行政用地；将老城区县政府、县委等行政办公用地；赵河西岸新城的玉文化服务片区及周边服务配套用地划入综合服务区；</w:t>
            </w:r>
          </w:p>
          <w:p w14:paraId="301E00A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商业商务区，规划总面积约256.39公顷，占比6.63%。将华信片区万达商业中心以及万德隆片区划入商业商务区；</w:t>
            </w:r>
          </w:p>
          <w:p w14:paraId="282226E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工业发展区，规划总面积约1159.45公顷，占比29.98%。将先进制造业开发区组团及相关配套设施用地划入工业物流区。主要布局工业及其配套产业用地，鼓励兼容工业区办公设施、服务设施和防护绿地；限制引入大量居住用地、商业服务业用地、公共管理与公共服务用地；</w:t>
            </w:r>
          </w:p>
          <w:p w14:paraId="0D857DD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绿地休闲区，规划总面积约148.53公顷，占比3.84%。将城市集中建设区内的城市、片区级公园、大型广场以及滨河开敞空间、铁路和公路等廊道防护绿地划入绿地休闲区；</w:t>
            </w:r>
          </w:p>
          <w:p w14:paraId="5253B2A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（6）坚持节约集约，强化资源保护利用</w:t>
            </w:r>
          </w:p>
          <w:p w14:paraId="2B1801D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国土空间用途结构优化：严格守住耕地红线、拓展优化绿化空间、合理调整园地和草地、加强陆地水域和湿地保护、节约集约利用建设用地；</w:t>
            </w:r>
          </w:p>
          <w:p w14:paraId="7190BCE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森林资源保护与利用：严格落实林地资源管控，科学开展国土绿化行动，不断提高森林覆盖率和林地保有量，重点完成伏牛山山区造林，完善平原地区林网，巩固南水北调中线生态带，将集中连片、质量优良和生态作用明显的天然林、公益林划入林地集中保护区内，巩固和扩大生态空间。规划至2035年，镇平县林地保有量达到39234.13公顷；</w:t>
            </w:r>
          </w:p>
          <w:p w14:paraId="4DB794F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湿地资源保护与利用：严格保护和管理湿地，防止湿地流失和破坏，严格保护内陆滩涂等用地保护生物多样性和湿地生态系统的连贯性，尽量避免城市发展对湿地环境的过度干扰。规划至2035年，全县湿地面积约216.59公顷。</w:t>
            </w:r>
          </w:p>
          <w:p w14:paraId="7BE976E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矿产资源保护与利用：严格矿产资源开发管理，加强矿产资源管控措施和力度，对不符合开采规划区块设置要求的，不得新设采矿权；禁止在城市建设用地范围、重要基础设施周边、自然保护区、水源地和生态保护红线范围内设置开采区，禁止将水库作为尾矿库；生产矿山按照</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谁开发、谁保护，谁破坏、谁治理</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的原则，落实绿色矿山建设责任主体，逐步推进绿色矿山建设。</w:t>
            </w:r>
          </w:p>
          <w:p w14:paraId="208BB36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资源保护与利用：坚持以水定城、以水定地、以水定人、以水定产的总体思路，严格用水总量、用水效率、水功能区限制纳污三条红线，落实水资源消耗总量与强度双控。至2025年，镇平县用水总量控制在24706万立方米以内；至2035年，镇平县用水总量控制在25807万立方米以内；健全县域河流湖库管养长效机制，着力推进河流水库清淤、污染水体实施河湖连通等整治工程，采取污水处理、河流水库清淤和活水深化相结合的措施，构造县城人工湿地，城市外围河道生态恢复段、自然生态保护段，注重保持河流自然形态，建立良好的生物环境，促使河流水环境质量明显好转。</w:t>
            </w:r>
          </w:p>
          <w:p w14:paraId="153D4AC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（7）生态保护</w:t>
            </w:r>
          </w:p>
          <w:p w14:paraId="24DAA1B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次划定镇平县生态保护红线总面积6552.86公顷，占全县国土面积的4.39%。根据生态系统服务功能类型及其空间分布特征，按三大类型划分生态红线保护区，分别为伏牛山生物多样性、水源涵养生态保护区、南水北调中线水源涵养生态保护区和菩提寺生物多样性生态保护区。</w:t>
            </w:r>
          </w:p>
          <w:p w14:paraId="3773B95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（8）实施生态修复</w:t>
            </w:r>
          </w:p>
          <w:p w14:paraId="3985DA4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划定生态修复重点区域，结合国土空间生态修复区域分析结果，依据山水林田湖草生态系统修复需求，重点设置矿山生态修复、地质灾害防治、流域水环境综合治理、湿地建设、水土保持、森林生态修复等六类重点工程。</w:t>
            </w:r>
          </w:p>
          <w:p w14:paraId="42A5F48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矿山生态修复重点工程：通过对采矿环境、堆场、办公环境、各环节污染进行综合整治，美化矿容矿貌。优化绿色矿山建设内容，探索不同类型矿山绿色开发新模式，提升绿色矿山建设水平。按照“宜林则林、宜耕则耕、宜建则建、宜景则景”原则，因矿制宜，优化治理，实现新增土地、景观再造、地质灾害防治等综合成效，全面改善矿山生态环境。</w:t>
            </w:r>
          </w:p>
          <w:p w14:paraId="05AA562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地质灾害防治重点工程：根据地质灾害险情、潜在威胁对象与社会经济发展状况，规划期拟设置搬迁避让工程和工程治理工程，山洪沟治理项目。</w:t>
            </w:r>
          </w:p>
          <w:p w14:paraId="402AA27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流域水环境综合治理重点工程：强化源头控制，加强流域水生态保护与修复，深入实施境内河流流域水环境综合治理；开展河道整治、清淤疏浚、水系连通、污水治理等水环境综合治理项目，持续改善河流水环境质量；积极推进水环境生态修复保护；开展集中式饮用水源保护区划定与管控。</w:t>
            </w:r>
          </w:p>
          <w:p w14:paraId="773A036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湿地建设重点工程：在支流入干流处、河流入库口以及其他重要流域，因地制宜建设人工湿地。通过污染清理、地形地貌修复、自然湿地岸线维护、河湖水系连通、植被恢复、野生动物栖息地恢复、拆除围网等手段，增强湿地水质净化功能，维持湿地生态系统健康。</w:t>
            </w:r>
          </w:p>
          <w:p w14:paraId="35308B0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土保持重点工程：遵循“因地制宜、综合治理”的基本方针，根据各地的自然和社会经济条件，分区分类合理配置治理措施，坚持生态优先，强化林草植被建设，工程、林草和农业耕作措施相结合，加大坡耕地的治理力度，以小流域为单元实施山、水、田、林、路综合治理，形成综合防护体系，维护水土资源可持续利用。</w:t>
            </w:r>
          </w:p>
          <w:p w14:paraId="0F86210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森林生态修复重点工程：加强林业资源修复，推进重点库区、荒山绿化与石漠化生态修复工程，鼓励林场承担区域国土绿化和生态修复；积极开展中幼林抚育和低效林改造，提高森林质量。</w:t>
            </w:r>
          </w:p>
          <w:p w14:paraId="2A3F360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（9）基础设施规划</w:t>
            </w:r>
          </w:p>
          <w:p w14:paraId="653212D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给水工程规划：规划确定镇平县远期（2035年）最高日需水量为14.57万吨/日。规划保留南水北调工程镇平水厂，位于工业路与玉神路交叉口西北角，设计供水规模8万吨/日；保留五里岗水厂和马岗水厂，设计供水规模分别为3万吨/日、1万吨/日；新建第四水厂，位于杏山大道与玉神路交叉口东北角，设计供水规模3万吨/日。</w:t>
            </w:r>
          </w:p>
          <w:p w14:paraId="4012516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排水工程规划：城镇污水量按供水量预测值的0.8倍确定，取日变化系数1.3，则到2035年平均日污水量为8.96万吨/日。规划石佛寺不再新建污水处理设施，与中心城区污水处理设施共建共享，规划期末石佛寺人口8.57万人，结合建设用地指标，测算规划期末污水量0.74万吨。规划期末污水量共计9.7万吨/日；保留并扩建第一污水处理厂，位于南外环路、新华路东侧，用地面积5.7公顷。日处理规模8万吨/日，其中再生水2万吨/日，主要服务于老城区。保留并扩建第二污水处理厂，位于南外环路与玉源大道交叉口西北角，主要服务于县开发区、河东区域的城西新城和石佛寺，用地面积6.18公顷。日处理规模5万吨/日，其中再生水2万吨/日。污水处理厂出水水质符合国家一级A标排放标准。</w:t>
            </w:r>
          </w:p>
          <w:p w14:paraId="0B82F84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燃气工程规划：气源引自</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西气东输</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二线的丹水-内乡-镇平-茶庵门站天然气输气管道工程和“唐伊线”方城—南召、社旗天然气支线工程，双气源供应。规划中心城区2025年总用气量为3018.03万立方/年。2035年总用气量为5375.28万立方/年。在中心城区南侧建设天然气门站1座，占地13亩左右，建设规模150立方LNG储罐2座，储气能力18万立方，供气能力5000立方/小时；分输站1座，供应规模为7500万标立方/年；高中压调压站1处，位于开发区，占地约1.5亩左右，供气能力1万立方/小时。</w:t>
            </w:r>
          </w:p>
          <w:p w14:paraId="1DD43CE1">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2.1.2项目建设与镇平县国土空间总体规划的相符性分析</w:t>
            </w:r>
          </w:p>
          <w:p w14:paraId="787E7D3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14:textFill>
                  <w14:solidFill>
                    <w14:schemeClr w14:val="tx1"/>
                  </w14:solidFill>
                </w14:textFill>
              </w:rPr>
              <w:t>南阳市镇平县玉都工业园区新星路8号</w:t>
            </w:r>
            <w:r>
              <w:rPr>
                <w:color w:val="000000" w:themeColor="text1"/>
                <w:sz w:val="24"/>
                <w14:textFill>
                  <w14:solidFill>
                    <w14:schemeClr w14:val="tx1"/>
                  </w14:solidFill>
                </w14:textFill>
              </w:rPr>
              <w:t>，</w:t>
            </w:r>
            <w:r>
              <w:rPr>
                <w:bCs/>
                <w:color w:val="000000" w:themeColor="text1"/>
                <w:sz w:val="24"/>
                <w14:textFill>
                  <w14:solidFill>
                    <w14:schemeClr w14:val="tx1"/>
                  </w14:solidFill>
                </w14:textFill>
              </w:rPr>
              <w:t>经对比《镇平县国土空间总体规划》（2021-2035），本项目位于镇平县国土空间总体规划范围中五片区的开发区片区</w:t>
            </w:r>
            <w:r>
              <w:rPr>
                <w:color w:val="000000" w:themeColor="text1"/>
                <w:sz w:val="24"/>
                <w14:textFill>
                  <w14:solidFill>
                    <w14:schemeClr w14:val="tx1"/>
                  </w14:solidFill>
                </w14:textFill>
              </w:rPr>
              <w:t>，同时，根据镇平县先进制造业开发区管理委员会出具的入驻证明，项目建设符合镇平县先进制造业开发区规划要求。</w:t>
            </w:r>
          </w:p>
          <w:p w14:paraId="099D3A81">
            <w:pPr>
              <w:pStyle w:val="32"/>
              <w:adjustRightInd w:val="0"/>
              <w:snapToGrid w:val="0"/>
              <w:spacing w:before="0"/>
              <w:ind w:firstLineChars="200"/>
              <w:rPr>
                <w:b/>
                <w:bCs/>
                <w:color w:val="000000" w:themeColor="text1"/>
                <w14:textFill>
                  <w14:solidFill>
                    <w14:schemeClr w14:val="tx1"/>
                  </w14:solidFill>
                </w14:textFill>
              </w:rPr>
            </w:pPr>
            <w:r>
              <w:rPr>
                <w:b/>
                <w:bCs/>
                <w:color w:val="000000" w:themeColor="text1"/>
                <w14:textFill>
                  <w14:solidFill>
                    <w14:schemeClr w14:val="tx1"/>
                  </w14:solidFill>
                </w14:textFill>
              </w:rPr>
              <w:t>2.2项目建设与镇平县集中式饮用水源保护区规划的相符性</w:t>
            </w:r>
          </w:p>
          <w:p w14:paraId="6D341F5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2.2.1镇平县饮用水水源保护区规划内容</w:t>
            </w:r>
          </w:p>
          <w:p w14:paraId="5E6A326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河南省人民政府办公厅关于印发河南省县级集中式饮用水水源保护区划的通知》（豫政办[2013]107号），目前，镇平县城区共有五里岗水厂及马岗水厂两座水厂用于城区生产及居民生活的集中供水，供水水源均来自赵湾水库。根据镇平县县级集中式饮用水水源保护区划分技术报告可知，赵湾水库饮用水水源地一级保护区面积为0.953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，二级保护区面积为50.879km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，包括赵湾水库库区保护区及输水渠保护区两部分。</w:t>
            </w:r>
          </w:p>
          <w:p w14:paraId="3F3E0E8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（1）赵湾水库库区饮用水水源保护区划分结果：</w:t>
            </w:r>
          </w:p>
          <w:p w14:paraId="382A3D6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①一级保护区划分结果</w:t>
            </w:r>
          </w:p>
          <w:p w14:paraId="6801B2A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水域：南起赵湾水库大坝，北至取水口北500m与水库大坝平行的边界线所包围的水域范围；</w:t>
            </w:r>
          </w:p>
          <w:p w14:paraId="16499D0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陆域：水域范围外东西两侧正常水位线（+219.5m）以上200m范围内的陆域。</w:t>
            </w:r>
          </w:p>
          <w:p w14:paraId="2734FE10">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②二级保护区划分结果</w:t>
            </w:r>
          </w:p>
          <w:p w14:paraId="1AA3E6F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水域：结合二级保护区划分原则，并考虑赵湾水库实际情况（水域面积不大），因此，将赵湾水库一级保护区边界外正常水位线（+219.5m）以内的整个水域面积设定为二级保护区；另外，为了控制流入赵湾水库的河流水质，本次划分将赵河及芦苇河在汇入口向上游延伸3000m范围的河道水域设为二级保护区；</w:t>
            </w:r>
          </w:p>
          <w:p w14:paraId="181B09C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陆域：水域外3000m范围内的汇水区域，不超过流域分水岭（含水库大坝），即南起赵湾水库大坝，北至赵湾水库正常水位线外3000m的汇水区域，东、西侧到流域分水岭。</w:t>
            </w:r>
          </w:p>
          <w:p w14:paraId="2523038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③准保护区划分结果</w:t>
            </w:r>
          </w:p>
          <w:p w14:paraId="3F2B7BA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本次划分不设准保护区。</w:t>
            </w:r>
          </w:p>
          <w:p w14:paraId="118B464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（2）输水渠饮用水水源保护区划分结果：</w:t>
            </w:r>
          </w:p>
          <w:p w14:paraId="79015D9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①一级保护区划分结果</w:t>
            </w:r>
          </w:p>
          <w:p w14:paraId="4DB641A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赵湾水库坝下至水库管理局西侧明渠段（长约960m）一级保护区范围为输水渠边界两侧向外延伸水平距离50m区域；水库管理局西侧至五里岗水厂暗渠段（长约16.04km）一级保护区范围为输水渠边界两侧向外延伸水平距离5m区域。</w:t>
            </w:r>
          </w:p>
          <w:p w14:paraId="60BB829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②二级保护区划分结果</w:t>
            </w:r>
          </w:p>
          <w:p w14:paraId="1D73BC1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赵湾水库坝下至水库管理局西侧明渠段（长约960m）二级保护区范围为一级保护区边界向外延伸水平距离200m区域；水库管理局西侧至五里岗水厂暗渠段（长约16.04km）不设二级保护区。</w:t>
            </w:r>
          </w:p>
          <w:p w14:paraId="69A35067">
            <w:pPr>
              <w:pStyle w:val="32"/>
              <w:adjustRightInd w:val="0"/>
              <w:snapToGrid w:val="0"/>
              <w:spacing w:before="0"/>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 xml:space="preserve">2.3.2项目建设与镇平县饮用水源地保护规划的相符性分析 </w:t>
            </w:r>
          </w:p>
          <w:p w14:paraId="0FAE9096">
            <w:pPr>
              <w:pStyle w:val="32"/>
              <w:adjustRightInd w:val="0"/>
              <w:snapToGrid w:val="0"/>
              <w:spacing w:before="0"/>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本项目位于</w:t>
            </w:r>
            <w:r>
              <w:rPr>
                <w:rFonts w:hint="eastAsia"/>
                <w:color w:val="000000" w:themeColor="text1"/>
                <w14:textFill>
                  <w14:solidFill>
                    <w14:schemeClr w14:val="tx1"/>
                  </w14:solidFill>
                </w14:textFill>
              </w:rPr>
              <w:t>南阳市镇平县玉都工业园区新星路8号</w:t>
            </w:r>
            <w:r>
              <w:rPr>
                <w:color w:val="000000" w:themeColor="text1"/>
                <w14:textFill>
                  <w14:solidFill>
                    <w14:schemeClr w14:val="tx1"/>
                  </w14:solidFill>
                </w14:textFill>
              </w:rPr>
              <w:t>，西北距赵湾水库库区饮用水源二级保护区边界最近直线距离约</w:t>
            </w:r>
            <w:r>
              <w:rPr>
                <w:rFonts w:hint="eastAsia"/>
                <w:color w:val="000000" w:themeColor="text1"/>
                <w14:textFill>
                  <w14:solidFill>
                    <w14:schemeClr w14:val="tx1"/>
                  </w14:solidFill>
                </w14:textFill>
              </w:rPr>
              <w:t>7.041</w:t>
            </w:r>
            <w:r>
              <w:rPr>
                <w:color w:val="000000" w:themeColor="text1"/>
                <w14:textFill>
                  <w14:solidFill>
                    <w14:schemeClr w14:val="tx1"/>
                  </w14:solidFill>
                </w14:textFill>
              </w:rPr>
              <w:t>km，</w:t>
            </w:r>
            <w:r>
              <w:rPr>
                <w:rFonts w:hint="eastAsia"/>
                <w:color w:val="000000" w:themeColor="text1"/>
                <w14:textFill>
                  <w14:solidFill>
                    <w14:schemeClr w14:val="tx1"/>
                  </w14:solidFill>
                </w14:textFill>
              </w:rPr>
              <w:t>项目区域输水渠为水库管理局西侧至五里岗水厂暗渠段，项目西南至输水渠一级保护区边界距离约619m</w:t>
            </w:r>
            <w:r>
              <w:rPr>
                <w:color w:val="000000" w:themeColor="text1"/>
                <w14:textFill>
                  <w14:solidFill>
                    <w14:schemeClr w14:val="tx1"/>
                  </w14:solidFill>
                </w14:textFill>
              </w:rPr>
              <w:t>，项目选址不在赵湾水库饮用水水源保护区、输水渠保护区范围内</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且项目营运期职工生活污水经化粪池</w:t>
            </w:r>
            <w:r>
              <w:rPr>
                <w:rFonts w:hint="eastAsia"/>
                <w:color w:val="000000" w:themeColor="text1"/>
                <w14:textFill>
                  <w14:solidFill>
                    <w14:schemeClr w14:val="tx1"/>
                  </w14:solidFill>
                </w14:textFill>
              </w:rPr>
              <w:t>预处理后与各生产废水一并进入厂区污水处理站处理后，出水水质能够</w:t>
            </w:r>
            <w:r>
              <w:rPr>
                <w:color w:val="000000" w:themeColor="text1"/>
                <w14:textFill>
                  <w14:solidFill>
                    <w14:schemeClr w14:val="tx1"/>
                  </w14:solidFill>
                </w14:textFill>
              </w:rPr>
              <w:t>满足</w:t>
            </w:r>
            <w:r>
              <w:rPr>
                <w:rFonts w:hint="eastAsia"/>
                <w:color w:val="000000" w:themeColor="text1"/>
                <w14:textFill>
                  <w14:solidFill>
                    <w14:schemeClr w14:val="tx1"/>
                  </w14:solidFill>
                </w14:textFill>
              </w:rPr>
              <w:t>《发酵酒精和白酒工业水污染物排放标准》（GB27631-2011）及其修改单表2间接排放标准、《啤酒工业水污染物排放标准》（DB41/681-2011）</w:t>
            </w:r>
            <w:r>
              <w:rPr>
                <w:color w:val="000000" w:themeColor="text1"/>
                <w14:textFill>
                  <w14:solidFill>
                    <w14:schemeClr w14:val="tx1"/>
                  </w14:solidFill>
                </w14:textFill>
              </w:rPr>
              <w:t>及镇平县第二污水处理厂进水水质指标要求后经市政污水管网进入镇平县第二污水处理厂进一步处理达到《城镇污水处理厂污染物排放标准》（GB18918-2002）一级A标准后排入赵河</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因此项目建设不会对镇平县集中式饮用水源水质产生不良影响。</w:t>
            </w:r>
          </w:p>
          <w:p w14:paraId="4AB0B8BF">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2.3、项目建设与南水北调中线工程总干渠水源保护区规划的相符性</w:t>
            </w:r>
          </w:p>
          <w:p w14:paraId="22B38760">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南水北调中线一期工程总干渠（河南段）两侧饮用水水源保护区划</w:t>
            </w:r>
            <w:r>
              <w:rPr>
                <w:rFonts w:hint="eastAsia"/>
                <w:color w:val="000000" w:themeColor="text1"/>
                <w:sz w:val="24"/>
                <w14:textFill>
                  <w14:solidFill>
                    <w14:schemeClr w14:val="tx1"/>
                  </w14:solidFill>
                </w14:textFill>
              </w:rPr>
              <w:t>范围</w:t>
            </w:r>
          </w:p>
          <w:p w14:paraId="1AC862D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根据《关于印发南水北调中线一期工程总干渠（河南段）两侧水源保护区划的通知》（豫调办</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2018</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56号），总干渠两侧饮用水水源保护区划范围：</w:t>
            </w:r>
          </w:p>
          <w:p w14:paraId="220FAE37">
            <w:pPr>
              <w:adjustRightInd w:val="0"/>
              <w:snapToGrid w:val="0"/>
              <w:spacing w:line="360" w:lineRule="auto"/>
              <w:ind w:firstLine="480" w:firstLineChars="200"/>
              <w:rPr>
                <w:rFonts w:ascii="宋体" w:hAnsi="宋体"/>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南水北调中线一期工程总干渠在河南境内的工程类型分为建筑物段和总干渠明渠段。</w:t>
            </w:r>
          </w:p>
          <w:p w14:paraId="7F720116">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w:t>
            </w:r>
            <w:r>
              <w:rPr>
                <w:color w:val="000000" w:themeColor="text1"/>
                <w:sz w:val="24"/>
                <w14:textFill>
                  <w14:solidFill>
                    <w14:schemeClr w14:val="tx1"/>
                  </w14:solidFill>
                </w14:textFill>
              </w:rPr>
              <w:t>建筑物段（渡槽、倒虹吸、暗涵、隧洞）</w:t>
            </w:r>
          </w:p>
          <w:p w14:paraId="27AB848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一级保护区范围自总干渠管理范围边线（防护栏网）外延50m，不设二级保护区。</w:t>
            </w:r>
          </w:p>
          <w:p w14:paraId="5EE27F67">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w:t>
            </w:r>
            <w:r>
              <w:rPr>
                <w:color w:val="000000" w:themeColor="text1"/>
                <w:sz w:val="24"/>
                <w14:textFill>
                  <w14:solidFill>
                    <w14:schemeClr w14:val="tx1"/>
                  </w14:solidFill>
                </w14:textFill>
              </w:rPr>
              <w:t>总干渠明渠段</w:t>
            </w:r>
          </w:p>
          <w:p w14:paraId="50ADDBA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根据地下水水位与总干渠渠底高程的关系，分为以下几种类型：</w:t>
            </w:r>
          </w:p>
          <w:p w14:paraId="42876873">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A</w:t>
            </w:r>
            <w:r>
              <w:rPr>
                <w:color w:val="000000" w:themeColor="text1"/>
                <w:sz w:val="24"/>
                <w14:textFill>
                  <w14:solidFill>
                    <w14:schemeClr w14:val="tx1"/>
                  </w14:solidFill>
                </w14:textFill>
              </w:rPr>
              <w:t>地下水水位低于总干渠渠底的渠段</w:t>
            </w:r>
          </w:p>
          <w:p w14:paraId="106213F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一级保护区范围自总干渠管理范围边线（防护栏网）外延50米；</w:t>
            </w:r>
          </w:p>
          <w:p w14:paraId="4460BAF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二级保护区范围自一级保护区边线外延150米。</w:t>
            </w:r>
          </w:p>
          <w:p w14:paraId="28D94158">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B</w:t>
            </w:r>
            <w:r>
              <w:rPr>
                <w:color w:val="000000" w:themeColor="text1"/>
                <w:sz w:val="24"/>
                <w14:textFill>
                  <w14:solidFill>
                    <w14:schemeClr w14:val="tx1"/>
                  </w14:solidFill>
                </w14:textFill>
              </w:rPr>
              <w:t>地下水水位高于总干渠渠底的渠段</w:t>
            </w:r>
          </w:p>
          <w:p w14:paraId="09EDC12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微—弱透水性地层</w:t>
            </w:r>
            <w:r>
              <w:rPr>
                <w:rFonts w:hint="eastAsia"/>
                <w:color w:val="000000" w:themeColor="text1"/>
                <w:sz w:val="24"/>
                <w14:textFill>
                  <w14:solidFill>
                    <w14:schemeClr w14:val="tx1"/>
                  </w14:solidFill>
                </w14:textFill>
              </w:rPr>
              <w:t>：</w:t>
            </w:r>
          </w:p>
          <w:p w14:paraId="4622425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一级保护区范围自总干渠管理范围边线（防护栏网）外延50米；</w:t>
            </w:r>
          </w:p>
          <w:p w14:paraId="35C9D02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二级保护区范围自一级保护区边线外延500米。</w:t>
            </w:r>
          </w:p>
          <w:p w14:paraId="287D3F62">
            <w:pPr>
              <w:adjustRightInd w:val="0"/>
              <w:snapToGrid w:val="0"/>
              <w:spacing w:line="360" w:lineRule="auto"/>
              <w:ind w:firstLine="480" w:firstLineChars="200"/>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弱—中等透水性地层：</w:t>
            </w:r>
          </w:p>
          <w:p w14:paraId="5A8FBA65">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一级保护区范围自总干渠管理范围边线（防护栏网）外延100米；</w:t>
            </w:r>
          </w:p>
          <w:p w14:paraId="65FC53B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二级保护区范围自一级保护区边线外延1000米。</w:t>
            </w:r>
          </w:p>
          <w:p w14:paraId="704FDD2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强透水性地层</w:t>
            </w:r>
            <w:r>
              <w:rPr>
                <w:rFonts w:hint="eastAsia"/>
                <w:color w:val="000000" w:themeColor="text1"/>
                <w:sz w:val="24"/>
                <w14:textFill>
                  <w14:solidFill>
                    <w14:schemeClr w14:val="tx1"/>
                  </w14:solidFill>
                </w14:textFill>
              </w:rPr>
              <w:t>：</w:t>
            </w:r>
          </w:p>
          <w:p w14:paraId="13E4468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一级保护区范围自总干渠管理范围边线（防护栏网）外延200米；</w:t>
            </w:r>
          </w:p>
          <w:p w14:paraId="6E90DB3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二级保护区范围自一级保护区边线外延2000米、1500米。</w:t>
            </w:r>
          </w:p>
          <w:p w14:paraId="4A1C348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三、监督与管理</w:t>
            </w:r>
          </w:p>
          <w:p w14:paraId="3D4461C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南水北调中线一期工程总干渠（河南段）两侧饮用水水源保护区所在地各级政府要按照有关法律法规加强饮用水水源环境监督管理工作。</w:t>
            </w:r>
          </w:p>
          <w:p w14:paraId="67766C5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在饮用水水源保护区内，禁止设置排污口；禁止使用剧毒和高残留农药，不得滥用化肥；禁止利用渗坑、渗井、裂隙等排放污水和其他有害废弃物；禁止利用储水层孔隙、裂隙及废弃矿坑储存石油、放射性物质、有毒化学品、农药等。</w:t>
            </w:r>
          </w:p>
          <w:p w14:paraId="5520D50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②在一级保护区内，禁止新建、改建、扩建与供水设施和保护水源无关的建设项目。</w:t>
            </w:r>
          </w:p>
          <w:p w14:paraId="6FA4292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③在二级保护区内，禁止新建、改建、扩建排放污染物的建设项目。</w:t>
            </w:r>
          </w:p>
          <w:p w14:paraId="5845FB86">
            <w:pPr>
              <w:adjustRightInd w:val="0"/>
              <w:snapToGrid w:val="0"/>
              <w:spacing w:line="360" w:lineRule="auto"/>
              <w:ind w:firstLine="480" w:firstLineChars="200"/>
              <w:textAlignment w:val="baseline"/>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项目建设与南水北调中线工程总干渠两侧水源保护区规划的相符性分析</w:t>
            </w:r>
          </w:p>
          <w:p w14:paraId="5DE8754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14:textFill>
                  <w14:solidFill>
                    <w14:schemeClr w14:val="tx1"/>
                  </w14:solidFill>
                </w14:textFill>
              </w:rPr>
              <w:t>南阳市镇平县玉都工业园区新星路8号</w:t>
            </w:r>
            <w:r>
              <w:rPr>
                <w:color w:val="000000" w:themeColor="text1"/>
                <w:sz w:val="24"/>
                <w14:textFill>
                  <w14:solidFill>
                    <w14:schemeClr w14:val="tx1"/>
                  </w14:solidFill>
                </w14:textFill>
              </w:rPr>
              <w:t>，项目与干渠二级保护区边界直线距离约</w:t>
            </w:r>
            <w:r>
              <w:rPr>
                <w:rFonts w:hint="eastAsia"/>
                <w:color w:val="000000" w:themeColor="text1"/>
                <w:sz w:val="24"/>
                <w14:textFill>
                  <w14:solidFill>
                    <w14:schemeClr w14:val="tx1"/>
                  </w14:solidFill>
                </w14:textFill>
              </w:rPr>
              <w:t>13.05</w:t>
            </w:r>
            <w:r>
              <w:rPr>
                <w:color w:val="000000" w:themeColor="text1"/>
                <w:sz w:val="24"/>
                <w14:textFill>
                  <w14:solidFill>
                    <w14:schemeClr w14:val="tx1"/>
                  </w14:solidFill>
                </w14:textFill>
              </w:rPr>
              <w:t>km。经对照南水北调中线工程总干渠两侧水源保护区规划图，项目选址不在其两侧水源保护区范围内，且项目营运期职工生活污水经化粪池</w:t>
            </w:r>
            <w:r>
              <w:rPr>
                <w:rFonts w:hint="eastAsia"/>
                <w:color w:val="000000" w:themeColor="text1"/>
                <w:sz w:val="24"/>
                <w14:textFill>
                  <w14:solidFill>
                    <w14:schemeClr w14:val="tx1"/>
                  </w14:solidFill>
                </w14:textFill>
              </w:rPr>
              <w:t>预处理后与各生产废水一并进入厂区污水处理站处理后，出水水质能够</w:t>
            </w:r>
            <w:r>
              <w:rPr>
                <w:color w:val="000000" w:themeColor="text1"/>
                <w:sz w:val="24"/>
                <w14:textFill>
                  <w14:solidFill>
                    <w14:schemeClr w14:val="tx1"/>
                  </w14:solidFill>
                </w14:textFill>
              </w:rPr>
              <w:t>满足</w:t>
            </w:r>
            <w:r>
              <w:rPr>
                <w:rFonts w:hint="eastAsia"/>
                <w:color w:val="000000" w:themeColor="text1"/>
                <w:sz w:val="24"/>
                <w14:textFill>
                  <w14:solidFill>
                    <w14:schemeClr w14:val="tx1"/>
                  </w14:solidFill>
                </w14:textFill>
              </w:rPr>
              <w:t>《发酵酒精和白酒工业水污染物排放标准》（GB27631-2011）及其修改单表2间接排放标准</w:t>
            </w:r>
            <w:r>
              <w:rPr>
                <w:rFonts w:hint="eastAsia"/>
                <w:color w:val="000000" w:themeColor="text1"/>
                <w14:textFill>
                  <w14:solidFill>
                    <w14:schemeClr w14:val="tx1"/>
                  </w14:solidFill>
                </w14:textFill>
              </w:rPr>
              <w:t>、</w:t>
            </w:r>
            <w:r>
              <w:rPr>
                <w:rFonts w:hint="eastAsia"/>
                <w:color w:val="000000" w:themeColor="text1"/>
                <w:kern w:val="0"/>
                <w:sz w:val="24"/>
                <w14:textFill>
                  <w14:solidFill>
                    <w14:schemeClr w14:val="tx1"/>
                  </w14:solidFill>
                </w14:textFill>
              </w:rPr>
              <w:t>《啤酒工业水污染物排放标准》（DB41/681-2011）</w:t>
            </w:r>
            <w:r>
              <w:rPr>
                <w:color w:val="000000" w:themeColor="text1"/>
                <w:sz w:val="24"/>
                <w14:textFill>
                  <w14:solidFill>
                    <w14:schemeClr w14:val="tx1"/>
                  </w14:solidFill>
                </w14:textFill>
              </w:rPr>
              <w:t>及镇平县第二污水处理厂进水水质指标要求后经市政污水管网进入镇平县第二污水处理厂进一步处理达到《城镇污水处理厂污染物排放标准》（GB18918-2002）一级A标准后排入赵河</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因此项目建设不会对南水北调干渠水源水质产生不良影响。</w:t>
            </w:r>
          </w:p>
          <w:p w14:paraId="266BF5F1">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bCs/>
                <w:color w:val="000000" w:themeColor="text1"/>
                <w:sz w:val="24"/>
                <w14:textFill>
                  <w14:solidFill>
                    <w14:schemeClr w14:val="tx1"/>
                  </w14:solidFill>
                </w14:textFill>
              </w:rPr>
              <w:t>2.4</w:t>
            </w:r>
            <w:r>
              <w:rPr>
                <w:b/>
                <w:color w:val="000000" w:themeColor="text1"/>
                <w:sz w:val="24"/>
                <w14:textFill>
                  <w14:solidFill>
                    <w14:schemeClr w14:val="tx1"/>
                  </w14:solidFill>
                </w14:textFill>
              </w:rPr>
              <w:t>项目与河南南阳恐龙蛋化石群国家级自然保护区规划相符性</w:t>
            </w:r>
          </w:p>
          <w:p w14:paraId="67EA65F9">
            <w:pPr>
              <w:tabs>
                <w:tab w:val="left" w:pos="1081"/>
              </w:tabs>
              <w:adjustRightInd w:val="0"/>
              <w:snapToGrid w:val="0"/>
              <w:spacing w:line="360" w:lineRule="auto"/>
              <w:ind w:firstLine="480" w:firstLineChars="200"/>
              <w:rPr>
                <w:rFonts w:ascii="Times New Roman"/>
                <w:b w:val="0"/>
                <w:color w:val="000000" w:themeColor="text1"/>
                <w:sz w:val="24"/>
                <w:szCs w:val="24"/>
                <w:u w:val="none"/>
                <w14:textFill>
                  <w14:solidFill>
                    <w14:schemeClr w14:val="tx1"/>
                  </w14:solidFill>
                </w14:textFill>
              </w:rPr>
            </w:pPr>
            <w:r>
              <w:rPr>
                <w:rFonts w:ascii="Times New Roman"/>
                <w:b w:val="0"/>
                <w:color w:val="000000" w:themeColor="text1"/>
                <w:sz w:val="24"/>
                <w:szCs w:val="24"/>
                <w:u w:val="none"/>
                <w14:textFill>
                  <w14:solidFill>
                    <w14:schemeClr w14:val="tx1"/>
                  </w14:solidFill>
                </w14:textFill>
              </w:rPr>
              <w:t>（1）保护区基本情况</w:t>
            </w:r>
          </w:p>
          <w:p w14:paraId="42726252">
            <w:pPr>
              <w:tabs>
                <w:tab w:val="left" w:pos="1081"/>
              </w:tabs>
              <w:adjustRightInd w:val="0"/>
              <w:snapToGrid w:val="0"/>
              <w:spacing w:line="360" w:lineRule="auto"/>
              <w:ind w:firstLine="480" w:firstLineChars="200"/>
              <w:rPr>
                <w:rFonts w:ascii="Times New Roman"/>
                <w:b w:val="0"/>
                <w:color w:val="000000" w:themeColor="text1"/>
                <w:sz w:val="24"/>
                <w:szCs w:val="24"/>
                <w:u w:val="none"/>
                <w14:textFill>
                  <w14:solidFill>
                    <w14:schemeClr w14:val="tx1"/>
                  </w14:solidFill>
                </w14:textFill>
              </w:rPr>
            </w:pPr>
            <w:r>
              <w:rPr>
                <w:rFonts w:ascii="Times New Roman"/>
                <w:b w:val="0"/>
                <w:color w:val="000000" w:themeColor="text1"/>
                <w:sz w:val="24"/>
                <w:szCs w:val="24"/>
                <w:u w:val="none"/>
                <w14:textFill>
                  <w14:solidFill>
                    <w14:schemeClr w14:val="tx1"/>
                  </w14:solidFill>
                </w14:textFill>
              </w:rPr>
              <w:t>根据河南南阳恐龙蛋化石群国家级自然保护区规划，保护区规划为3个核心保护区、7个缓冲保护区、3个实验保护区。三种类别的功能区，共13个区块。保护区管辖的范围为西峡县的丹水镇中北部、阳城乡南部、回车镇中部、田关乡北部、五里桥乡中部、丁河镇中部、重阳乡中部、西坪镇中部，内乡县的赤眉镇西部、赵店乡中部、夏馆镇南部、七里坪乡中南部，马山口镇中南部，镇平县的高丘镇北部、四山乡和二龙乡南部、石佛寺镇和城关镇北部，淅川县的滔河乡中北部大部、盛湾镇北部、老城镇中南部、大石桥乡东南部及西北部。共涉及4县的22个乡（镇）。</w:t>
            </w:r>
          </w:p>
          <w:p w14:paraId="46F814C9">
            <w:pPr>
              <w:pStyle w:val="33"/>
              <w:keepNext w:val="0"/>
              <w:keepLines w:val="0"/>
              <w:pageBreakBefore w:val="0"/>
              <w:widowControl w:val="0"/>
              <w:kinsoku/>
              <w:wordWrap/>
              <w:overflowPunct/>
              <w:topLinePunct w:val="0"/>
              <w:autoSpaceDE/>
              <w:autoSpaceDN/>
              <w:bidi w:val="0"/>
              <w:adjustRightInd w:val="0"/>
              <w:snapToGrid w:val="0"/>
              <w:spacing w:beforeLines="0" w:after="0" w:line="360" w:lineRule="auto"/>
              <w:textAlignment w:val="baseline"/>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（2）国家级自然保护区管理要求</w:t>
            </w:r>
          </w:p>
          <w:p w14:paraId="153A3295">
            <w:pPr>
              <w:pStyle w:val="33"/>
              <w:keepNext w:val="0"/>
              <w:keepLines w:val="0"/>
              <w:pageBreakBefore w:val="0"/>
              <w:widowControl w:val="0"/>
              <w:kinsoku/>
              <w:wordWrap/>
              <w:overflowPunct/>
              <w:topLinePunct w:val="0"/>
              <w:autoSpaceDE/>
              <w:autoSpaceDN/>
              <w:bidi w:val="0"/>
              <w:adjustRightInd w:val="0"/>
              <w:snapToGrid w:val="0"/>
              <w:spacing w:beforeLines="0" w:after="0" w:line="360" w:lineRule="auto"/>
              <w:textAlignment w:val="baseline"/>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①禁止在自然保护区内进行砍伐、放牧、狩猎、捕捞、采药、开垦、烧荒、开矿、采石、挖沙等活动；但是，法律、行政法规另有规定的除外。</w:t>
            </w:r>
          </w:p>
          <w:p w14:paraId="315F20FF">
            <w:pPr>
              <w:pStyle w:val="33"/>
              <w:keepNext w:val="0"/>
              <w:keepLines w:val="0"/>
              <w:pageBreakBefore w:val="0"/>
              <w:widowControl w:val="0"/>
              <w:kinsoku/>
              <w:wordWrap/>
              <w:overflowPunct/>
              <w:topLinePunct w:val="0"/>
              <w:autoSpaceDE/>
              <w:autoSpaceDN/>
              <w:bidi w:val="0"/>
              <w:adjustRightInd w:val="0"/>
              <w:snapToGrid w:val="0"/>
              <w:spacing w:beforeLines="0" w:after="0" w:line="360" w:lineRule="auto"/>
              <w:textAlignment w:val="baseline"/>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②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w:t>
            </w:r>
          </w:p>
          <w:p w14:paraId="410B3922">
            <w:pPr>
              <w:pStyle w:val="33"/>
              <w:keepNext w:val="0"/>
              <w:keepLines w:val="0"/>
              <w:pageBreakBefore w:val="0"/>
              <w:widowControl w:val="0"/>
              <w:kinsoku/>
              <w:wordWrap/>
              <w:overflowPunct/>
              <w:topLinePunct w:val="0"/>
              <w:autoSpaceDE/>
              <w:autoSpaceDN/>
              <w:bidi w:val="0"/>
              <w:adjustRightInd w:val="0"/>
              <w:snapToGrid w:val="0"/>
              <w:spacing w:beforeLines="0" w:after="0" w:line="360" w:lineRule="auto"/>
              <w:textAlignment w:val="baseline"/>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③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w:t>
            </w:r>
          </w:p>
          <w:p w14:paraId="49AD6ACB">
            <w:pPr>
              <w:pStyle w:val="33"/>
              <w:keepNext w:val="0"/>
              <w:keepLines w:val="0"/>
              <w:pageBreakBefore w:val="0"/>
              <w:widowControl w:val="0"/>
              <w:kinsoku/>
              <w:wordWrap/>
              <w:overflowPunct/>
              <w:topLinePunct w:val="0"/>
              <w:autoSpaceDE/>
              <w:autoSpaceDN/>
              <w:bidi w:val="0"/>
              <w:adjustRightInd w:val="0"/>
              <w:snapToGrid w:val="0"/>
              <w:spacing w:beforeLines="0" w:after="0" w:line="360" w:lineRule="auto"/>
              <w:textAlignment w:val="baseline"/>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④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p w14:paraId="7D001793">
            <w:pPr>
              <w:pStyle w:val="33"/>
              <w:keepNext w:val="0"/>
              <w:keepLines w:val="0"/>
              <w:pageBreakBefore w:val="0"/>
              <w:widowControl w:val="0"/>
              <w:kinsoku/>
              <w:wordWrap/>
              <w:overflowPunct/>
              <w:topLinePunct w:val="0"/>
              <w:autoSpaceDE/>
              <w:autoSpaceDN/>
              <w:bidi w:val="0"/>
              <w:adjustRightInd w:val="0"/>
              <w:snapToGrid w:val="0"/>
              <w:spacing w:beforeLines="0" w:after="0" w:line="360" w:lineRule="auto"/>
              <w:textAlignment w:val="baseline"/>
              <w:rPr>
                <w:rFonts w:ascii="Times New Roman"/>
                <w:b w:val="0"/>
                <w:color w:val="000000" w:themeColor="text1"/>
                <w:u w:val="none"/>
                <w14:textFill>
                  <w14:solidFill>
                    <w14:schemeClr w14:val="tx1"/>
                  </w14:solidFill>
                </w14:textFill>
              </w:rPr>
            </w:pPr>
            <w:r>
              <w:rPr>
                <w:rFonts w:ascii="Times New Roman"/>
                <w:b w:val="0"/>
                <w:color w:val="000000" w:themeColor="text1"/>
                <w:u w:val="none"/>
                <w14:textFill>
                  <w14:solidFill>
                    <w14:schemeClr w14:val="tx1"/>
                  </w14:solidFill>
                </w14:textFill>
              </w:rPr>
              <w:t>（3）项目建设与河南南阳恐龙蛋化石群国家级自然保护区的相符性分析</w:t>
            </w:r>
          </w:p>
          <w:p w14:paraId="4687DF5C">
            <w:pPr>
              <w:pStyle w:val="34"/>
              <w:keepNext w:val="0"/>
              <w:keepLines w:val="0"/>
              <w:pageBreakBefore w:val="0"/>
              <w:widowControl w:val="0"/>
              <w:kinsoku/>
              <w:wordWrap/>
              <w:overflowPunct/>
              <w:topLinePunct w:val="0"/>
              <w:autoSpaceDE/>
              <w:autoSpaceDN/>
              <w:bidi w:val="0"/>
              <w:adjustRightInd w:val="0"/>
              <w:snapToGrid w:val="0"/>
              <w:ind w:firstLine="480" w:firstLineChars="200"/>
              <w:textAlignment w:val="baseline"/>
              <w:rPr>
                <w:rFonts w:ascii="Times New Roman"/>
                <w:color w:val="000000" w:themeColor="text1"/>
                <w:kern w:val="2"/>
                <w:szCs w:val="24"/>
                <w14:textFill>
                  <w14:solidFill>
                    <w14:schemeClr w14:val="tx1"/>
                  </w14:solidFill>
                </w14:textFill>
              </w:rPr>
            </w:pPr>
            <w:r>
              <w:rPr>
                <w:rFonts w:ascii="Times New Roman"/>
                <w:color w:val="000000" w:themeColor="text1"/>
                <w:szCs w:val="24"/>
                <w14:textFill>
                  <w14:solidFill>
                    <w14:schemeClr w14:val="tx1"/>
                  </w14:solidFill>
                </w14:textFill>
              </w:rPr>
              <w:t>本项目位于</w:t>
            </w:r>
            <w:r>
              <w:rPr>
                <w:rFonts w:hint="eastAsia" w:ascii="Times New Roman"/>
                <w:color w:val="000000" w:themeColor="text1"/>
                <w:szCs w:val="24"/>
                <w14:textFill>
                  <w14:solidFill>
                    <w14:schemeClr w14:val="tx1"/>
                  </w14:solidFill>
                </w14:textFill>
              </w:rPr>
              <w:t>南阳市镇平县玉都工业园区新星路8号</w:t>
            </w:r>
            <w:r>
              <w:rPr>
                <w:rFonts w:ascii="Times New Roman"/>
                <w:color w:val="000000" w:themeColor="text1"/>
                <w:szCs w:val="24"/>
                <w14:textFill>
                  <w14:solidFill>
                    <w14:schemeClr w14:val="tx1"/>
                  </w14:solidFill>
                </w14:textFill>
              </w:rPr>
              <w:t>，经比对《河南南阳恐龙蛋化石群国家级自然保护区划图》，项目</w:t>
            </w:r>
            <w:r>
              <w:rPr>
                <w:rFonts w:hint="eastAsia" w:ascii="Times New Roman"/>
                <w:color w:val="000000" w:themeColor="text1"/>
                <w:szCs w:val="24"/>
                <w14:textFill>
                  <w14:solidFill>
                    <w14:schemeClr w14:val="tx1"/>
                  </w14:solidFill>
                </w14:textFill>
              </w:rPr>
              <w:t>东</w:t>
            </w:r>
            <w:r>
              <w:rPr>
                <w:rFonts w:ascii="Times New Roman"/>
                <w:color w:val="000000" w:themeColor="text1"/>
                <w:szCs w:val="24"/>
                <w14:textFill>
                  <w14:solidFill>
                    <w14:schemeClr w14:val="tx1"/>
                  </w14:solidFill>
                </w14:textFill>
              </w:rPr>
              <w:t>北距河南南阳恐龙蛋化石群国家级自然保护区缓冲区边界约</w:t>
            </w:r>
            <w:r>
              <w:rPr>
                <w:rFonts w:hint="eastAsia" w:ascii="Times New Roman"/>
                <w:color w:val="000000" w:themeColor="text1"/>
                <w:szCs w:val="24"/>
                <w14:textFill>
                  <w14:solidFill>
                    <w14:schemeClr w14:val="tx1"/>
                  </w14:solidFill>
                </w14:textFill>
              </w:rPr>
              <w:t>1.84</w:t>
            </w:r>
            <w:r>
              <w:rPr>
                <w:rFonts w:ascii="Times New Roman"/>
                <w:color w:val="000000" w:themeColor="text1"/>
                <w:szCs w:val="24"/>
                <w14:textFill>
                  <w14:solidFill>
                    <w14:schemeClr w14:val="tx1"/>
                  </w14:solidFill>
                </w14:textFill>
              </w:rPr>
              <w:t>km，不在保护区范围内。项目按环评要求的治污措施配套落实后各污染物排放均满足相应的污染物排放标准，</w:t>
            </w:r>
            <w:r>
              <w:rPr>
                <w:rFonts w:ascii="Times New Roman"/>
                <w:color w:val="000000" w:themeColor="text1"/>
                <w:kern w:val="2"/>
                <w:szCs w:val="24"/>
                <w14:textFill>
                  <w14:solidFill>
                    <w14:schemeClr w14:val="tx1"/>
                  </w14:solidFill>
                </w14:textFill>
              </w:rPr>
              <w:t>对恐龙蛋化石遗迹影响不大，因此项目建设与河南南阳恐龙蛋化石群国家级自然保护区的要求基本相符。</w:t>
            </w:r>
          </w:p>
          <w:p w14:paraId="32A9C617">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baseline"/>
              <w:rPr>
                <w:b/>
                <w:bCs/>
                <w:color w:val="000000" w:themeColor="text1"/>
                <w:kern w:val="0"/>
                <w:sz w:val="24"/>
                <w14:textFill>
                  <w14:solidFill>
                    <w14:schemeClr w14:val="tx1"/>
                  </w14:solidFill>
                </w14:textFill>
              </w:rPr>
            </w:pPr>
            <w:r>
              <w:rPr>
                <w:rFonts w:hint="eastAsia"/>
                <w:b/>
                <w:bCs/>
                <w:color w:val="000000" w:themeColor="text1"/>
                <w:kern w:val="0"/>
                <w:sz w:val="24"/>
                <w14:textFill>
                  <w14:solidFill>
                    <w14:schemeClr w14:val="tx1"/>
                  </w14:solidFill>
                </w14:textFill>
              </w:rPr>
              <w:t>3</w:t>
            </w:r>
            <w:r>
              <w:rPr>
                <w:b/>
                <w:bCs/>
                <w:color w:val="000000" w:themeColor="text1"/>
                <w:kern w:val="0"/>
                <w:sz w:val="24"/>
                <w14:textFill>
                  <w14:solidFill>
                    <w14:schemeClr w14:val="tx1"/>
                  </w14:solidFill>
                </w14:textFill>
              </w:rPr>
              <w:t>、项目建设与相关技术规范、政策的符合性</w:t>
            </w:r>
          </w:p>
          <w:p w14:paraId="7B463C46">
            <w:pPr>
              <w:keepNext w:val="0"/>
              <w:keepLines w:val="0"/>
              <w:pageBreakBefore w:val="0"/>
              <w:kinsoku/>
              <w:wordWrap/>
              <w:overflowPunct/>
              <w:topLinePunct w:val="0"/>
              <w:autoSpaceDE/>
              <w:autoSpaceDN/>
              <w:bidi w:val="0"/>
              <w:adjustRightInd w:val="0"/>
              <w:snapToGrid w:val="0"/>
              <w:spacing w:line="360" w:lineRule="auto"/>
              <w:ind w:firstLine="482" w:firstLineChars="200"/>
              <w:textAlignment w:val="baseline"/>
              <w:rPr>
                <w:rFonts w:hint="eastAsia"/>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3.</w:t>
            </w:r>
            <w:r>
              <w:rPr>
                <w:rFonts w:hint="eastAsia"/>
                <w:b/>
                <w:bCs/>
                <w:color w:val="000000" w:themeColor="text1"/>
                <w:kern w:val="0"/>
                <w:sz w:val="24"/>
                <w14:textFill>
                  <w14:solidFill>
                    <w14:schemeClr w14:val="tx1"/>
                  </w14:solidFill>
                </w14:textFill>
              </w:rPr>
              <w:t>1</w:t>
            </w:r>
            <w:r>
              <w:rPr>
                <w:b/>
                <w:bCs/>
                <w:color w:val="000000" w:themeColor="text1"/>
                <w:kern w:val="0"/>
                <w:sz w:val="24"/>
                <w14:textFill>
                  <w14:solidFill>
                    <w14:schemeClr w14:val="tx1"/>
                  </w14:solidFill>
                </w14:textFill>
              </w:rPr>
              <w:t>、项目与</w:t>
            </w:r>
            <w:r>
              <w:rPr>
                <w:rFonts w:hint="eastAsia"/>
                <w:b/>
                <w:bCs/>
                <w:color w:val="000000" w:themeColor="text1"/>
                <w:kern w:val="0"/>
                <w:sz w:val="24"/>
                <w14:textFill>
                  <w14:solidFill>
                    <w14:schemeClr w14:val="tx1"/>
                  </w14:solidFill>
                </w14:textFill>
              </w:rPr>
              <w:t>南阳市生态环境保护委员会办公室关于印发《南阳市2025年蓝天保卫战实施方案》《南阳市2025年碧水保卫战实施方案》《南阳市2025年净土保卫战实施方案》《南阳市2025年柴油货车污染治理攻坚战实施方案》的通知</w:t>
            </w:r>
          </w:p>
          <w:p w14:paraId="320DEFE0">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baseline"/>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202</w:t>
            </w:r>
            <w:r>
              <w:rPr>
                <w:rFonts w:hint="eastAsia"/>
                <w:color w:val="000000" w:themeColor="text1"/>
                <w:kern w:val="0"/>
                <w:sz w:val="24"/>
                <w14:textFill>
                  <w14:solidFill>
                    <w14:schemeClr w14:val="tx1"/>
                  </w14:solidFill>
                </w14:textFill>
              </w:rPr>
              <w:t>5</w:t>
            </w:r>
            <w:r>
              <w:rPr>
                <w:color w:val="000000" w:themeColor="text1"/>
                <w:kern w:val="0"/>
                <w:sz w:val="24"/>
                <w14:textFill>
                  <w14:solidFill>
                    <w14:schemeClr w14:val="tx1"/>
                  </w14:solidFill>
                </w14:textFill>
              </w:rPr>
              <w:t>年</w:t>
            </w:r>
            <w:r>
              <w:rPr>
                <w:rFonts w:hint="eastAsia"/>
                <w:color w:val="000000" w:themeColor="text1"/>
                <w:kern w:val="0"/>
                <w:sz w:val="24"/>
                <w14:textFill>
                  <w14:solidFill>
                    <w14:schemeClr w14:val="tx1"/>
                  </w14:solidFill>
                </w14:textFill>
              </w:rPr>
              <w:t>5</w:t>
            </w:r>
            <w:r>
              <w:rPr>
                <w:color w:val="000000" w:themeColor="text1"/>
                <w:kern w:val="0"/>
                <w:sz w:val="24"/>
                <w14:textFill>
                  <w14:solidFill>
                    <w14:schemeClr w14:val="tx1"/>
                  </w14:solidFill>
                </w14:textFill>
              </w:rPr>
              <w:t>月</w:t>
            </w:r>
            <w:r>
              <w:rPr>
                <w:rFonts w:hint="eastAsia"/>
                <w:color w:val="000000" w:themeColor="text1"/>
                <w:kern w:val="0"/>
                <w:sz w:val="24"/>
                <w14:textFill>
                  <w14:solidFill>
                    <w14:schemeClr w14:val="tx1"/>
                  </w14:solidFill>
                </w14:textFill>
              </w:rPr>
              <w:t>30</w:t>
            </w:r>
            <w:r>
              <w:rPr>
                <w:color w:val="000000" w:themeColor="text1"/>
                <w:kern w:val="0"/>
                <w:sz w:val="24"/>
                <w14:textFill>
                  <w14:solidFill>
                    <w14:schemeClr w14:val="tx1"/>
                  </w14:solidFill>
                </w14:textFill>
              </w:rPr>
              <w:t>日，</w:t>
            </w:r>
            <w:r>
              <w:rPr>
                <w:rFonts w:hint="eastAsia"/>
                <w:color w:val="000000" w:themeColor="text1"/>
                <w:kern w:val="0"/>
                <w:sz w:val="24"/>
                <w14:textFill>
                  <w14:solidFill>
                    <w14:schemeClr w14:val="tx1"/>
                  </w14:solidFill>
                </w14:textFill>
              </w:rPr>
              <w:t>南阳市生态环境保护委员会办公室关于印发《南阳市2025年蓝天保卫战实施方案》《南阳市2025年碧水保卫战实施方案》《南阳市2025年净土保卫战实施方案》《南阳市2025年柴油货车污染治理攻坚战实施方案》的通知（宛环委办〔2025〕5号）</w:t>
            </w:r>
            <w:r>
              <w:rPr>
                <w:color w:val="000000" w:themeColor="text1"/>
                <w:kern w:val="0"/>
                <w:sz w:val="24"/>
                <w14:textFill>
                  <w14:solidFill>
                    <w14:schemeClr w14:val="tx1"/>
                  </w14:solidFill>
                </w14:textFill>
              </w:rPr>
              <w:t>。与该文件中涉及本项目情况的相关内容对比及相符性分析见下表。</w:t>
            </w:r>
          </w:p>
          <w:p w14:paraId="58C2ABCE">
            <w:pPr>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lang w:val="en-US" w:eastAsia="zh-CN"/>
                <w14:textFill>
                  <w14:solidFill>
                    <w14:schemeClr w14:val="tx1"/>
                  </w14:solidFill>
                </w14:textFill>
              </w:rPr>
              <w:t>5</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 xml:space="preserve"> 项目建设与宛环委办</w:t>
            </w:r>
            <w:r>
              <w:rPr>
                <w:rFonts w:hint="eastAsia"/>
                <w:b/>
                <w:color w:val="000000" w:themeColor="text1"/>
                <w:sz w:val="24"/>
                <w14:textFill>
                  <w14:solidFill>
                    <w14:schemeClr w14:val="tx1"/>
                  </w14:solidFill>
                </w14:textFill>
              </w:rPr>
              <w:t>〔2025〕5号的</w:t>
            </w:r>
            <w:r>
              <w:rPr>
                <w:b/>
                <w:color w:val="000000" w:themeColor="text1"/>
                <w:sz w:val="24"/>
                <w14:textFill>
                  <w14:solidFill>
                    <w14:schemeClr w14:val="tx1"/>
                  </w14:solidFill>
                </w14:textFill>
              </w:rPr>
              <w:t>相符性分析</w:t>
            </w:r>
          </w:p>
          <w:tbl>
            <w:tblPr>
              <w:tblStyle w:val="25"/>
              <w:tblW w:w="4977"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46"/>
              <w:gridCol w:w="4030"/>
              <w:gridCol w:w="2610"/>
              <w:gridCol w:w="788"/>
            </w:tblGrid>
            <w:tr w14:paraId="6B0F9BF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vAlign w:val="center"/>
                </w:tcPr>
                <w:p w14:paraId="08B06B96">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分类</w:t>
                  </w:r>
                </w:p>
              </w:tc>
              <w:tc>
                <w:tcPr>
                  <w:tcW w:w="2448" w:type="pct"/>
                  <w:vAlign w:val="center"/>
                </w:tcPr>
                <w:p w14:paraId="3F8DF34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文件要求</w:t>
                  </w:r>
                </w:p>
              </w:tc>
              <w:tc>
                <w:tcPr>
                  <w:tcW w:w="1590" w:type="pct"/>
                  <w:vAlign w:val="center"/>
                </w:tcPr>
                <w:p w14:paraId="6D3773C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w:t>
                  </w:r>
                </w:p>
              </w:tc>
              <w:tc>
                <w:tcPr>
                  <w:tcW w:w="487" w:type="pct"/>
                  <w:vAlign w:val="center"/>
                </w:tcPr>
                <w:p w14:paraId="715AD8C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542ABF8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vAlign w:val="center"/>
                </w:tcPr>
                <w:p w14:paraId="3C08F7C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南阳市2025年蓝天保卫战实施方案</w:t>
                  </w:r>
                </w:p>
              </w:tc>
            </w:tr>
            <w:tr w14:paraId="4972684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vAlign w:val="center"/>
                </w:tcPr>
                <w:p w14:paraId="460C4841">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（一）结构优化升级专项攻坚</w:t>
                  </w:r>
                </w:p>
              </w:tc>
              <w:tc>
                <w:tcPr>
                  <w:tcW w:w="2448" w:type="pct"/>
                  <w:vAlign w:val="center"/>
                </w:tcPr>
                <w:p w14:paraId="5373C5EE">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4.实施工业炉窑清洁能源替代。对南阳鸿润建材、南阳晋成陶瓷2家企业实施停产整治，煤气发生炉完成清洁低碳能源替代前不得复产。2025年9月底前，南阳环宇电器、南阳东福陶艺2家企业完成煤气发生炉清洁低碳能源替代。2025年10月底前，完成现有使用高污染燃料的加热炉、热处理炉、干燥炉、熔化炉以及冲天炉等工业炉窑清洁低碳能源替代或拆除，未完成的纳入</w:t>
                  </w:r>
                  <w:r>
                    <w:rPr>
                      <w:color w:val="000000" w:themeColor="text1"/>
                      <w:kern w:val="0"/>
                      <w:szCs w:val="21"/>
                      <w14:textFill>
                        <w14:solidFill>
                          <w14:schemeClr w14:val="tx1"/>
                        </w14:solidFill>
                      </w14:textFill>
                    </w:rPr>
                    <w:cr/>
                  </w:r>
                  <w:r>
                    <w:rPr>
                      <w:color w:val="000000" w:themeColor="text1"/>
                      <w:kern w:val="0"/>
                      <w:szCs w:val="21"/>
                      <w14:textFill>
                        <w14:solidFill>
                          <w14:schemeClr w14:val="tx1"/>
                        </w14:solidFill>
                      </w14:textFill>
                    </w:rPr>
                    <w:t>冬季错峰生产调控。</w:t>
                  </w:r>
                </w:p>
              </w:tc>
              <w:tc>
                <w:tcPr>
                  <w:tcW w:w="1590" w:type="pct"/>
                  <w:vAlign w:val="center"/>
                </w:tcPr>
                <w:p w14:paraId="4D9D2E21">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本项目不涉及工业炉窑。</w:t>
                  </w:r>
                </w:p>
              </w:tc>
              <w:tc>
                <w:tcPr>
                  <w:tcW w:w="487" w:type="pct"/>
                  <w:vAlign w:val="center"/>
                </w:tcPr>
                <w:p w14:paraId="36565D4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相符</w:t>
                  </w:r>
                </w:p>
              </w:tc>
            </w:tr>
            <w:tr w14:paraId="3D14366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83" w:type="dxa"/>
                  <w:vMerge w:val="restart"/>
                  <w:vAlign w:val="center"/>
                </w:tcPr>
                <w:p w14:paraId="33F9D15E">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（二）工业企业提标治理专项攻坚</w:t>
                  </w:r>
                </w:p>
              </w:tc>
              <w:tc>
                <w:tcPr>
                  <w:tcW w:w="4046" w:type="dxa"/>
                  <w:vAlign w:val="center"/>
                </w:tcPr>
                <w:p w14:paraId="1D5DCD12">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7.深入开展低效失效治理设施排查整治。持续开展低效失效大气污染治理设施排查，淘汰不成熟、不适用、无法稳定达标排放的治理工艺，整治关键组件缺失、质量低劣、自动化水平低的治理设施，纳入年度重点治理任务限期完成提升改造。2025年10月底前，完成67家企业低效失效治理设施提升改造，未按时完成的纳入秋冬季生产调控范围。</w:t>
                  </w:r>
                </w:p>
              </w:tc>
              <w:tc>
                <w:tcPr>
                  <w:tcW w:w="1590" w:type="pct"/>
                  <w:vAlign w:val="center"/>
                </w:tcPr>
                <w:p w14:paraId="33AFFEA2">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本项目除尘设施采用覆膜袋式除尘器，有机废气处理设施采用二级活性炭吸附装置，经</w:t>
                  </w:r>
                  <w:r>
                    <w:rPr>
                      <w:color w:val="000000" w:themeColor="text1"/>
                      <w:kern w:val="0"/>
                      <w:szCs w:val="21"/>
                      <w14:textFill>
                        <w14:solidFill>
                          <w14:schemeClr w14:val="tx1"/>
                        </w14:solidFill>
                      </w14:textFill>
                    </w:rPr>
                    <w:t>对照《低效失效大气污染治理设施排查整治技术要点》，</w:t>
                  </w:r>
                  <w:r>
                    <w:rPr>
                      <w:rFonts w:hint="eastAsia"/>
                      <w:color w:val="000000" w:themeColor="text1"/>
                      <w:kern w:val="0"/>
                      <w:szCs w:val="21"/>
                      <w14:textFill>
                        <w14:solidFill>
                          <w14:schemeClr w14:val="tx1"/>
                        </w14:solidFill>
                      </w14:textFill>
                    </w:rPr>
                    <w:t>本项目采用的除尘设施和</w:t>
                  </w:r>
                  <w:r>
                    <w:rPr>
                      <w:rFonts w:hint="eastAsia"/>
                      <w:color w:val="000000" w:themeColor="text1"/>
                      <w:szCs w:val="21"/>
                      <w14:textFill>
                        <w14:solidFill>
                          <w14:schemeClr w14:val="tx1"/>
                        </w14:solidFill>
                      </w14:textFill>
                    </w:rPr>
                    <w:t>有机废气处理设施均不属于</w:t>
                  </w:r>
                  <w:r>
                    <w:rPr>
                      <w:color w:val="000000" w:themeColor="text1"/>
                      <w:kern w:val="0"/>
                      <w:szCs w:val="21"/>
                      <w14:textFill>
                        <w14:solidFill>
                          <w14:schemeClr w14:val="tx1"/>
                        </w14:solidFill>
                      </w14:textFill>
                    </w:rPr>
                    <w:t>低效失效大气污染治理设施</w:t>
                  </w:r>
                  <w:r>
                    <w:rPr>
                      <w:rFonts w:hint="eastAsia"/>
                      <w:color w:val="000000" w:themeColor="text1"/>
                      <w:kern w:val="0"/>
                      <w:szCs w:val="21"/>
                      <w14:textFill>
                        <w14:solidFill>
                          <w14:schemeClr w14:val="tx1"/>
                        </w14:solidFill>
                      </w14:textFill>
                    </w:rPr>
                    <w:t>。</w:t>
                  </w:r>
                </w:p>
              </w:tc>
              <w:tc>
                <w:tcPr>
                  <w:tcW w:w="487" w:type="pct"/>
                  <w:vAlign w:val="center"/>
                </w:tcPr>
                <w:p w14:paraId="60B6114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相符</w:t>
                  </w:r>
                </w:p>
              </w:tc>
            </w:tr>
            <w:tr w14:paraId="398FC4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73" w:type="pct"/>
                  <w:vMerge w:val="continue"/>
                  <w:vAlign w:val="center"/>
                </w:tcPr>
                <w:p w14:paraId="67B09113">
                  <w:pPr>
                    <w:widowControl/>
                    <w:jc w:val="center"/>
                    <w:rPr>
                      <w:color w:val="000000" w:themeColor="text1"/>
                      <w:kern w:val="0"/>
                      <w:szCs w:val="21"/>
                      <w14:textFill>
                        <w14:solidFill>
                          <w14:schemeClr w14:val="tx1"/>
                        </w14:solidFill>
                      </w14:textFill>
                    </w:rPr>
                  </w:pPr>
                </w:p>
              </w:tc>
              <w:tc>
                <w:tcPr>
                  <w:tcW w:w="2448" w:type="pct"/>
                  <w:vAlign w:val="center"/>
                </w:tcPr>
                <w:p w14:paraId="30A01A9E">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8.实施挥发性有机物综合治理。组织涉VOCs企业针对挥发性有机液体储罐、装卸、敞开液面、泄漏检测与修复（LDAR）、 </w:t>
                  </w:r>
                </w:p>
                <w:p w14:paraId="150008C6">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废气收集、废气旁路、治理设施、加油站、非正常工况、产品VOCs含量等10个关键环节开展VOCs治理突出问题排查整治，在汽车、机械制造、家具、汽修、塑料软包装、印铁制罐、包装印刷等领域推广使用低（无）VOCs含量涂料和油墨，对完成源头替代的企业纳入</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白名单</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管理，在重污染天气预警期间实施自主减排。2025年5月底前，4家企业完成低VOCs原辅材料源头替代，3家企业完成泄漏检测与修复</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25家企业完成VOCs综合治理。使用活性炭吸附企业在4月底活性炭更换基础上，加强日常监管，及时更换，确保发挥最佳处理效果。</w:t>
                  </w:r>
                </w:p>
              </w:tc>
              <w:tc>
                <w:tcPr>
                  <w:tcW w:w="1590" w:type="pct"/>
                  <w:vAlign w:val="center"/>
                </w:tcPr>
                <w:p w14:paraId="213C9A8D">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本项目涉及有机废气收集，项目有组织</w:t>
                  </w:r>
                  <w:r>
                    <w:rPr>
                      <w:rFonts w:hint="eastAsia"/>
                      <w:color w:val="000000" w:themeColor="text1"/>
                      <w:szCs w:val="21"/>
                      <w14:textFill>
                        <w14:solidFill>
                          <w14:schemeClr w14:val="tx1"/>
                        </w14:solidFill>
                      </w14:textFill>
                    </w:rPr>
                    <w:t>有机</w:t>
                  </w:r>
                  <w:r>
                    <w:rPr>
                      <w:color w:val="000000" w:themeColor="text1"/>
                      <w:szCs w:val="21"/>
                      <w14:textFill>
                        <w14:solidFill>
                          <w14:schemeClr w14:val="tx1"/>
                        </w14:solidFill>
                      </w14:textFill>
                    </w:rPr>
                    <w:t>废气经</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二级活性炭</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处理后达标排放。</w:t>
                  </w:r>
                </w:p>
              </w:tc>
              <w:tc>
                <w:tcPr>
                  <w:tcW w:w="487" w:type="pct"/>
                  <w:vAlign w:val="center"/>
                </w:tcPr>
                <w:p w14:paraId="5F130A5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366870E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83" w:type="dxa"/>
                  <w:vAlign w:val="center"/>
                </w:tcPr>
                <w:p w14:paraId="38D3213E">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（五）重污染天气应对专项攻坚</w:t>
                  </w:r>
                </w:p>
              </w:tc>
              <w:tc>
                <w:tcPr>
                  <w:tcW w:w="4046" w:type="dxa"/>
                  <w:vAlign w:val="center"/>
                </w:tcPr>
                <w:p w14:paraId="1870212D">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21.开展环境绩效等级提升行动。加强企业绩效监管，对已评定A级、B级和绩效引领性企业开展</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回头看</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，对实际绩效水平达不到评定等级要求，或存在严重环境违法违规行为的企业，严格实施降级处理。开展重点行业环保绩效创A行动，充分发挥绩效A级企业引领作用，以</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先进</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带动</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后进</w:t>
                  </w:r>
                  <w:r>
                    <w:rPr>
                      <w:rFonts w:hint="eastAsia"/>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，鼓励指导企业通过设备更新、技术改造、治理升级等措施，不断提升环境绩效等级，2025年全市新增A级、B级企业及绩效引领性企业20家以上。</w:t>
                  </w:r>
                </w:p>
              </w:tc>
              <w:tc>
                <w:tcPr>
                  <w:tcW w:w="1590" w:type="pct"/>
                  <w:vAlign w:val="center"/>
                </w:tcPr>
                <w:p w14:paraId="004CF2A5">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本项目为新建项目，项目严格按照《河南省重污染天气通用行业应急减排措施制定技术指南》（2024年修订版）中涉PM企业</w:t>
                  </w:r>
                  <w:r>
                    <w:rPr>
                      <w:color w:val="000000" w:themeColor="text1"/>
                      <w14:textFill>
                        <w14:solidFill>
                          <w14:schemeClr w14:val="tx1"/>
                        </w14:solidFill>
                      </w14:textFill>
                    </w:rPr>
                    <w:t>、涉</w:t>
                  </w:r>
                  <w:r>
                    <w:rPr>
                      <w:rFonts w:hint="eastAsia"/>
                      <w:color w:val="000000" w:themeColor="text1"/>
                      <w14:textFill>
                        <w14:solidFill>
                          <w14:schemeClr w14:val="tx1"/>
                        </w14:solidFill>
                      </w14:textFill>
                    </w:rPr>
                    <w:t>VOC企业</w:t>
                  </w:r>
                  <w:r>
                    <w:rPr>
                      <w:rFonts w:hint="eastAsia"/>
                      <w:color w:val="000000" w:themeColor="text1"/>
                      <w:szCs w:val="21"/>
                      <w14:textFill>
                        <w14:solidFill>
                          <w14:schemeClr w14:val="tx1"/>
                        </w14:solidFill>
                      </w14:textFill>
                    </w:rPr>
                    <w:t>以及涉锅炉/炉窑企业基本要求进行建设。</w:t>
                  </w:r>
                </w:p>
              </w:tc>
              <w:tc>
                <w:tcPr>
                  <w:tcW w:w="487" w:type="pct"/>
                  <w:vAlign w:val="center"/>
                </w:tcPr>
                <w:p w14:paraId="309E488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036EFA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vAlign w:val="center"/>
                </w:tcPr>
                <w:p w14:paraId="417D0B5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南阳市2025年碧水保卫战实施方案</w:t>
                  </w:r>
                </w:p>
              </w:tc>
            </w:tr>
            <w:tr w14:paraId="57B8C0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83" w:type="dxa"/>
                  <w:vAlign w:val="center"/>
                </w:tcPr>
                <w:p w14:paraId="426E694E">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（一）巩固提升南水北调和饮用水水源地安全保障</w:t>
                  </w:r>
                </w:p>
              </w:tc>
              <w:tc>
                <w:tcPr>
                  <w:tcW w:w="4046" w:type="dxa"/>
                  <w:vAlign w:val="center"/>
                </w:tcPr>
                <w:p w14:paraId="57944452">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切实守护南水北调中线工程水质安全。持续推进各级交办问题整改，深化城乡污染综合治理，提升污染防治能力。2025年10月底前，淅川县城区污水处理厂提标改造项目及西城区污水处理厂投入运行。2025年12月底前，西峡县污水处理厂完成提标改造。持续开展南水北调中线工程水源保护区内生态环境问题专项行动及“回头看”，提升保护区规范化建设水平。按照“一口一策”要求，2025年6月底前，全面完成丹江口水库及入库河流排污口的分类整治。淅川县严格丹江口水库消落区管理，因地制宜调整种植结构，防止施用化肥、农药。完善入库河流“一河一策一图”应急处置预案，关注断面水质和重金属因子浓度变化情况，保障南水北调中线工程水质安全。</w:t>
                  </w:r>
                </w:p>
              </w:tc>
              <w:tc>
                <w:tcPr>
                  <w:tcW w:w="1590" w:type="pct"/>
                  <w:vAlign w:val="center"/>
                </w:tcPr>
                <w:p w14:paraId="27FE2DD8">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位于南阳市镇平县玉都工业园区新星路8号，项目与干渠二级保护区边界直线距离约13.05km。经对照南水北调中线工程总干渠两侧水源保护区规划图，项目选址不在其两侧水源保护区范围内，且项目营运期职工生活污水经化粪池预处理后与各生产废水一并进入厂区污水处理站处理后，出水水质能够满足《发酵酒精和白酒工业水污染物排放标准》（GB27631-2011）及其修改单表2间接排放标准、《啤酒工业水污染物排放标准》（DB41/681-2011）及镇平县第二污水处理厂进水水质指标要求后经市政污水管网进入镇平县第二污水处理厂进一步处理达到《城镇污水处理厂污染物排放标准》（GB18918-2002）一级A标准后排入赵河。因此项目建设不会对南水北调干渠水源水质产生不良影响。</w:t>
                  </w:r>
                </w:p>
              </w:tc>
              <w:tc>
                <w:tcPr>
                  <w:tcW w:w="487" w:type="pct"/>
                  <w:vAlign w:val="center"/>
                </w:tcPr>
                <w:p w14:paraId="5025E2D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2A588A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vAlign w:val="center"/>
                </w:tcPr>
                <w:p w14:paraId="566E95C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南阳市2025年净土保卫战实施方案</w:t>
                  </w:r>
                </w:p>
              </w:tc>
            </w:tr>
            <w:tr w14:paraId="2D7E08D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83" w:type="dxa"/>
                  <w:vAlign w:val="center"/>
                </w:tcPr>
                <w:p w14:paraId="730913EE">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（一）统筹推进土壤污染预防治理</w:t>
                  </w:r>
                </w:p>
              </w:tc>
              <w:tc>
                <w:tcPr>
                  <w:tcW w:w="4046" w:type="dxa"/>
                  <w:vAlign w:val="center"/>
                </w:tcPr>
                <w:p w14:paraId="5AACB62E">
                  <w:pPr>
                    <w:widowControl/>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1.强化土壤污染源头防控。按照《河南省土壤污染源头防控行动实施方案》要求，严格保护未污染土壤，推动污染防治关口前移。加强源头预防，持续动态更新涉镉等重金属行业企业清单并完成整治任务，依法对涉镉等重金属的大气、水环境重点排污单位排放口和周边环境进行定期监测，评估对周边农用地土壤重金属累积性风险，对存在风险采取有效防控措施。完成土壤污染重点监管单位名录更新，并向社会公开。指导土壤污染重点监管单位按照排污许可证规定和标准规范落实控制有毒有害物质排放、土壤污染隐患排查、</w:t>
                  </w:r>
                  <w:r>
                    <w:rPr>
                      <w:color w:val="000000" w:themeColor="text1"/>
                      <w:szCs w:val="21"/>
                      <w14:textFill>
                        <w14:solidFill>
                          <w14:schemeClr w14:val="tx1"/>
                        </w14:solidFill>
                      </w14:textFill>
                    </w:rPr>
                    <w:cr/>
                  </w:r>
                  <w:r>
                    <w:rPr>
                      <w:color w:val="000000" w:themeColor="text1"/>
                      <w:szCs w:val="21"/>
                      <w14:textFill>
                        <w14:solidFill>
                          <w14:schemeClr w14:val="tx1"/>
                        </w14:solidFill>
                      </w14:textFill>
                    </w:rPr>
                    <w:t>行监测等要求。督促土壤污染重点监管单位做好隐患排查问题整改，并按要求将隐患排查报告及相关材料上传至重点监管单位土壤和地下水环境管理信息系统，着力提高隐患排查整改合格率。</w:t>
                  </w:r>
                </w:p>
              </w:tc>
              <w:tc>
                <w:tcPr>
                  <w:tcW w:w="2628" w:type="dxa"/>
                  <w:vAlign w:val="center"/>
                </w:tcPr>
                <w:p w14:paraId="580BF53E">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项目不属于土壤污染重点监管单位，项目所排废气主要为颗粒物、非甲烷总烃等，不涉及重金属等有毒有害物质，对周边土壤影响不大。</w:t>
                  </w:r>
                </w:p>
              </w:tc>
              <w:tc>
                <w:tcPr>
                  <w:tcW w:w="487" w:type="pct"/>
                  <w:vAlign w:val="center"/>
                </w:tcPr>
                <w:p w14:paraId="0E003D3D">
                  <w:pPr>
                    <w:adjustRightInd w:val="0"/>
                    <w:snapToGrid w:val="0"/>
                    <w:jc w:val="center"/>
                    <w:rPr>
                      <w:color w:val="000000" w:themeColor="text1"/>
                      <w:szCs w:val="21"/>
                      <w14:textFill>
                        <w14:solidFill>
                          <w14:schemeClr w14:val="tx1"/>
                        </w14:solidFill>
                      </w14:textFill>
                    </w:rPr>
                  </w:pPr>
                </w:p>
              </w:tc>
            </w:tr>
            <w:tr w14:paraId="3824184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83" w:type="dxa"/>
                  <w:vAlign w:val="center"/>
                </w:tcPr>
                <w:p w14:paraId="0B1DB691">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（二）科学推进地下水污染防控</w:t>
                  </w:r>
                </w:p>
              </w:tc>
              <w:tc>
                <w:tcPr>
                  <w:tcW w:w="4046" w:type="dxa"/>
                  <w:vAlign w:val="center"/>
                </w:tcPr>
                <w:p w14:paraId="39742600">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8.加强地下水污染风险管控。持续加强“十四五”国家地下水考核点位水质管理，高度关注国考点位周边环境状况，开展国考点位周边污染隐患排查，确保国考点位水质总体保持稳定。有序建立并动态更新地下水污染防治重点排污单位名录。</w:t>
                  </w:r>
                </w:p>
              </w:tc>
              <w:tc>
                <w:tcPr>
                  <w:tcW w:w="2628" w:type="dxa"/>
                  <w:vAlign w:val="center"/>
                </w:tcPr>
                <w:p w14:paraId="06ED3D10">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营运期职工生活污水经化粪池处理后与各生产废水一并进入厂区污水处理站处理后，出水水质能够满足《发酵酒精和白酒工业水污染物排放标准》（GB27631-2011）及其修改单表2间接排放标准、《啤酒工业水污染物排放标准》（DB41/681-2011）及镇平县第二污水处理厂进水水质指标后经市政污水管网进入镇平县第二污水处理厂进一步处理达到《城镇污水处理厂污染物排放标准》（GB18918-2002）一级A标准后排入赵河。车间地面全部进行硬化，生产车间、危废暂存间、化粪池</w:t>
                  </w:r>
                  <w:r>
                    <w:rPr>
                      <w:rFonts w:hint="eastAsia"/>
                      <w:color w:val="000000" w:themeColor="text1"/>
                      <w:szCs w:val="21"/>
                      <w14:textFill>
                        <w14:solidFill>
                          <w14:schemeClr w14:val="tx1"/>
                        </w14:solidFill>
                      </w14:textFill>
                    </w:rPr>
                    <w:t>、污水处理站</w:t>
                  </w:r>
                  <w:r>
                    <w:rPr>
                      <w:color w:val="000000" w:themeColor="text1"/>
                      <w:szCs w:val="21"/>
                      <w14:textFill>
                        <w14:solidFill>
                          <w14:schemeClr w14:val="tx1"/>
                        </w14:solidFill>
                      </w14:textFill>
                    </w:rPr>
                    <w:t>等经分区防渗处理措施后不会对周围土壤产生不良影响。</w:t>
                  </w:r>
                </w:p>
              </w:tc>
              <w:tc>
                <w:tcPr>
                  <w:tcW w:w="487" w:type="pct"/>
                  <w:vAlign w:val="center"/>
                </w:tcPr>
                <w:p w14:paraId="3E38C6A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196EFA5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000" w:type="pct"/>
                  <w:gridSpan w:val="4"/>
                  <w:vAlign w:val="center"/>
                </w:tcPr>
                <w:p w14:paraId="46C7319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南阳市2025年柴油货车污染治理攻坚战实施方案</w:t>
                  </w:r>
                </w:p>
              </w:tc>
            </w:tr>
            <w:tr w14:paraId="46C47B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783" w:type="dxa"/>
                  <w:vAlign w:val="center"/>
                </w:tcPr>
                <w:p w14:paraId="6974DF32">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（一）优化调整交通运输结构</w:t>
                  </w:r>
                </w:p>
              </w:tc>
              <w:tc>
                <w:tcPr>
                  <w:tcW w:w="4046" w:type="dxa"/>
                  <w:vAlign w:val="center"/>
                </w:tcPr>
                <w:p w14:paraId="514797D8">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提升重点行业清洁运输比例。大宗货物中长距离运输优先采用铁路、水路运输，短距离运输优先采用封闭式皮带廊道或新能源车船。鼓励工矿企业等用车单位通过与运输企业（个人）签订合作协议等方式，推进内部转运车辆和外部运输车辆全部使用新能源货车。探索将清洁运输作为钢铁、火电、有色等行业新改扩建项目审核和监管重点。2025年9月底前，钢铁、水泥企业完成超低排放清洁运输改造。2025年年底前，火电、钢铁、有色、水泥等行业大宗货物清洁运输比例达到80%以上，砂石骨料、耐材、环保绩效A、B级和绩效引领性企业清洁运输比例力争达到80%。</w:t>
                  </w:r>
                </w:p>
              </w:tc>
              <w:tc>
                <w:tcPr>
                  <w:tcW w:w="1590" w:type="pct"/>
                  <w:vAlign w:val="center"/>
                </w:tcPr>
                <w:p w14:paraId="2850067C">
                  <w:pPr>
                    <w:widowControl/>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本项目为新建项目，项目货运车辆运输监管严格按照按照《河南省重污染天气通用行业应急减排措施制定技术指南》（2024年修订版）中涉PM企业以及涉锅炉/炉窑企业基本要求进行建设</w:t>
                  </w:r>
                </w:p>
              </w:tc>
              <w:tc>
                <w:tcPr>
                  <w:tcW w:w="487" w:type="pct"/>
                  <w:vAlign w:val="center"/>
                </w:tcPr>
                <w:p w14:paraId="416BAEE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bl>
          <w:p w14:paraId="37FCC7A9">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3.</w:t>
            </w:r>
            <w:r>
              <w:rPr>
                <w:rFonts w:hint="eastAsia"/>
                <w:b/>
                <w:bCs/>
                <w:color w:val="000000" w:themeColor="text1"/>
                <w:sz w:val="24"/>
                <w14:textFill>
                  <w14:solidFill>
                    <w14:schemeClr w14:val="tx1"/>
                  </w14:solidFill>
                </w14:textFill>
              </w:rPr>
              <w:t>2</w:t>
            </w:r>
            <w:r>
              <w:rPr>
                <w:b/>
                <w:bCs/>
                <w:color w:val="000000" w:themeColor="text1"/>
                <w:sz w:val="24"/>
                <w14:textFill>
                  <w14:solidFill>
                    <w14:schemeClr w14:val="tx1"/>
                  </w14:solidFill>
                </w14:textFill>
              </w:rPr>
              <w:t>、项目与《河南省重污染天气通用行业应急减排措施制定技术指南（202</w:t>
            </w:r>
            <w:r>
              <w:rPr>
                <w:rFonts w:hint="eastAsia"/>
                <w:b/>
                <w:bCs/>
                <w:color w:val="000000" w:themeColor="text1"/>
                <w:sz w:val="24"/>
                <w14:textFill>
                  <w14:solidFill>
                    <w14:schemeClr w14:val="tx1"/>
                  </w14:solidFill>
                </w14:textFill>
              </w:rPr>
              <w:t>4</w:t>
            </w:r>
            <w:r>
              <w:rPr>
                <w:b/>
                <w:bCs/>
                <w:color w:val="000000" w:themeColor="text1"/>
                <w:sz w:val="24"/>
                <w14:textFill>
                  <w14:solidFill>
                    <w14:schemeClr w14:val="tx1"/>
                  </w14:solidFill>
                </w14:textFill>
              </w:rPr>
              <w:t>年修订版)》的相符性</w:t>
            </w:r>
          </w:p>
          <w:p w14:paraId="40716AD0">
            <w:pPr>
              <w:pStyle w:val="34"/>
              <w:snapToGrid w:val="0"/>
              <w:ind w:firstLine="480" w:firstLineChars="20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项目属于</w:t>
            </w:r>
            <w:r>
              <w:rPr>
                <w:rFonts w:hint="eastAsia" w:ascii="Times New Roman"/>
                <w:color w:val="000000" w:themeColor="text1"/>
                <w:szCs w:val="24"/>
                <w14:textFill>
                  <w14:solidFill>
                    <w14:schemeClr w14:val="tx1"/>
                  </w14:solidFill>
                </w14:textFill>
              </w:rPr>
              <w:t>酒、饮料制造业以及医药制造业</w:t>
            </w:r>
            <w:r>
              <w:rPr>
                <w:rFonts w:ascii="Times New Roman"/>
                <w:color w:val="000000" w:themeColor="text1"/>
                <w:szCs w:val="24"/>
                <w14:textFill>
                  <w14:solidFill>
                    <w14:schemeClr w14:val="tx1"/>
                  </w14:solidFill>
                </w14:textFill>
              </w:rPr>
              <w:t>，未纳入国家39个和河南省12个重污染天气重点行业分类内，</w:t>
            </w:r>
            <w:r>
              <w:rPr>
                <w:rFonts w:hint="eastAsia" w:ascii="Times New Roman"/>
                <w:color w:val="000000" w:themeColor="text1"/>
                <w:szCs w:val="24"/>
                <w14:textFill>
                  <w14:solidFill>
                    <w14:schemeClr w14:val="tx1"/>
                  </w14:solidFill>
                </w14:textFill>
              </w:rPr>
              <w:t>本项目加热采用蒸汽发生器，属于锅炉。</w:t>
            </w:r>
            <w:r>
              <w:rPr>
                <w:rFonts w:ascii="Times New Roman"/>
                <w:color w:val="000000" w:themeColor="text1"/>
                <w:szCs w:val="24"/>
                <w14:textFill>
                  <w14:solidFill>
                    <w14:schemeClr w14:val="tx1"/>
                  </w14:solidFill>
                </w14:textFill>
              </w:rPr>
              <w:t>本次评价参照《河南省重污染天气通用行业应急减排措施制定技术指南（202</w:t>
            </w:r>
            <w:r>
              <w:rPr>
                <w:rFonts w:hint="eastAsia" w:ascii="Times New Roman"/>
                <w:color w:val="000000" w:themeColor="text1"/>
                <w:szCs w:val="24"/>
                <w14:textFill>
                  <w14:solidFill>
                    <w14:schemeClr w14:val="tx1"/>
                  </w14:solidFill>
                </w14:textFill>
              </w:rPr>
              <w:t>4</w:t>
            </w:r>
            <w:r>
              <w:rPr>
                <w:rFonts w:ascii="Times New Roman"/>
                <w:color w:val="000000" w:themeColor="text1"/>
                <w:szCs w:val="24"/>
                <w14:textFill>
                  <w14:solidFill>
                    <w14:schemeClr w14:val="tx1"/>
                  </w14:solidFill>
                </w14:textFill>
              </w:rPr>
              <w:t>年修订版）》通用行业相关要求进行建设运行，以减少营运期大气环境影响，具体比对分析内容见下表。</w:t>
            </w:r>
          </w:p>
          <w:p w14:paraId="298E466A">
            <w:pPr>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14:textFill>
                  <w14:solidFill>
                    <w14:schemeClr w14:val="tx1"/>
                  </w14:solidFill>
                </w14:textFill>
              </w:rPr>
              <w:t>5</w:t>
            </w:r>
            <w:r>
              <w:rPr>
                <w:b/>
                <w:color w:val="000000" w:themeColor="text1"/>
                <w:sz w:val="24"/>
                <w14:textFill>
                  <w14:solidFill>
                    <w14:schemeClr w14:val="tx1"/>
                  </w14:solidFill>
                </w14:textFill>
              </w:rPr>
              <w:t xml:space="preserve">  项目</w:t>
            </w:r>
            <w:r>
              <w:rPr>
                <w:rFonts w:hint="eastAsia"/>
                <w:b/>
                <w:color w:val="000000" w:themeColor="text1"/>
                <w:sz w:val="24"/>
                <w14:textFill>
                  <w14:solidFill>
                    <w14:schemeClr w14:val="tx1"/>
                  </w14:solidFill>
                </w14:textFill>
              </w:rPr>
              <w:t>与通用涉PM企业引领性指标</w:t>
            </w:r>
            <w:r>
              <w:rPr>
                <w:b/>
                <w:color w:val="000000" w:themeColor="text1"/>
                <w:sz w:val="24"/>
                <w14:textFill>
                  <w14:solidFill>
                    <w14:schemeClr w14:val="tx1"/>
                  </w14:solidFill>
                </w14:textFill>
              </w:rPr>
              <w:t>相符性分析</w:t>
            </w:r>
            <w:r>
              <w:rPr>
                <w:rFonts w:hint="eastAsia"/>
                <w:b/>
                <w:color w:val="000000" w:themeColor="text1"/>
                <w:sz w:val="24"/>
                <w14:textFill>
                  <w14:solidFill>
                    <w14:schemeClr w14:val="tx1"/>
                  </w14:solidFill>
                </w14:textFill>
              </w:rPr>
              <w:t>一览</w:t>
            </w:r>
            <w:r>
              <w:rPr>
                <w:b/>
                <w:color w:val="000000" w:themeColor="text1"/>
                <w:sz w:val="24"/>
                <w14:textFill>
                  <w14:solidFill>
                    <w14:schemeClr w14:val="tx1"/>
                  </w14:solidFill>
                </w14:textFill>
              </w:rPr>
              <w:t>表</w:t>
            </w:r>
          </w:p>
          <w:tbl>
            <w:tblPr>
              <w:tblStyle w:val="25"/>
              <w:tblW w:w="4956"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55"/>
              <w:gridCol w:w="430"/>
              <w:gridCol w:w="3386"/>
              <w:gridCol w:w="2989"/>
              <w:gridCol w:w="879"/>
            </w:tblGrid>
            <w:tr w14:paraId="23E1D1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598" w:type="pct"/>
                  <w:gridSpan w:val="2"/>
                  <w:vAlign w:val="center"/>
                </w:tcPr>
                <w:p w14:paraId="5F8D0590">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引领性</w:t>
                  </w:r>
                  <w:r>
                    <w:rPr>
                      <w:color w:val="000000" w:themeColor="text1"/>
                      <w:szCs w:val="21"/>
                      <w14:textFill>
                        <w14:solidFill>
                          <w14:schemeClr w14:val="tx1"/>
                        </w14:solidFill>
                      </w14:textFill>
                    </w:rPr>
                    <w:t>指标</w:t>
                  </w:r>
                </w:p>
              </w:tc>
              <w:tc>
                <w:tcPr>
                  <w:tcW w:w="2054" w:type="pct"/>
                  <w:vAlign w:val="center"/>
                </w:tcPr>
                <w:p w14:paraId="2788DB1F">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通用涉PM企业</w:t>
                  </w:r>
                </w:p>
              </w:tc>
              <w:tc>
                <w:tcPr>
                  <w:tcW w:w="1813" w:type="pct"/>
                  <w:vAlign w:val="center"/>
                </w:tcPr>
                <w:p w14:paraId="31B965C0">
                  <w:pPr>
                    <w:adjustRightInd w:val="0"/>
                    <w:snapToGrid w:val="0"/>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企业对标情况</w:t>
                  </w:r>
                </w:p>
              </w:tc>
              <w:tc>
                <w:tcPr>
                  <w:tcW w:w="533" w:type="pct"/>
                  <w:vAlign w:val="center"/>
                </w:tcPr>
                <w:p w14:paraId="3AE78CE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10B49C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6ED4046F">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生产工艺和装备</w:t>
                  </w:r>
                </w:p>
              </w:tc>
              <w:tc>
                <w:tcPr>
                  <w:tcW w:w="2054" w:type="pct"/>
                  <w:shd w:val="clear" w:color="auto" w:fill="auto"/>
                  <w:vAlign w:val="center"/>
                </w:tcPr>
                <w:p w14:paraId="0ACDB1CF">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不属于《产业结构调整指导目录（2024年版）》淘汰类，不属于省级和市级政府部门明确列入已经限期淘汰类项目。</w:t>
                  </w:r>
                </w:p>
              </w:tc>
              <w:tc>
                <w:tcPr>
                  <w:tcW w:w="1813" w:type="pct"/>
                  <w:vAlign w:val="center"/>
                </w:tcPr>
                <w:p w14:paraId="7E783FC0">
                  <w:pPr>
                    <w:pStyle w:val="11"/>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对比《产业结构调整指导目录（2024年版）》，属于允许类，且不属于省级和市级政府部门明确列入已经限期淘汰类项目。因此符合产业政策要求。</w:t>
                  </w:r>
                </w:p>
              </w:tc>
              <w:tc>
                <w:tcPr>
                  <w:tcW w:w="533" w:type="pct"/>
                  <w:vAlign w:val="center"/>
                </w:tcPr>
                <w:p w14:paraId="4C94257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2E5F80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0B61C139">
                  <w:pPr>
                    <w:widowControl/>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物料装卸</w:t>
                  </w:r>
                </w:p>
              </w:tc>
              <w:tc>
                <w:tcPr>
                  <w:tcW w:w="2054" w:type="pct"/>
                  <w:shd w:val="clear" w:color="auto" w:fill="auto"/>
                  <w:vAlign w:val="center"/>
                </w:tcPr>
                <w:p w14:paraId="3037815D">
                  <w:pPr>
                    <w:pStyle w:val="11"/>
                    <w:spacing w:before="0" w:line="240" w:lineRule="auto"/>
                    <w:ind w:left="0" w:right="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1.车辆运输的物料应采取封闭措施。粉状、粒状、块状散装物料在封闭料场内装卸，装卸过程中产尘点应设置集气除尘装置，料堆应采取有效抑尘措施；</w:t>
                  </w:r>
                </w:p>
                <w:p w14:paraId="5F5F0A90">
                  <w:pPr>
                    <w:widowControl/>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2.不易产尘的袋装物料宜在料棚中装卸，如需露天装卸应采取防止破袋及粉尘外逸措施。</w:t>
                  </w:r>
                </w:p>
              </w:tc>
              <w:tc>
                <w:tcPr>
                  <w:tcW w:w="1813" w:type="pct"/>
                  <w:vAlign w:val="center"/>
                </w:tcPr>
                <w:p w14:paraId="72FC9816">
                  <w:pPr>
                    <w:pStyle w:val="11"/>
                    <w:spacing w:line="240" w:lineRule="auto"/>
                    <w:ind w:left="0" w:right="0"/>
                    <w:rPr>
                      <w:rFonts w:hint="eastAsia"/>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1.本项目车辆运输的物料采取封闭措施，项目不涉及粉状、粒状、块状散装物料；</w:t>
                  </w:r>
                </w:p>
                <w:p w14:paraId="3685A957">
                  <w:pPr>
                    <w:pStyle w:val="11"/>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2、</w:t>
                  </w:r>
                  <w:r>
                    <w:rPr>
                      <w:rFonts w:hint="eastAsia"/>
                      <w:color w:val="000000" w:themeColor="text1"/>
                      <w:sz w:val="21"/>
                      <w:szCs w:val="21"/>
                      <w14:textFill>
                        <w14:solidFill>
                          <w14:schemeClr w14:val="tx1"/>
                        </w14:solidFill>
                      </w14:textFill>
                    </w:rPr>
                    <w:t>项目酒类生产线使用原料主要为粮食、酒曲以及酵母</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项目所使用的原料均为袋装，因此项目物料装卸在</w:t>
                  </w:r>
                  <w:r>
                    <w:rPr>
                      <w:color w:val="000000" w:themeColor="text1"/>
                      <w:sz w:val="21"/>
                      <w:szCs w:val="21"/>
                      <w14:textFill>
                        <w14:solidFill>
                          <w14:schemeClr w14:val="tx1"/>
                        </w14:solidFill>
                      </w14:textFill>
                    </w:rPr>
                    <w:t>封闭生产车间内</w:t>
                  </w:r>
                  <w:r>
                    <w:rPr>
                      <w:rFonts w:hint="eastAsia"/>
                      <w:color w:val="000000" w:themeColor="text1"/>
                      <w:sz w:val="21"/>
                      <w:szCs w:val="21"/>
                      <w14:textFill>
                        <w14:solidFill>
                          <w14:schemeClr w14:val="tx1"/>
                        </w14:solidFill>
                      </w14:textFill>
                    </w:rPr>
                    <w:t>进行</w:t>
                  </w:r>
                  <w:r>
                    <w:rPr>
                      <w:color w:val="000000" w:themeColor="text1"/>
                      <w:sz w:val="21"/>
                      <w:szCs w:val="21"/>
                      <w14:textFill>
                        <w14:solidFill>
                          <w14:schemeClr w14:val="tx1"/>
                        </w14:solidFill>
                      </w14:textFill>
                    </w:rPr>
                    <w:t>。</w:t>
                  </w:r>
                </w:p>
              </w:tc>
              <w:tc>
                <w:tcPr>
                  <w:tcW w:w="533" w:type="pct"/>
                  <w:vAlign w:val="center"/>
                </w:tcPr>
                <w:p w14:paraId="4EE1C31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5794461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7822860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物料储存</w:t>
                  </w:r>
                </w:p>
              </w:tc>
              <w:tc>
                <w:tcPr>
                  <w:tcW w:w="2054" w:type="pct"/>
                  <w:shd w:val="clear" w:color="auto" w:fill="auto"/>
                  <w:vAlign w:val="center"/>
                </w:tcPr>
                <w:p w14:paraId="7E9BF71A">
                  <w:pPr>
                    <w:pStyle w:val="11"/>
                    <w:spacing w:before="0"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一般物料。粉状物料应储存于密闭/封闭料仓中；粒状、块状物料应储存于封闭料场中，并采取喷淋、清扫或其他有效抑尘措施；袋装物料应储存于封闭/半封闭料场中。封闭料场顶棚和四周围墙完整，料场内路面全部硬化，料场货物进出大门为硬质材料门或自动感应门，在确保安全的情况下，所有门窗保持常闭状态。不产尘物料（如钢材、管件）及产品如露天储存应在规定的存储区域码放整齐。</w:t>
                  </w:r>
                </w:p>
                <w:p w14:paraId="15549B6F">
                  <w:pPr>
                    <w:pStyle w:val="11"/>
                    <w:spacing w:before="0" w:line="240" w:lineRule="auto"/>
                    <w:ind w:left="0" w:right="0"/>
                    <w:rPr>
                      <w:color w:val="000000" w:themeColor="text1"/>
                      <w:kern w:val="2"/>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危险废物。应有符合规范要求的危险废物储存间，危险废物储存间门口应张贴标准规范的危险废物标识和危废信息板，建立台账并挂于危废间内，危险废物管理台账和危险废物转移情况信息表保存5年以上。危废间内禁止存放除危险废物和应急工具外的其他物品。涉及大气污染物排放的，应设置对应污染治理设施。</w:t>
                  </w:r>
                </w:p>
              </w:tc>
              <w:tc>
                <w:tcPr>
                  <w:tcW w:w="1813" w:type="pct"/>
                  <w:vAlign w:val="center"/>
                </w:tcPr>
                <w:p w14:paraId="034482C5">
                  <w:pPr>
                    <w:pStyle w:val="11"/>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1.项目所使用的粉状、粒状原料均袋装储存于密闭车间内，</w:t>
                  </w:r>
                  <w:r>
                    <w:rPr>
                      <w:color w:val="000000" w:themeColor="text1"/>
                      <w:sz w:val="21"/>
                      <w:szCs w:val="21"/>
                      <w14:textFill>
                        <w14:solidFill>
                          <w14:schemeClr w14:val="tx1"/>
                        </w14:solidFill>
                      </w14:textFill>
                    </w:rPr>
                    <w:t>本项目生产车间为封闭钢结构，地面全部进行硬化处理，原料堆放于封闭生产车间原料区内。</w:t>
                  </w:r>
                </w:p>
                <w:p w14:paraId="3DEE523F">
                  <w:pPr>
                    <w:pStyle w:val="11"/>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本项目营运期危险废物集中收集于符合规范要求的危废暂存间内，危险废物储存间门口张贴标准规范的危险废物标识和危废信息板，建立台账并挂于危废间内，危险废物的记录和货单保存3年以上，危废暂存间不存放除危险废物和应急工具外的其他物品。</w:t>
                  </w:r>
                </w:p>
              </w:tc>
              <w:tc>
                <w:tcPr>
                  <w:tcW w:w="533" w:type="pct"/>
                  <w:vAlign w:val="center"/>
                </w:tcPr>
                <w:p w14:paraId="0CA4638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55742CE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756F2968">
                  <w:pPr>
                    <w:pStyle w:val="11"/>
                    <w:spacing w:before="0" w:line="240" w:lineRule="auto"/>
                    <w:ind w:left="0" w:right="0"/>
                    <w:jc w:val="center"/>
                    <w:rPr>
                      <w:color w:val="000000" w:themeColor="text1"/>
                      <w:kern w:val="2"/>
                      <w:sz w:val="21"/>
                      <w:szCs w:val="21"/>
                      <w14:textFill>
                        <w14:solidFill>
                          <w14:schemeClr w14:val="tx1"/>
                        </w14:solidFill>
                      </w14:textFill>
                    </w:rPr>
                  </w:pPr>
                  <w:r>
                    <w:rPr>
                      <w:color w:val="000000" w:themeColor="text1"/>
                      <w:sz w:val="21"/>
                      <w:szCs w:val="21"/>
                      <w14:textFill>
                        <w14:solidFill>
                          <w14:schemeClr w14:val="tx1"/>
                        </w14:solidFill>
                      </w14:textFill>
                    </w:rPr>
                    <w:t>物料转移和输送</w:t>
                  </w:r>
                </w:p>
              </w:tc>
              <w:tc>
                <w:tcPr>
                  <w:tcW w:w="2054" w:type="pct"/>
                  <w:shd w:val="clear" w:color="auto" w:fill="auto"/>
                  <w:vAlign w:val="center"/>
                </w:tcPr>
                <w:p w14:paraId="6AA350F6">
                  <w:pPr>
                    <w:pStyle w:val="11"/>
                    <w:spacing w:before="0"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粉状、粒状等易产尘物料厂内转移、输送过程应采用气力输送、密闭输送，块状和粘湿粉状物料采用封闭输送；</w:t>
                  </w:r>
                </w:p>
                <w:p w14:paraId="33507993">
                  <w:pPr>
                    <w:pStyle w:val="11"/>
                    <w:spacing w:before="0" w:line="240" w:lineRule="auto"/>
                    <w:ind w:left="0" w:right="0"/>
                    <w:rPr>
                      <w:color w:val="000000" w:themeColor="text1"/>
                      <w:kern w:val="2"/>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无法封闭的产尘点（物料转载、下料口等）应采取集气除尘措施，或有效抑尘措施。</w:t>
                  </w:r>
                </w:p>
              </w:tc>
              <w:tc>
                <w:tcPr>
                  <w:tcW w:w="1813" w:type="pct"/>
                  <w:vAlign w:val="center"/>
                </w:tcPr>
                <w:p w14:paraId="57EC2DA9">
                  <w:pPr>
                    <w:pStyle w:val="11"/>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项目所使用的粉状、粒状原料均袋装储存，在袋装原料</w:t>
                  </w:r>
                  <w:r>
                    <w:rPr>
                      <w:color w:val="000000" w:themeColor="text1"/>
                      <w:sz w:val="21"/>
                      <w:szCs w:val="21"/>
                      <w14:textFill>
                        <w14:solidFill>
                          <w14:schemeClr w14:val="tx1"/>
                        </w14:solidFill>
                      </w14:textFill>
                    </w:rPr>
                    <w:t>转移、输送过程不易起尘。</w:t>
                  </w:r>
                </w:p>
              </w:tc>
              <w:tc>
                <w:tcPr>
                  <w:tcW w:w="533" w:type="pct"/>
                  <w:vAlign w:val="center"/>
                </w:tcPr>
                <w:p w14:paraId="0B811C8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3CC386C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18B608B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工艺过程</w:t>
                  </w:r>
                </w:p>
              </w:tc>
              <w:tc>
                <w:tcPr>
                  <w:tcW w:w="2054" w:type="pct"/>
                  <w:shd w:val="clear" w:color="auto" w:fill="auto"/>
                  <w:vAlign w:val="center"/>
                </w:tcPr>
                <w:p w14:paraId="13CE0B60">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各种物料破碎、筛分、配料、混料等过程应在封闭厂房内进行，并采取收尘/抑尘措施。</w:t>
                  </w:r>
                </w:p>
                <w:p w14:paraId="4A8DDFF3">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破碎筛分设备在进、出料口和配料混料过程等产尘点应设置集气除尘设施。</w:t>
                  </w:r>
                </w:p>
              </w:tc>
              <w:tc>
                <w:tcPr>
                  <w:tcW w:w="1813" w:type="pct"/>
                  <w:vAlign w:val="center"/>
                </w:tcPr>
                <w:p w14:paraId="40198751">
                  <w:pPr>
                    <w:pStyle w:val="11"/>
                    <w:spacing w:line="240" w:lineRule="auto"/>
                    <w:ind w:left="0" w:right="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r>
                    <w:rPr>
                      <w:rFonts w:hint="eastAsia"/>
                      <w:color w:val="000000" w:themeColor="text1"/>
                      <w:sz w:val="21"/>
                      <w:szCs w:val="21"/>
                      <w14:textFill>
                        <w14:solidFill>
                          <w14:schemeClr w14:val="tx1"/>
                        </w14:solidFill>
                      </w14:textFill>
                    </w:rPr>
                    <w:t>粉碎工序封闭厂房内进行，并采取抑尘措施，项目粉碎工序在设备进出料口设置集气罩，并配套除尘设施</w:t>
                  </w:r>
                  <w:r>
                    <w:rPr>
                      <w:color w:val="000000" w:themeColor="text1"/>
                      <w:sz w:val="21"/>
                      <w:szCs w:val="21"/>
                      <w14:textFill>
                        <w14:solidFill>
                          <w14:schemeClr w14:val="tx1"/>
                        </w14:solidFill>
                      </w14:textFill>
                    </w:rPr>
                    <w:t>。</w:t>
                  </w:r>
                </w:p>
              </w:tc>
              <w:tc>
                <w:tcPr>
                  <w:tcW w:w="533" w:type="pct"/>
                  <w:vAlign w:val="center"/>
                </w:tcPr>
                <w:p w14:paraId="4012D92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7114ACB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29A5DC9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成品包装</w:t>
                  </w:r>
                </w:p>
              </w:tc>
              <w:tc>
                <w:tcPr>
                  <w:tcW w:w="2054" w:type="pct"/>
                  <w:shd w:val="clear" w:color="auto" w:fill="auto"/>
                  <w:vAlign w:val="center"/>
                </w:tcPr>
                <w:p w14:paraId="768E325D">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粉状、粒装产品包装卸料口应完全封闭，如不能封闭应采取局部集齐除尘措施。卸料口地面应及时清扫，地面无明显积尘；</w:t>
                  </w:r>
                </w:p>
                <w:p w14:paraId="51C13181">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各生产工序的车间地面干净，无积料、积灰现象；</w:t>
                  </w:r>
                </w:p>
                <w:p w14:paraId="06270DFB">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生产车间不得有可见烟（粉）尘外逸。</w:t>
                  </w:r>
                </w:p>
              </w:tc>
              <w:tc>
                <w:tcPr>
                  <w:tcW w:w="1813" w:type="pct"/>
                  <w:shd w:val="clear" w:color="auto" w:fill="auto"/>
                  <w:vAlign w:val="center"/>
                </w:tcPr>
                <w:p w14:paraId="41CB35A2">
                  <w:pPr>
                    <w:pStyle w:val="11"/>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rFonts w:hint="eastAsia"/>
                      <w:color w:val="000000" w:themeColor="text1"/>
                      <w:sz w:val="21"/>
                      <w:szCs w:val="21"/>
                      <w:lang w:val="en-US" w:eastAsia="zh-CN"/>
                      <w14:textFill>
                        <w14:solidFill>
                          <w14:schemeClr w14:val="tx1"/>
                        </w14:solidFill>
                      </w14:textFill>
                    </w:rPr>
                    <w:t>本</w:t>
                  </w:r>
                  <w:r>
                    <w:rPr>
                      <w:color w:val="000000" w:themeColor="text1"/>
                      <w:sz w:val="21"/>
                      <w:szCs w:val="21"/>
                      <w14:textFill>
                        <w14:solidFill>
                          <w14:schemeClr w14:val="tx1"/>
                        </w14:solidFill>
                      </w14:textFill>
                    </w:rPr>
                    <w:t>项目</w:t>
                  </w:r>
                  <w:r>
                    <w:rPr>
                      <w:rFonts w:hint="eastAsia"/>
                      <w:color w:val="000000" w:themeColor="text1"/>
                      <w:sz w:val="21"/>
                      <w:szCs w:val="21"/>
                      <w:lang w:val="en-US" w:eastAsia="zh-CN"/>
                      <w14:textFill>
                        <w14:solidFill>
                          <w14:schemeClr w14:val="tx1"/>
                        </w14:solidFill>
                      </w14:textFill>
                    </w:rPr>
                    <w:t>无粉状、粒装产品</w:t>
                  </w:r>
                  <w:r>
                    <w:rPr>
                      <w:color w:val="000000" w:themeColor="text1"/>
                      <w:sz w:val="21"/>
                      <w:szCs w:val="21"/>
                      <w14:textFill>
                        <w14:solidFill>
                          <w14:schemeClr w14:val="tx1"/>
                        </w14:solidFill>
                      </w14:textFill>
                    </w:rPr>
                    <w:t>。</w:t>
                  </w:r>
                </w:p>
                <w:p w14:paraId="2FE96506">
                  <w:pPr>
                    <w:pStyle w:val="11"/>
                    <w:spacing w:line="240" w:lineRule="auto"/>
                    <w:ind w:left="0" w:right="0"/>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生产车间地面设置专人及时清扫，以保障地面无明显积尘。</w:t>
                  </w:r>
                </w:p>
                <w:p w14:paraId="356530C2">
                  <w:pP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项目加强车间内卫生管理，保持车间地面干净，无积料、积灰现象。加强产尘点污染防治设施维护，生产车间不得有可见烟粉尘外逸。</w:t>
                  </w:r>
                </w:p>
              </w:tc>
              <w:tc>
                <w:tcPr>
                  <w:tcW w:w="533" w:type="pct"/>
                  <w:vAlign w:val="center"/>
                </w:tcPr>
                <w:p w14:paraId="3E3F133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6D1FB28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28F983D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排放限值</w:t>
                  </w:r>
                </w:p>
              </w:tc>
              <w:tc>
                <w:tcPr>
                  <w:tcW w:w="2054" w:type="pct"/>
                  <w:shd w:val="clear" w:color="auto" w:fill="auto"/>
                  <w:vAlign w:val="center"/>
                </w:tcPr>
                <w:p w14:paraId="7F01E466">
                  <w:pPr>
                    <w:rPr>
                      <w:color w:val="000000" w:themeColor="text1"/>
                      <w:szCs w:val="21"/>
                      <w14:textFill>
                        <w14:solidFill>
                          <w14:schemeClr w14:val="tx1"/>
                        </w14:solidFill>
                      </w14:textFill>
                    </w:rPr>
                  </w:pPr>
                  <w:r>
                    <w:rPr>
                      <w:color w:val="000000" w:themeColor="text1"/>
                      <w:szCs w:val="21"/>
                      <w14:textFill>
                        <w14:solidFill>
                          <w14:schemeClr w14:val="tx1"/>
                        </w14:solidFill>
                      </w14:textFill>
                    </w:rPr>
                    <w:t>PM排放限值不高于10mg/m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；其他污染物排放浓度达到相关污染物排放标准。</w:t>
                  </w:r>
                </w:p>
              </w:tc>
              <w:tc>
                <w:tcPr>
                  <w:tcW w:w="1813" w:type="pct"/>
                  <w:shd w:val="clear" w:color="auto" w:fill="auto"/>
                  <w:vAlign w:val="center"/>
                </w:tcPr>
                <w:p w14:paraId="3445D96E">
                  <w:pPr>
                    <w:pStyle w:val="11"/>
                    <w:spacing w:line="240" w:lineRule="auto"/>
                    <w:ind w:left="0" w:right="0"/>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本项目粉尘PM排放限值不高于10mg/m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533" w:type="pct"/>
                  <w:shd w:val="clear" w:color="auto" w:fill="auto"/>
                  <w:vAlign w:val="center"/>
                </w:tcPr>
                <w:p w14:paraId="7689DD7F">
                  <w:pPr>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相符</w:t>
                  </w:r>
                </w:p>
              </w:tc>
            </w:tr>
            <w:tr w14:paraId="001A677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385FD6F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无组织管控</w:t>
                  </w:r>
                </w:p>
              </w:tc>
              <w:tc>
                <w:tcPr>
                  <w:tcW w:w="2054" w:type="pct"/>
                  <w:shd w:val="clear" w:color="auto" w:fill="auto"/>
                  <w:vAlign w:val="center"/>
                </w:tcPr>
                <w:p w14:paraId="55EF3794">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1.除尘器应设置密闭灰仓并及时卸灰，除尘灰应通过气力输送、罐车、吨包袋等封闭方式卸灰，不得直接卸落到地面；</w:t>
                  </w:r>
                </w:p>
                <w:p w14:paraId="53DACEB3">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2.除尘灰如果转运应采用气力输送、封闭传送带方式，如果直接外运应采用罐车或袋装后运输，并在装车过程中采取抑尘措施，除尘灰在厂区内应密闭/封闭储存；</w:t>
                  </w:r>
                </w:p>
                <w:p w14:paraId="1403AD7C">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3.脱硫石膏和脱硫废渣等固体废物在厂区内应封闭储存，在转运过程中应采取封闭抑尘措施并应封闭储存。</w:t>
                  </w:r>
                </w:p>
              </w:tc>
              <w:tc>
                <w:tcPr>
                  <w:tcW w:w="1813" w:type="pct"/>
                  <w:shd w:val="clear" w:color="auto" w:fill="auto"/>
                  <w:vAlign w:val="center"/>
                </w:tcPr>
                <w:p w14:paraId="0695B337">
                  <w:pPr>
                    <w:snapToGrid w:val="0"/>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项目使用原料主要为五粮（高粱、小麦、大米、糯米、玉米）等。白酒、啤酒生产过程需要进行破碎，会有少量粉尘产生。项目破碎工序产生的粉尘经集气罩收集后经风机引入1套覆膜袋式除尘器（TA001）处理，处理后经1根15m高排气筒（DA001）引至高空排放</w:t>
                  </w:r>
                  <w:r>
                    <w:rPr>
                      <w:bCs/>
                      <w:color w:val="000000" w:themeColor="text1"/>
                      <w:kern w:val="0"/>
                      <w:szCs w:val="21"/>
                      <w14:textFill>
                        <w14:solidFill>
                          <w14:schemeClr w14:val="tx1"/>
                        </w14:solidFill>
                      </w14:textFill>
                    </w:rPr>
                    <w:t>。同时要求规范操作，加强管理。减少无组织粉尘逸散。</w:t>
                  </w:r>
                </w:p>
                <w:p w14:paraId="2014BA18">
                  <w:pPr>
                    <w:snapToGrid w:val="0"/>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2、本项目除尘灰通过袋子进行卸灰，采用袋装运输，并且除尘灰袋装收集后</w:t>
                  </w:r>
                  <w:r>
                    <w:rPr>
                      <w:rFonts w:hint="eastAsia"/>
                      <w:bCs/>
                      <w:color w:val="000000" w:themeColor="text1"/>
                      <w:kern w:val="0"/>
                      <w:szCs w:val="21"/>
                      <w14:textFill>
                        <w14:solidFill>
                          <w14:schemeClr w14:val="tx1"/>
                        </w14:solidFill>
                      </w14:textFill>
                    </w:rPr>
                    <w:t>外售</w:t>
                  </w:r>
                  <w:r>
                    <w:rPr>
                      <w:bCs/>
                      <w:color w:val="000000" w:themeColor="text1"/>
                      <w:kern w:val="0"/>
                      <w:szCs w:val="21"/>
                      <w14:textFill>
                        <w14:solidFill>
                          <w14:schemeClr w14:val="tx1"/>
                        </w14:solidFill>
                      </w14:textFill>
                    </w:rPr>
                    <w:t>；</w:t>
                  </w:r>
                </w:p>
                <w:p w14:paraId="046EAD7A">
                  <w:pPr>
                    <w:snapToGrid w:val="0"/>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3、</w:t>
                  </w:r>
                  <w:r>
                    <w:rPr>
                      <w:bCs/>
                      <w:color w:val="000000" w:themeColor="text1"/>
                      <w:kern w:val="0"/>
                      <w:szCs w:val="21"/>
                      <w14:textFill>
                        <w14:solidFill>
                          <w14:schemeClr w14:val="tx1"/>
                        </w14:solidFill>
                      </w14:textFill>
                    </w:rPr>
                    <w:t>本项目不涉及脱硫石膏和废渣。项目产生的固废主要为职工生活垃圾、化粪池污泥、</w:t>
                  </w:r>
                  <w:r>
                    <w:rPr>
                      <w:rFonts w:hint="eastAsia"/>
                      <w:bCs/>
                      <w:color w:val="000000" w:themeColor="text1"/>
                      <w:kern w:val="0"/>
                      <w:szCs w:val="21"/>
                      <w14:textFill>
                        <w14:solidFill>
                          <w14:schemeClr w14:val="tx1"/>
                        </w14:solidFill>
                      </w14:textFill>
                    </w:rPr>
                    <w:t>除尘器收集到的粉尘、废酒糟、废啤酒花、热凝固物及废酵母泥、果皮、果渣及果梗、过滤残渣、废边角料、废石英砂、废滤芯、废活性炭、废反渗透膜、废硅藻土、废酒瓶</w:t>
                  </w:r>
                  <w:r>
                    <w:rPr>
                      <w:bCs/>
                      <w:color w:val="000000" w:themeColor="text1"/>
                      <w:kern w:val="0"/>
                      <w:szCs w:val="21"/>
                      <w14:textFill>
                        <w14:solidFill>
                          <w14:schemeClr w14:val="tx1"/>
                        </w14:solidFill>
                      </w14:textFill>
                    </w:rPr>
                    <w:t>、废包装材料</w:t>
                  </w: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污水处理站污泥以及废润滑油及废润滑油桶</w:t>
                  </w:r>
                  <w:r>
                    <w:rPr>
                      <w:rFonts w:hint="eastAsia"/>
                      <w:bCs/>
                      <w:color w:val="000000" w:themeColor="text1"/>
                      <w:kern w:val="0"/>
                      <w:szCs w:val="21"/>
                      <w14:textFill>
                        <w14:solidFill>
                          <w14:schemeClr w14:val="tx1"/>
                        </w14:solidFill>
                      </w14:textFill>
                    </w:rPr>
                    <w:t>、废活性炭</w:t>
                  </w:r>
                  <w:r>
                    <w:rPr>
                      <w:bCs/>
                      <w:color w:val="000000" w:themeColor="text1"/>
                      <w:kern w:val="0"/>
                      <w:szCs w:val="21"/>
                      <w14:textFill>
                        <w14:solidFill>
                          <w14:schemeClr w14:val="tx1"/>
                        </w14:solidFill>
                      </w14:textFill>
                    </w:rPr>
                    <w:t>。项目固废采取相应措施妥善处置，不产生二次污染。</w:t>
                  </w:r>
                </w:p>
              </w:tc>
              <w:tc>
                <w:tcPr>
                  <w:tcW w:w="533" w:type="pct"/>
                  <w:shd w:val="clear" w:color="auto" w:fill="auto"/>
                  <w:vAlign w:val="center"/>
                </w:tcPr>
                <w:p w14:paraId="5997EE49">
                  <w:pPr>
                    <w:snapToGrid w:val="0"/>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相符</w:t>
                  </w:r>
                </w:p>
              </w:tc>
            </w:tr>
            <w:tr w14:paraId="57FC9A2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0E7A21E2">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视频监管</w:t>
                  </w:r>
                </w:p>
              </w:tc>
              <w:tc>
                <w:tcPr>
                  <w:tcW w:w="2054" w:type="pct"/>
                  <w:shd w:val="clear" w:color="auto" w:fill="auto"/>
                  <w:vAlign w:val="center"/>
                </w:tcPr>
                <w:p w14:paraId="334B7E10">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未安装自动在线监控的企业，应在主要生产设备（投料口、卸料口等位置）安装视频监控设施，相关数据保存6个月以上</w:t>
                  </w:r>
                  <w:r>
                    <w:rPr>
                      <w:rFonts w:hint="eastAsia"/>
                      <w:color w:val="000000" w:themeColor="text1"/>
                      <w:kern w:val="0"/>
                      <w:szCs w:val="21"/>
                      <w14:textFill>
                        <w14:solidFill>
                          <w14:schemeClr w14:val="tx1"/>
                        </w14:solidFill>
                      </w14:textFill>
                    </w:rPr>
                    <w:t>。</w:t>
                  </w:r>
                </w:p>
              </w:tc>
              <w:tc>
                <w:tcPr>
                  <w:tcW w:w="1813" w:type="pct"/>
                  <w:shd w:val="clear" w:color="auto" w:fill="auto"/>
                  <w:vAlign w:val="center"/>
                </w:tcPr>
                <w:p w14:paraId="779A2F70">
                  <w:pPr>
                    <w:snapToGrid w:val="0"/>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主要生产设备（投料口等位置）安装视频监控设施，相关数据保存6个月以上</w:t>
                  </w:r>
                  <w:r>
                    <w:rPr>
                      <w:rFonts w:hint="eastAsia"/>
                      <w:bCs/>
                      <w:color w:val="000000" w:themeColor="text1"/>
                      <w:kern w:val="0"/>
                      <w:szCs w:val="21"/>
                      <w14:textFill>
                        <w14:solidFill>
                          <w14:schemeClr w14:val="tx1"/>
                        </w14:solidFill>
                      </w14:textFill>
                    </w:rPr>
                    <w:t>。</w:t>
                  </w:r>
                </w:p>
              </w:tc>
              <w:tc>
                <w:tcPr>
                  <w:tcW w:w="533" w:type="pct"/>
                  <w:shd w:val="clear" w:color="auto" w:fill="auto"/>
                  <w:vAlign w:val="center"/>
                </w:tcPr>
                <w:p w14:paraId="7506FADA">
                  <w:pPr>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相符</w:t>
                  </w:r>
                </w:p>
              </w:tc>
            </w:tr>
            <w:tr w14:paraId="358C366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342D305E">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厂容厂貌</w:t>
                  </w:r>
                </w:p>
              </w:tc>
              <w:tc>
                <w:tcPr>
                  <w:tcW w:w="2054" w:type="pct"/>
                  <w:shd w:val="clear" w:color="auto" w:fill="auto"/>
                  <w:vAlign w:val="center"/>
                </w:tcPr>
                <w:p w14:paraId="53B9FE1C">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1.厂区内道路、原辅材料和燃料堆场等路面应硬化；</w:t>
                  </w:r>
                </w:p>
                <w:p w14:paraId="0882C868">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2.厂区内道路采取定期清扫、洒水等措施，保持清洁，路面无明显可见积尘；</w:t>
                  </w:r>
                </w:p>
                <w:p w14:paraId="0A7AD4E4">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3.其他未利用地优先绿化，或进行硬化，无成片裸露土地。</w:t>
                  </w:r>
                </w:p>
              </w:tc>
              <w:tc>
                <w:tcPr>
                  <w:tcW w:w="1813" w:type="pct"/>
                  <w:shd w:val="clear" w:color="auto" w:fill="auto"/>
                  <w:vAlign w:val="center"/>
                </w:tcPr>
                <w:p w14:paraId="5B98DC07">
                  <w:pPr>
                    <w:rPr>
                      <w:i w:val="0"/>
                      <w:iCs w:val="0"/>
                      <w:color w:val="000000" w:themeColor="text1"/>
                      <w:kern w:val="0"/>
                      <w:szCs w:val="21"/>
                      <w:highlight w:val="none"/>
                      <w:u w:val="none"/>
                      <w:lang w:bidi="ar"/>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1、项目</w:t>
                  </w:r>
                  <w:r>
                    <w:rPr>
                      <w:i w:val="0"/>
                      <w:iCs w:val="0"/>
                      <w:color w:val="000000" w:themeColor="text1"/>
                      <w:kern w:val="0"/>
                      <w:szCs w:val="21"/>
                      <w:highlight w:val="none"/>
                      <w:u w:val="none"/>
                      <w:lang w:bidi="ar"/>
                      <w14:textFill>
                        <w14:solidFill>
                          <w14:schemeClr w14:val="tx1"/>
                        </w14:solidFill>
                      </w14:textFill>
                    </w:rPr>
                    <w:t>厂区内道路、原辅材料堆场等路面应硬化；</w:t>
                  </w:r>
                </w:p>
                <w:p w14:paraId="06AD0F29">
                  <w:pPr>
                    <w:rPr>
                      <w:i w:val="0"/>
                      <w:iCs w:val="0"/>
                      <w:color w:val="000000" w:themeColor="text1"/>
                      <w:kern w:val="0"/>
                      <w:szCs w:val="21"/>
                      <w:highlight w:val="none"/>
                      <w:u w:val="none"/>
                      <w:lang w:bidi="ar"/>
                      <w14:textFill>
                        <w14:solidFill>
                          <w14:schemeClr w14:val="tx1"/>
                        </w14:solidFill>
                      </w14:textFill>
                    </w:rPr>
                  </w:pPr>
                  <w:r>
                    <w:rPr>
                      <w:rFonts w:hint="eastAsia"/>
                      <w:i w:val="0"/>
                      <w:iCs w:val="0"/>
                      <w:color w:val="000000" w:themeColor="text1"/>
                      <w:kern w:val="0"/>
                      <w:szCs w:val="21"/>
                      <w:highlight w:val="none"/>
                      <w:u w:val="none"/>
                      <w:lang w:val="en-US" w:eastAsia="zh-CN" w:bidi="ar"/>
                      <w14:textFill>
                        <w14:solidFill>
                          <w14:schemeClr w14:val="tx1"/>
                        </w14:solidFill>
                      </w14:textFill>
                    </w:rPr>
                    <w:t>2、</w:t>
                  </w:r>
                  <w:r>
                    <w:rPr>
                      <w:i w:val="0"/>
                      <w:iCs w:val="0"/>
                      <w:color w:val="000000" w:themeColor="text1"/>
                      <w:kern w:val="0"/>
                      <w:szCs w:val="21"/>
                      <w:highlight w:val="none"/>
                      <w:u w:val="none"/>
                      <w:lang w:bidi="ar"/>
                      <w14:textFill>
                        <w14:solidFill>
                          <w14:schemeClr w14:val="tx1"/>
                        </w14:solidFill>
                      </w14:textFill>
                    </w:rPr>
                    <w:t>厂区内道路采取定期清扫、洒水等措施，保持清洁，路面无明显可见积尘；</w:t>
                  </w:r>
                </w:p>
                <w:p w14:paraId="4A1CF7D9">
                  <w:pPr>
                    <w:rPr>
                      <w:bCs/>
                      <w:color w:val="000000" w:themeColor="text1"/>
                      <w:kern w:val="0"/>
                      <w:szCs w:val="21"/>
                      <w14:textFill>
                        <w14:solidFill>
                          <w14:schemeClr w14:val="tx1"/>
                        </w14:solidFill>
                      </w14:textFill>
                    </w:rPr>
                  </w:pPr>
                  <w:r>
                    <w:rPr>
                      <w:rFonts w:hint="eastAsia"/>
                      <w:i w:val="0"/>
                      <w:iCs w:val="0"/>
                      <w:color w:val="000000" w:themeColor="text1"/>
                      <w:kern w:val="0"/>
                      <w:szCs w:val="21"/>
                      <w:highlight w:val="none"/>
                      <w:u w:val="none"/>
                      <w:lang w:val="en-US" w:eastAsia="zh-CN" w:bidi="ar"/>
                      <w14:textFill>
                        <w14:solidFill>
                          <w14:schemeClr w14:val="tx1"/>
                        </w14:solidFill>
                      </w14:textFill>
                    </w:rPr>
                    <w:t>3、本项目不涉及。</w:t>
                  </w:r>
                </w:p>
              </w:tc>
              <w:tc>
                <w:tcPr>
                  <w:tcW w:w="533" w:type="pct"/>
                  <w:shd w:val="clear" w:color="auto" w:fill="auto"/>
                  <w:vAlign w:val="center"/>
                </w:tcPr>
                <w:p w14:paraId="478F055B">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相符</w:t>
                  </w:r>
                </w:p>
              </w:tc>
            </w:tr>
            <w:tr w14:paraId="10081F1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37" w:type="pct"/>
                  <w:vMerge w:val="restart"/>
                  <w:shd w:val="clear" w:color="auto" w:fill="auto"/>
                  <w:vAlign w:val="center"/>
                </w:tcPr>
                <w:p w14:paraId="6F3EB435">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环境</w:t>
                  </w:r>
                  <w:r>
                    <w:rPr>
                      <w:rFonts w:hint="eastAsia"/>
                      <w:color w:val="000000" w:themeColor="text1"/>
                      <w:kern w:val="0"/>
                      <w:szCs w:val="21"/>
                      <w14:textFill>
                        <w14:solidFill>
                          <w14:schemeClr w14:val="tx1"/>
                        </w14:solidFill>
                      </w14:textFill>
                    </w:rPr>
                    <w:t>管理水平</w:t>
                  </w:r>
                </w:p>
              </w:tc>
              <w:tc>
                <w:tcPr>
                  <w:tcW w:w="260" w:type="pct"/>
                  <w:shd w:val="clear" w:color="auto" w:fill="auto"/>
                  <w:vAlign w:val="center"/>
                </w:tcPr>
                <w:p w14:paraId="05A1475E">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环保档案</w:t>
                  </w:r>
                </w:p>
              </w:tc>
              <w:tc>
                <w:tcPr>
                  <w:tcW w:w="2054" w:type="pct"/>
                  <w:shd w:val="clear" w:color="auto" w:fill="auto"/>
                  <w:vAlign w:val="center"/>
                </w:tcPr>
                <w:p w14:paraId="149A5E9E">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1.环评批复文件和竣工验收文件/现状评估文件；</w:t>
                  </w:r>
                </w:p>
                <w:p w14:paraId="2BE2CAEC">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2.废气治理设施运行管理规程；</w:t>
                  </w:r>
                </w:p>
                <w:p w14:paraId="1CC67752">
                  <w:pPr>
                    <w:rPr>
                      <w:color w:val="000000" w:themeColor="text1"/>
                      <w:szCs w:val="21"/>
                      <w14:textFill>
                        <w14:solidFill>
                          <w14:schemeClr w14:val="tx1"/>
                        </w14:solidFill>
                      </w14:textFill>
                    </w:rPr>
                  </w:pPr>
                  <w:r>
                    <w:rPr>
                      <w:color w:val="000000" w:themeColor="text1"/>
                      <w:szCs w:val="21"/>
                      <w14:textFill>
                        <w14:solidFill>
                          <w14:schemeClr w14:val="tx1"/>
                        </w14:solidFill>
                      </w14:textFill>
                    </w:rPr>
                    <w:t>3.一年内废气监测报告；</w:t>
                  </w:r>
                </w:p>
                <w:p w14:paraId="6965A0C4">
                  <w:pP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4.国家版排污许可证，并按要求开展自行监测和信息披露，规范设置废弃排放口标志牌、二维码标识和采样平台、采样孔。</w:t>
                  </w:r>
                </w:p>
              </w:tc>
              <w:tc>
                <w:tcPr>
                  <w:tcW w:w="1813" w:type="pct"/>
                  <w:shd w:val="clear" w:color="auto" w:fill="auto"/>
                  <w:vAlign w:val="center"/>
                </w:tcPr>
                <w:p w14:paraId="301543D3">
                  <w:pPr>
                    <w:pStyle w:val="36"/>
                    <w:spacing w:line="240" w:lineRule="auto"/>
                    <w:ind w:firstLine="0" w:firstLineChars="0"/>
                    <w:jc w:val="both"/>
                    <w:outlineLvl w:val="9"/>
                    <w:rPr>
                      <w:rFonts w:hint="eastAsia" w:eastAsia="宋体"/>
                      <w:color w:val="000000" w:themeColor="text1"/>
                      <w:kern w:val="0"/>
                      <w:szCs w:val="21"/>
                      <w:lang w:eastAsia="zh-CN"/>
                      <w14:textFill>
                        <w14:solidFill>
                          <w14:schemeClr w14:val="tx1"/>
                        </w14:solidFill>
                      </w14:textFill>
                    </w:rPr>
                  </w:pPr>
                  <w:bookmarkStart w:id="2" w:name="_Toc29554"/>
                  <w:r>
                    <w:rPr>
                      <w:color w:val="000000" w:themeColor="text1"/>
                      <w:sz w:val="21"/>
                      <w:szCs w:val="21"/>
                      <w14:textFill>
                        <w14:solidFill>
                          <w14:schemeClr w14:val="tx1"/>
                        </w14:solidFill>
                      </w14:textFill>
                    </w:rPr>
                    <w:t>项目正在进行环境影响评价，取得批复后进行填报国家版排污许可证，并完善环境管理制度、废气治理设施运行管理规程。并按要求每年进行废气例行监测</w:t>
                  </w:r>
                  <w:bookmarkEnd w:id="2"/>
                  <w:r>
                    <w:rPr>
                      <w:rFonts w:hint="eastAsia"/>
                      <w:color w:val="000000" w:themeColor="text1"/>
                      <w:sz w:val="21"/>
                      <w:szCs w:val="21"/>
                      <w:lang w:eastAsia="zh-CN"/>
                      <w14:textFill>
                        <w14:solidFill>
                          <w14:schemeClr w14:val="tx1"/>
                        </w14:solidFill>
                      </w14:textFill>
                    </w:rPr>
                    <w:t>。</w:t>
                  </w:r>
                </w:p>
              </w:tc>
              <w:tc>
                <w:tcPr>
                  <w:tcW w:w="533" w:type="pct"/>
                  <w:shd w:val="clear" w:color="auto" w:fill="auto"/>
                  <w:vAlign w:val="center"/>
                </w:tcPr>
                <w:p w14:paraId="52B802C0">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相符</w:t>
                  </w:r>
                </w:p>
              </w:tc>
            </w:tr>
            <w:tr w14:paraId="22E063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37" w:type="pct"/>
                  <w:vMerge w:val="continue"/>
                  <w:shd w:val="clear" w:color="auto" w:fill="auto"/>
                  <w:vAlign w:val="center"/>
                </w:tcPr>
                <w:p w14:paraId="412D2A0E">
                  <w:pPr>
                    <w:widowControl/>
                    <w:jc w:val="center"/>
                    <w:rPr>
                      <w:color w:val="000000" w:themeColor="text1"/>
                      <w:kern w:val="0"/>
                      <w:szCs w:val="21"/>
                      <w14:textFill>
                        <w14:solidFill>
                          <w14:schemeClr w14:val="tx1"/>
                        </w14:solidFill>
                      </w14:textFill>
                    </w:rPr>
                  </w:pPr>
                </w:p>
              </w:tc>
              <w:tc>
                <w:tcPr>
                  <w:tcW w:w="260" w:type="pct"/>
                  <w:shd w:val="clear" w:color="auto" w:fill="auto"/>
                  <w:vAlign w:val="center"/>
                </w:tcPr>
                <w:p w14:paraId="6F3F9211">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台账记录</w:t>
                  </w:r>
                </w:p>
              </w:tc>
              <w:tc>
                <w:tcPr>
                  <w:tcW w:w="2054" w:type="pct"/>
                  <w:shd w:val="clear" w:color="auto" w:fill="auto"/>
                  <w:vAlign w:val="center"/>
                </w:tcPr>
                <w:p w14:paraId="1663FB0C">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1.生产设施运行管理信息（生产时间、运行负荷、产品产量等）；</w:t>
                  </w:r>
                </w:p>
                <w:p w14:paraId="0860F72D">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2.废气污染治理设施运行管理信息（除尘滤料等更换量和时间）；</w:t>
                  </w:r>
                </w:p>
                <w:p w14:paraId="0C3D1052">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3.监测记录信息（主要污染排放口废气排放记录（手工监测和在线监测））等；</w:t>
                  </w:r>
                </w:p>
                <w:p w14:paraId="006F31AE">
                  <w:pPr>
                    <w:rPr>
                      <w:color w:val="000000" w:themeColor="text1"/>
                      <w:szCs w:val="21"/>
                      <w14:textFill>
                        <w14:solidFill>
                          <w14:schemeClr w14:val="tx1"/>
                        </w14:solidFill>
                      </w14:textFill>
                    </w:rPr>
                  </w:pPr>
                  <w:r>
                    <w:rPr>
                      <w:color w:val="000000" w:themeColor="text1"/>
                      <w:szCs w:val="21"/>
                      <w14:textFill>
                        <w14:solidFill>
                          <w14:schemeClr w14:val="tx1"/>
                        </w14:solidFill>
                      </w14:textFill>
                    </w:rPr>
                    <w:t>4.主要原辅材料、燃料消耗记录；</w:t>
                  </w:r>
                </w:p>
                <w:p w14:paraId="448C6731">
                  <w:pP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5.电消耗记录。</w:t>
                  </w:r>
                </w:p>
              </w:tc>
              <w:tc>
                <w:tcPr>
                  <w:tcW w:w="1813" w:type="pct"/>
                  <w:shd w:val="clear" w:color="auto" w:fill="auto"/>
                  <w:vAlign w:val="center"/>
                </w:tcPr>
                <w:p w14:paraId="6A60B454">
                  <w:pPr>
                    <w:pStyle w:val="36"/>
                    <w:spacing w:line="240" w:lineRule="auto"/>
                    <w:ind w:firstLine="0" w:firstLineChars="0"/>
                    <w:jc w:val="both"/>
                    <w:outlineLvl w:val="9"/>
                    <w:rPr>
                      <w:color w:val="000000" w:themeColor="text1"/>
                      <w:kern w:val="0"/>
                      <w:szCs w:val="21"/>
                      <w14:textFill>
                        <w14:solidFill>
                          <w14:schemeClr w14:val="tx1"/>
                        </w14:solidFill>
                      </w14:textFill>
                    </w:rPr>
                  </w:pPr>
                  <w:bookmarkStart w:id="3" w:name="_Toc17367"/>
                  <w:r>
                    <w:rPr>
                      <w:color w:val="000000" w:themeColor="text1"/>
                      <w:sz w:val="21"/>
                      <w:szCs w:val="21"/>
                      <w14:textFill>
                        <w14:solidFill>
                          <w14:schemeClr w14:val="tx1"/>
                        </w14:solidFill>
                      </w14:textFill>
                    </w:rPr>
                    <w:t>项目建成后生产过程记录生产设施运行管理信息，废气污染治理设施运行管理信息，监测记录信息，主要原辅材料记录、燃料消耗记录、电消耗记录。</w:t>
                  </w:r>
                  <w:bookmarkEnd w:id="3"/>
                </w:p>
              </w:tc>
              <w:tc>
                <w:tcPr>
                  <w:tcW w:w="533" w:type="pct"/>
                  <w:shd w:val="clear" w:color="auto" w:fill="auto"/>
                  <w:vAlign w:val="center"/>
                </w:tcPr>
                <w:p w14:paraId="684E2E4E">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相符</w:t>
                  </w:r>
                </w:p>
              </w:tc>
            </w:tr>
            <w:tr w14:paraId="7E7EFEC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37" w:type="pct"/>
                  <w:vMerge w:val="continue"/>
                  <w:shd w:val="clear" w:color="auto" w:fill="auto"/>
                  <w:vAlign w:val="center"/>
                </w:tcPr>
                <w:p w14:paraId="7C2DC302">
                  <w:pPr>
                    <w:widowControl/>
                    <w:jc w:val="center"/>
                    <w:rPr>
                      <w:color w:val="000000" w:themeColor="text1"/>
                      <w:kern w:val="0"/>
                      <w:szCs w:val="21"/>
                      <w14:textFill>
                        <w14:solidFill>
                          <w14:schemeClr w14:val="tx1"/>
                        </w14:solidFill>
                      </w14:textFill>
                    </w:rPr>
                  </w:pPr>
                </w:p>
              </w:tc>
              <w:tc>
                <w:tcPr>
                  <w:tcW w:w="260" w:type="pct"/>
                  <w:shd w:val="clear" w:color="auto" w:fill="auto"/>
                  <w:vAlign w:val="center"/>
                </w:tcPr>
                <w:p w14:paraId="309E5AAE">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人员配置</w:t>
                  </w:r>
                </w:p>
              </w:tc>
              <w:tc>
                <w:tcPr>
                  <w:tcW w:w="2054" w:type="pct"/>
                  <w:shd w:val="clear" w:color="auto" w:fill="auto"/>
                  <w:vAlign w:val="center"/>
                </w:tcPr>
                <w:p w14:paraId="1A12AF5D">
                  <w:pP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配备专环保人员，并具备相应的环境管理能力（学历、培训、从业经验等）。</w:t>
                  </w:r>
                </w:p>
              </w:tc>
              <w:tc>
                <w:tcPr>
                  <w:tcW w:w="1813" w:type="pct"/>
                  <w:shd w:val="clear" w:color="auto" w:fill="auto"/>
                  <w:vAlign w:val="center"/>
                </w:tcPr>
                <w:p w14:paraId="0550ACB2">
                  <w:pPr>
                    <w:widowControl/>
                    <w:adjustRightInd w:val="0"/>
                    <w:snapToGrid w:val="0"/>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项目建成后按要求</w:t>
                  </w:r>
                  <w:r>
                    <w:rPr>
                      <w:color w:val="000000" w:themeColor="text1"/>
                      <w:kern w:val="0"/>
                      <w:szCs w:val="21"/>
                      <w14:textFill>
                        <w14:solidFill>
                          <w14:schemeClr w14:val="tx1"/>
                        </w14:solidFill>
                      </w14:textFill>
                    </w:rPr>
                    <w:t>配备专职环保人员，并具备相应的环境管理能力（学历、培训、从业经验等）。</w:t>
                  </w:r>
                </w:p>
              </w:tc>
              <w:tc>
                <w:tcPr>
                  <w:tcW w:w="533" w:type="pct"/>
                  <w:shd w:val="clear" w:color="auto" w:fill="auto"/>
                  <w:vAlign w:val="center"/>
                </w:tcPr>
                <w:p w14:paraId="6E9E1630">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相符</w:t>
                  </w:r>
                </w:p>
              </w:tc>
            </w:tr>
            <w:tr w14:paraId="060F13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749A4CB9">
                  <w:pPr>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运输方式</w:t>
                  </w:r>
                </w:p>
              </w:tc>
              <w:tc>
                <w:tcPr>
                  <w:tcW w:w="2054" w:type="pct"/>
                  <w:shd w:val="clear" w:color="auto" w:fill="auto"/>
                  <w:vAlign w:val="center"/>
                </w:tcPr>
                <w:p w14:paraId="55F1A081">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1.物料、产品等公路运输全部使用国五及以上排放标准重型载货车辆（重型燃气车辆达到国六排放标准）或新能源车辆；</w:t>
                  </w:r>
                </w:p>
                <w:p w14:paraId="2A467D45">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2.厂内运输全部使用国五及以上排放标准（重型燃气车辆达到国六排放标准）或使用新能源车辆；</w:t>
                  </w:r>
                </w:p>
                <w:p w14:paraId="51F44EAC">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3.危险品及危废运输全部使用国五及以上排放标准（重型燃气车辆达到国六排放标准）或新能源车辆；</w:t>
                  </w:r>
                </w:p>
                <w:p w14:paraId="2871B586">
                  <w:pP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4.厂内非道路移动机械全部使用国三及以上排放标准或使用新能源（电动、氢能）机械</w:t>
                  </w:r>
                </w:p>
              </w:tc>
              <w:tc>
                <w:tcPr>
                  <w:tcW w:w="1813" w:type="pct"/>
                  <w:shd w:val="clear" w:color="auto" w:fill="auto"/>
                  <w:vAlign w:val="center"/>
                </w:tcPr>
                <w:p w14:paraId="0AE706B8">
                  <w:pPr>
                    <w:rPr>
                      <w:i w:val="0"/>
                      <w:iCs w:val="0"/>
                      <w:color w:val="000000" w:themeColor="text1"/>
                      <w:szCs w:val="21"/>
                      <w:highlight w:val="none"/>
                      <w:u w:val="none"/>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1、项目</w:t>
                  </w:r>
                  <w:r>
                    <w:rPr>
                      <w:i w:val="0"/>
                      <w:iCs w:val="0"/>
                      <w:color w:val="000000" w:themeColor="text1"/>
                      <w:szCs w:val="21"/>
                      <w:highlight w:val="none"/>
                      <w:u w:val="none"/>
                      <w14:textFill>
                        <w14:solidFill>
                          <w14:schemeClr w14:val="tx1"/>
                        </w14:solidFill>
                      </w14:textFill>
                    </w:rPr>
                    <w:t>物料、产品等公路运输全部使用国五及以上排放标准重型载货车辆（重型燃气车辆达到国六排放标准）或新能源车辆；</w:t>
                  </w:r>
                </w:p>
                <w:p w14:paraId="77B77279">
                  <w:pPr>
                    <w:rPr>
                      <w:rFonts w:hint="eastAsia"/>
                      <w:i w:val="0"/>
                      <w:iCs w:val="0"/>
                      <w:color w:val="000000" w:themeColor="text1"/>
                      <w:szCs w:val="21"/>
                      <w:highlight w:val="none"/>
                      <w:u w:val="none"/>
                      <w:lang w:val="en-US" w:eastAsia="zh-CN"/>
                      <w14:textFill>
                        <w14:solidFill>
                          <w14:schemeClr w14:val="tx1"/>
                        </w14:solidFill>
                      </w14:textFill>
                    </w:rPr>
                  </w:pPr>
                  <w:r>
                    <w:rPr>
                      <w:rFonts w:hint="eastAsia"/>
                      <w:i w:val="0"/>
                      <w:iCs w:val="0"/>
                      <w:color w:val="000000" w:themeColor="text1"/>
                      <w:szCs w:val="21"/>
                      <w:highlight w:val="none"/>
                      <w:u w:val="none"/>
                      <w:lang w:val="en-US" w:eastAsia="zh-CN"/>
                      <w14:textFill>
                        <w14:solidFill>
                          <w14:schemeClr w14:val="tx1"/>
                        </w14:solidFill>
                      </w14:textFill>
                    </w:rPr>
                    <w:t>2、项目厂区内无运输车辆；</w:t>
                  </w:r>
                </w:p>
                <w:p w14:paraId="633C4474">
                  <w:pPr>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u w:val="none"/>
                      <w:lang w:val="en-US" w:eastAsia="zh-CN"/>
                      <w14:textFill>
                        <w14:solidFill>
                          <w14:schemeClr w14:val="tx1"/>
                        </w14:solidFill>
                      </w14:textFill>
                    </w:rPr>
                    <w:t>3、</w:t>
                  </w:r>
                  <w:r>
                    <w:rPr>
                      <w:i w:val="0"/>
                      <w:iCs w:val="0"/>
                      <w:color w:val="000000" w:themeColor="text1"/>
                      <w:szCs w:val="21"/>
                      <w:highlight w:val="none"/>
                      <w14:textFill>
                        <w14:solidFill>
                          <w14:schemeClr w14:val="tx1"/>
                        </w14:solidFill>
                      </w14:textFill>
                    </w:rPr>
                    <w:t>项目营运期危险废物出入厂区运输，委托有危险废物运输资质的单位，委托期间约定运输车辆使用国五及以上排放标准（重型燃气车辆达到国六排放标准）或新能源车辆；</w:t>
                  </w:r>
                </w:p>
                <w:p w14:paraId="2F42FA01">
                  <w:pPr>
                    <w:rPr>
                      <w:bCs/>
                      <w:color w:val="000000" w:themeColor="text1"/>
                      <w:kern w:val="0"/>
                      <w:szCs w:val="21"/>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4、厂内非道路移动机械全部使用国三及以上排放标准或使用新能源（电动、氢能）机械</w:t>
                  </w:r>
                  <w:r>
                    <w:rPr>
                      <w:i w:val="0"/>
                      <w:iCs w:val="0"/>
                      <w:color w:val="000000" w:themeColor="text1"/>
                      <w:szCs w:val="21"/>
                      <w:highlight w:val="none"/>
                      <w14:textFill>
                        <w14:solidFill>
                          <w14:schemeClr w14:val="tx1"/>
                        </w14:solidFill>
                      </w14:textFill>
                    </w:rPr>
                    <w:t>。</w:t>
                  </w:r>
                </w:p>
              </w:tc>
              <w:tc>
                <w:tcPr>
                  <w:tcW w:w="533" w:type="pct"/>
                  <w:shd w:val="clear" w:color="auto" w:fill="auto"/>
                  <w:vAlign w:val="center"/>
                </w:tcPr>
                <w:p w14:paraId="2111F8FB">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相符</w:t>
                  </w:r>
                </w:p>
              </w:tc>
            </w:tr>
            <w:tr w14:paraId="41A1F6C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98" w:type="pct"/>
                  <w:gridSpan w:val="2"/>
                  <w:shd w:val="clear" w:color="auto" w:fill="auto"/>
                  <w:vAlign w:val="center"/>
                </w:tcPr>
                <w:p w14:paraId="24EA4D64">
                  <w:pPr>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运输监管</w:t>
                  </w:r>
                </w:p>
              </w:tc>
              <w:tc>
                <w:tcPr>
                  <w:tcW w:w="2054" w:type="pct"/>
                  <w:shd w:val="clear" w:color="auto" w:fill="auto"/>
                  <w:vAlign w:val="center"/>
                </w:tcPr>
                <w:p w14:paraId="4E1D98DA">
                  <w:pP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1813" w:type="pct"/>
                  <w:shd w:val="clear" w:color="auto" w:fill="auto"/>
                  <w:vAlign w:val="center"/>
                </w:tcPr>
                <w:p w14:paraId="00B5E991">
                  <w:pP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评价建议企业参照《重污染天气重点行业移动源应急管理技术指南》建立门禁视频监控系统和电子台账。安装高清视频监控系统并能保留数据6个月以上。</w:t>
                  </w:r>
                </w:p>
              </w:tc>
              <w:tc>
                <w:tcPr>
                  <w:tcW w:w="533" w:type="pct"/>
                  <w:shd w:val="clear" w:color="auto" w:fill="auto"/>
                  <w:vAlign w:val="center"/>
                </w:tcPr>
                <w:p w14:paraId="4B7224E1">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相符</w:t>
                  </w:r>
                </w:p>
              </w:tc>
            </w:tr>
          </w:tbl>
          <w:p w14:paraId="0C570025">
            <w:pPr>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 xml:space="preserve">  项目</w:t>
            </w:r>
            <w:r>
              <w:rPr>
                <w:rFonts w:hint="eastAsia"/>
                <w:b/>
                <w:color w:val="000000" w:themeColor="text1"/>
                <w:sz w:val="24"/>
                <w14:textFill>
                  <w14:solidFill>
                    <w14:schemeClr w14:val="tx1"/>
                  </w14:solidFill>
                </w14:textFill>
              </w:rPr>
              <w:t>与通用涉VOCs企业引领性指标</w:t>
            </w:r>
            <w:r>
              <w:rPr>
                <w:b/>
                <w:color w:val="000000" w:themeColor="text1"/>
                <w:sz w:val="24"/>
                <w14:textFill>
                  <w14:solidFill>
                    <w14:schemeClr w14:val="tx1"/>
                  </w14:solidFill>
                </w14:textFill>
              </w:rPr>
              <w:t>相符性分析</w:t>
            </w:r>
            <w:r>
              <w:rPr>
                <w:rFonts w:hint="eastAsia"/>
                <w:b/>
                <w:color w:val="000000" w:themeColor="text1"/>
                <w:sz w:val="24"/>
                <w14:textFill>
                  <w14:solidFill>
                    <w14:schemeClr w14:val="tx1"/>
                  </w14:solidFill>
                </w14:textFill>
              </w:rPr>
              <w:t>一览</w:t>
            </w:r>
            <w:r>
              <w:rPr>
                <w:b/>
                <w:color w:val="000000" w:themeColor="text1"/>
                <w:sz w:val="24"/>
                <w14:textFill>
                  <w14:solidFill>
                    <w14:schemeClr w14:val="tx1"/>
                  </w14:solidFill>
                </w14:textFill>
              </w:rPr>
              <w:t>表</w:t>
            </w:r>
          </w:p>
          <w:tbl>
            <w:tblPr>
              <w:tblStyle w:val="25"/>
              <w:tblW w:w="4955"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56"/>
              <w:gridCol w:w="430"/>
              <w:gridCol w:w="3385"/>
              <w:gridCol w:w="2987"/>
              <w:gridCol w:w="879"/>
            </w:tblGrid>
            <w:tr w14:paraId="5B3B551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2ACEBCC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引领性</w:t>
                  </w:r>
                  <w:r>
                    <w:rPr>
                      <w:color w:val="000000" w:themeColor="text1"/>
                      <w:szCs w:val="21"/>
                      <w14:textFill>
                        <w14:solidFill>
                          <w14:schemeClr w14:val="tx1"/>
                        </w14:solidFill>
                      </w14:textFill>
                    </w:rPr>
                    <w:t>指标</w:t>
                  </w:r>
                </w:p>
              </w:tc>
              <w:tc>
                <w:tcPr>
                  <w:tcW w:w="3380" w:type="dxa"/>
                  <w:shd w:val="clear" w:color="auto" w:fill="auto"/>
                  <w:vAlign w:val="center"/>
                </w:tcPr>
                <w:p w14:paraId="6BA4FCB3">
                  <w:pPr>
                    <w:adjustRightInd w:val="0"/>
                    <w:snapToGrid w:val="0"/>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通用涉VOCs企业</w:t>
                  </w:r>
                </w:p>
              </w:tc>
              <w:tc>
                <w:tcPr>
                  <w:tcW w:w="2983" w:type="dxa"/>
                  <w:shd w:val="clear" w:color="auto" w:fill="auto"/>
                  <w:vAlign w:val="center"/>
                </w:tcPr>
                <w:p w14:paraId="3FFDE639">
                  <w:pPr>
                    <w:adjustRightInd w:val="0"/>
                    <w:snapToGrid w:val="0"/>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企业对标情况</w:t>
                  </w:r>
                </w:p>
              </w:tc>
              <w:tc>
                <w:tcPr>
                  <w:tcW w:w="878" w:type="dxa"/>
                  <w:shd w:val="clear" w:color="auto" w:fill="auto"/>
                  <w:vAlign w:val="center"/>
                </w:tcPr>
                <w:p w14:paraId="09D2EC6B">
                  <w:pPr>
                    <w:adjustRightInd w:val="0"/>
                    <w:snapToGrid w:val="0"/>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相符性</w:t>
                  </w:r>
                </w:p>
              </w:tc>
            </w:tr>
            <w:tr w14:paraId="594F222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4DC371EF">
                  <w:pPr>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生产工艺和装备</w:t>
                  </w:r>
                </w:p>
              </w:tc>
              <w:tc>
                <w:tcPr>
                  <w:tcW w:w="3380" w:type="dxa"/>
                  <w:shd w:val="clear" w:color="auto" w:fill="auto"/>
                  <w:vAlign w:val="center"/>
                </w:tcPr>
                <w:p w14:paraId="3E831F37">
                  <w:pPr>
                    <w:rPr>
                      <w:color w:val="000000" w:themeColor="text1"/>
                      <w:szCs w:val="21"/>
                      <w14:textFill>
                        <w14:solidFill>
                          <w14:schemeClr w14:val="tx1"/>
                        </w14:solidFill>
                      </w14:textFill>
                    </w:rPr>
                  </w:pPr>
                  <w:r>
                    <w:rPr>
                      <w:color w:val="000000" w:themeColor="text1"/>
                      <w:szCs w:val="21"/>
                      <w14:textFill>
                        <w14:solidFill>
                          <w14:schemeClr w14:val="tx1"/>
                        </w14:solidFill>
                      </w14:textFill>
                    </w:rPr>
                    <w:t>不属于《产业结构调整指导目录（2024年版）》淘汰类，不属于省级和市级政府部门明确列入已经限期淘汰类项目</w:t>
                  </w:r>
                  <w:r>
                    <w:rPr>
                      <w:rFonts w:hint="eastAsia"/>
                      <w:color w:val="000000" w:themeColor="text1"/>
                      <w:szCs w:val="21"/>
                      <w14:textFill>
                        <w14:solidFill>
                          <w14:schemeClr w14:val="tx1"/>
                        </w14:solidFill>
                      </w14:textFill>
                    </w:rPr>
                    <w:t>。</w:t>
                  </w:r>
                </w:p>
              </w:tc>
              <w:tc>
                <w:tcPr>
                  <w:tcW w:w="2983" w:type="dxa"/>
                  <w:shd w:val="clear" w:color="auto" w:fill="auto"/>
                  <w:vAlign w:val="center"/>
                </w:tcPr>
                <w:p w14:paraId="63B0C784">
                  <w:pPr>
                    <w:snapToGrid w:val="0"/>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对比《产业结构调整指导目录（2024年版）》，属于允许类，且不属于省级和市级政府部门明确列入已经限期淘汰类项目。因此符合产业政策要求。</w:t>
                  </w:r>
                </w:p>
              </w:tc>
              <w:tc>
                <w:tcPr>
                  <w:tcW w:w="878" w:type="dxa"/>
                  <w:shd w:val="clear" w:color="auto" w:fill="auto"/>
                  <w:vAlign w:val="center"/>
                </w:tcPr>
                <w:p w14:paraId="61D98725">
                  <w:pPr>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相符</w:t>
                  </w:r>
                </w:p>
              </w:tc>
            </w:tr>
            <w:tr w14:paraId="5B4FDB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397524BB">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物料储存</w:t>
                  </w:r>
                </w:p>
              </w:tc>
              <w:tc>
                <w:tcPr>
                  <w:tcW w:w="3380" w:type="dxa"/>
                  <w:shd w:val="clear" w:color="auto" w:fill="auto"/>
                  <w:vAlign w:val="center"/>
                </w:tcPr>
                <w:p w14:paraId="02DB8FB8">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1.涂料、稀释剂、清洗剂等原辅材料密闭存储；</w:t>
                  </w:r>
                </w:p>
                <w:p w14:paraId="126CA1DF">
                  <w:pPr>
                    <w:rPr>
                      <w:color w:val="000000" w:themeColor="text1"/>
                      <w:szCs w:val="21"/>
                      <w14:textFill>
                        <w14:solidFill>
                          <w14:schemeClr w14:val="tx1"/>
                        </w14:solidFill>
                      </w14:textFill>
                    </w:rPr>
                  </w:pPr>
                  <w:r>
                    <w:rPr>
                      <w:color w:val="000000" w:themeColor="text1"/>
                      <w:szCs w:val="21"/>
                      <w14:textFill>
                        <w14:solidFill>
                          <w14:schemeClr w14:val="tx1"/>
                        </w14:solidFill>
                      </w14:textFill>
                    </w:rPr>
                    <w:t>2.盛装过VOCs物料的包装容器、含VOCs废料（渣、液）、废吸附剂等通过加盖、封装等方式密闭储存；</w:t>
                  </w:r>
                </w:p>
                <w:p w14:paraId="1C7EEFB9">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3.生产车间内涉VOCs物料应密闭储存。</w:t>
                  </w:r>
                </w:p>
              </w:tc>
              <w:tc>
                <w:tcPr>
                  <w:tcW w:w="2983" w:type="dxa"/>
                  <w:shd w:val="clear" w:color="auto" w:fill="auto"/>
                  <w:vAlign w:val="center"/>
                </w:tcPr>
                <w:p w14:paraId="543C8438">
                  <w:pP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1、本项目卡波姆、</w:t>
                  </w:r>
                  <w:r>
                    <w:rPr>
                      <w:rFonts w:hint="eastAsia"/>
                      <w:color w:val="000000" w:themeColor="text1"/>
                      <w:kern w:val="0"/>
                      <w:szCs w:val="21"/>
                      <w14:textFill>
                        <w14:solidFill>
                          <w14:schemeClr w14:val="tx1"/>
                        </w14:solidFill>
                      </w14:textFill>
                    </w:rPr>
                    <w:t>薄荷醇溶液</w:t>
                  </w:r>
                  <w:r>
                    <w:rPr>
                      <w:color w:val="000000" w:themeColor="text1"/>
                      <w:kern w:val="0"/>
                      <w:szCs w:val="21"/>
                      <w14:textFill>
                        <w14:solidFill>
                          <w14:schemeClr w14:val="tx1"/>
                        </w14:solidFill>
                      </w14:textFill>
                    </w:rPr>
                    <w:t>等原辅材料采用密闭</w:t>
                  </w:r>
                  <w:r>
                    <w:rPr>
                      <w:rFonts w:hint="eastAsia"/>
                      <w:color w:val="000000" w:themeColor="text1"/>
                      <w:kern w:val="0"/>
                      <w:szCs w:val="21"/>
                      <w14:textFill>
                        <w14:solidFill>
                          <w14:schemeClr w14:val="tx1"/>
                        </w14:solidFill>
                      </w14:textFill>
                    </w:rPr>
                    <w:t>包装容器</w:t>
                  </w:r>
                  <w:r>
                    <w:rPr>
                      <w:color w:val="000000" w:themeColor="text1"/>
                      <w:kern w:val="0"/>
                      <w:szCs w:val="21"/>
                      <w14:textFill>
                        <w14:solidFill>
                          <w14:schemeClr w14:val="tx1"/>
                        </w14:solidFill>
                      </w14:textFill>
                    </w:rPr>
                    <w:t>，储存于封闭生产车间原料区内；</w:t>
                  </w:r>
                </w:p>
                <w:p w14:paraId="35C45B0E">
                  <w:pPr>
                    <w:pStyle w:val="20"/>
                    <w:spacing w:line="240" w:lineRule="auto"/>
                    <w:jc w:val="both"/>
                    <w:rPr>
                      <w:color w:val="000000" w:themeColor="text1"/>
                      <w:sz w:val="21"/>
                      <w:szCs w:val="21"/>
                      <w14:textFill>
                        <w14:solidFill>
                          <w14:schemeClr w14:val="tx1"/>
                        </w14:solidFill>
                      </w14:textFill>
                    </w:rPr>
                  </w:pPr>
                  <w:r>
                    <w:rPr>
                      <w:color w:val="000000" w:themeColor="text1"/>
                      <w:kern w:val="0"/>
                      <w:sz w:val="21"/>
                      <w:szCs w:val="21"/>
                      <w14:textFill>
                        <w14:solidFill>
                          <w14:schemeClr w14:val="tx1"/>
                        </w14:solidFill>
                      </w14:textFill>
                    </w:rPr>
                    <w:t>2、本项目盛装过VOCs物料的包装容器、含VOCs废料（渣、液）、废吸附剂等通过封装的方式密闭储存；</w:t>
                  </w:r>
                </w:p>
              </w:tc>
              <w:tc>
                <w:tcPr>
                  <w:tcW w:w="878" w:type="dxa"/>
                  <w:shd w:val="clear" w:color="auto" w:fill="auto"/>
                  <w:vAlign w:val="center"/>
                </w:tcPr>
                <w:p w14:paraId="77A0918B">
                  <w:pPr>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相符</w:t>
                  </w:r>
                </w:p>
              </w:tc>
            </w:tr>
            <w:tr w14:paraId="53D85D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50EE74FE">
                  <w:pPr>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物料转移和输送</w:t>
                  </w:r>
                </w:p>
              </w:tc>
              <w:tc>
                <w:tcPr>
                  <w:tcW w:w="3380" w:type="dxa"/>
                  <w:shd w:val="clear" w:color="auto" w:fill="auto"/>
                  <w:vAlign w:val="center"/>
                </w:tcPr>
                <w:p w14:paraId="024C249D">
                  <w:pPr>
                    <w:rPr>
                      <w:color w:val="000000" w:themeColor="text1"/>
                      <w:szCs w:val="21"/>
                      <w14:textFill>
                        <w14:solidFill>
                          <w14:schemeClr w14:val="tx1"/>
                        </w14:solidFill>
                      </w14:textFill>
                    </w:rPr>
                  </w:pPr>
                  <w:r>
                    <w:rPr>
                      <w:color w:val="000000" w:themeColor="text1"/>
                      <w:szCs w:val="21"/>
                      <w14:textFill>
                        <w14:solidFill>
                          <w14:schemeClr w14:val="tx1"/>
                        </w14:solidFill>
                      </w14:textFill>
                    </w:rPr>
                    <w:t>涉VOCs物料采用密闭管道或密闭容器等输送。</w:t>
                  </w:r>
                </w:p>
              </w:tc>
              <w:tc>
                <w:tcPr>
                  <w:tcW w:w="2983" w:type="dxa"/>
                  <w:shd w:val="clear" w:color="auto" w:fill="auto"/>
                  <w:vAlign w:val="center"/>
                </w:tcPr>
                <w:p w14:paraId="5ED0DBAE">
                  <w:pPr>
                    <w:snapToGrid w:val="0"/>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本项目涉VOCs物料主要为卡波姆</w:t>
                  </w:r>
                  <w:r>
                    <w:rPr>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薄荷醇溶液</w:t>
                  </w:r>
                  <w:r>
                    <w:rPr>
                      <w:bCs/>
                      <w:color w:val="000000" w:themeColor="text1"/>
                      <w:kern w:val="0"/>
                      <w:szCs w:val="21"/>
                      <w14:textFill>
                        <w14:solidFill>
                          <w14:schemeClr w14:val="tx1"/>
                        </w14:solidFill>
                      </w14:textFill>
                    </w:rPr>
                    <w:t>，均采用密闭</w:t>
                  </w:r>
                  <w:r>
                    <w:rPr>
                      <w:rFonts w:hint="eastAsia"/>
                      <w:bCs/>
                      <w:color w:val="000000" w:themeColor="text1"/>
                      <w:kern w:val="0"/>
                      <w:szCs w:val="21"/>
                      <w14:textFill>
                        <w14:solidFill>
                          <w14:schemeClr w14:val="tx1"/>
                        </w14:solidFill>
                      </w14:textFill>
                    </w:rPr>
                    <w:t>容器</w:t>
                  </w:r>
                  <w:r>
                    <w:rPr>
                      <w:bCs/>
                      <w:color w:val="000000" w:themeColor="text1"/>
                      <w:kern w:val="0"/>
                      <w:szCs w:val="21"/>
                      <w14:textFill>
                        <w14:solidFill>
                          <w14:schemeClr w14:val="tx1"/>
                        </w14:solidFill>
                      </w14:textFill>
                    </w:rPr>
                    <w:t>进行输送。</w:t>
                  </w:r>
                </w:p>
              </w:tc>
              <w:tc>
                <w:tcPr>
                  <w:tcW w:w="878" w:type="dxa"/>
                  <w:shd w:val="clear" w:color="auto" w:fill="auto"/>
                  <w:vAlign w:val="center"/>
                </w:tcPr>
                <w:p w14:paraId="28AF640F">
                  <w:pPr>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相符</w:t>
                  </w:r>
                </w:p>
              </w:tc>
            </w:tr>
            <w:tr w14:paraId="3562B9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6CB97C6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工艺过程</w:t>
                  </w:r>
                </w:p>
              </w:tc>
              <w:tc>
                <w:tcPr>
                  <w:tcW w:w="3380" w:type="dxa"/>
                  <w:shd w:val="clear" w:color="auto" w:fill="auto"/>
                  <w:vAlign w:val="center"/>
                </w:tcPr>
                <w:p w14:paraId="7C02E112">
                  <w:pPr>
                    <w:rPr>
                      <w:color w:val="000000" w:themeColor="text1"/>
                      <w:szCs w:val="21"/>
                      <w14:textFill>
                        <w14:solidFill>
                          <w14:schemeClr w14:val="tx1"/>
                        </w14:solidFill>
                      </w14:textFill>
                    </w:rPr>
                  </w:pPr>
                  <w:r>
                    <w:rPr>
                      <w:color w:val="000000" w:themeColor="text1"/>
                      <w:szCs w:val="21"/>
                      <w14:textFill>
                        <w14:solidFill>
                          <w14:schemeClr w14:val="tx1"/>
                        </w14:solidFill>
                      </w14:textFill>
                    </w:rPr>
                    <w:t>1.原辅材料调配、使用（施胶、喷涂、干燥等）、回收等过程采用密闭设备或在密闭空间内操作；</w:t>
                  </w:r>
                </w:p>
                <w:p w14:paraId="077385D0">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2.涉VOCs原料装卸、储存、转移和输送、工艺过程等环节的度气全部收集引至VOCs处理系统。</w:t>
                  </w:r>
                </w:p>
              </w:tc>
              <w:tc>
                <w:tcPr>
                  <w:tcW w:w="2983" w:type="dxa"/>
                  <w:shd w:val="clear" w:color="auto" w:fill="auto"/>
                  <w:vAlign w:val="center"/>
                </w:tcPr>
                <w:p w14:paraId="1BC2E5A0">
                  <w:pPr>
                    <w:snapToGrid w:val="0"/>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本项目原辅材料配料、生产过程均在封闭生产车间内进行；</w:t>
                  </w:r>
                </w:p>
              </w:tc>
              <w:tc>
                <w:tcPr>
                  <w:tcW w:w="878" w:type="dxa"/>
                  <w:shd w:val="clear" w:color="auto" w:fill="auto"/>
                  <w:vAlign w:val="center"/>
                </w:tcPr>
                <w:p w14:paraId="61C27F0E">
                  <w:pPr>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相符</w:t>
                  </w:r>
                </w:p>
              </w:tc>
            </w:tr>
            <w:tr w14:paraId="1820D64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64D7D87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排放限值</w:t>
                  </w:r>
                </w:p>
              </w:tc>
              <w:tc>
                <w:tcPr>
                  <w:tcW w:w="3380" w:type="dxa"/>
                  <w:shd w:val="clear" w:color="auto" w:fill="auto"/>
                  <w:vAlign w:val="center"/>
                </w:tcPr>
                <w:p w14:paraId="72DB2BC3">
                  <w:pPr>
                    <w:rPr>
                      <w:color w:val="000000" w:themeColor="text1"/>
                      <w:szCs w:val="21"/>
                      <w14:textFill>
                        <w14:solidFill>
                          <w14:schemeClr w14:val="tx1"/>
                        </w14:solidFill>
                      </w14:textFill>
                    </w:rPr>
                  </w:pPr>
                  <w:r>
                    <w:rPr>
                      <w:color w:val="000000" w:themeColor="text1"/>
                      <w:szCs w:val="21"/>
                      <w14:textFill>
                        <w14:solidFill>
                          <w14:schemeClr w14:val="tx1"/>
                        </w14:solidFill>
                      </w14:textFill>
                    </w:rPr>
                    <w:t>NMHC排放限值不高于30mg/m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；其他污染物排放浓度达到相关污染物排放标准</w:t>
                  </w:r>
                  <w:r>
                    <w:rPr>
                      <w:rFonts w:hint="eastAsia"/>
                      <w:color w:val="000000" w:themeColor="text1"/>
                      <w:szCs w:val="21"/>
                      <w14:textFill>
                        <w14:solidFill>
                          <w14:schemeClr w14:val="tx1"/>
                        </w14:solidFill>
                      </w14:textFill>
                    </w:rPr>
                    <w:t>。</w:t>
                  </w:r>
                </w:p>
              </w:tc>
              <w:tc>
                <w:tcPr>
                  <w:tcW w:w="2983" w:type="dxa"/>
                  <w:shd w:val="clear" w:color="auto" w:fill="auto"/>
                  <w:vAlign w:val="center"/>
                </w:tcPr>
                <w:p w14:paraId="7A6215A6">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本项目NMHC排放限值不高于30mg/m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；其他污染物排放浓度达到相关污染物排放标准</w:t>
                  </w:r>
                  <w:r>
                    <w:rPr>
                      <w:rFonts w:hint="eastAsia"/>
                      <w:color w:val="000000" w:themeColor="text1"/>
                      <w:szCs w:val="21"/>
                      <w14:textFill>
                        <w14:solidFill>
                          <w14:schemeClr w14:val="tx1"/>
                        </w14:solidFill>
                      </w14:textFill>
                    </w:rPr>
                    <w:t>。</w:t>
                  </w:r>
                </w:p>
              </w:tc>
              <w:tc>
                <w:tcPr>
                  <w:tcW w:w="878" w:type="dxa"/>
                  <w:shd w:val="clear" w:color="auto" w:fill="auto"/>
                  <w:vAlign w:val="center"/>
                </w:tcPr>
                <w:p w14:paraId="79AB6FA2">
                  <w:pPr>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相符</w:t>
                  </w:r>
                </w:p>
              </w:tc>
            </w:tr>
            <w:tr w14:paraId="601806F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21B4473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监测监控水平</w:t>
                  </w:r>
                </w:p>
              </w:tc>
              <w:tc>
                <w:tcPr>
                  <w:tcW w:w="3380" w:type="dxa"/>
                  <w:shd w:val="clear" w:color="auto" w:fill="auto"/>
                  <w:vAlign w:val="center"/>
                </w:tcPr>
                <w:p w14:paraId="10790FC4">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1.有组织排放口按排污许可、环境影响评价或环境现状评估等要求安装烟气排放自动监控设施（CEMS），并按要求与省厅联网</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重点排污单位风量大于10000m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/h的主要排放口安装NMHC在线监测设施（FID检测器）并按要求与省厅联网</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其他企业NMHC初始排放速率大于2kgh且排放口风量大于20000m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h的度气排放口安装NMHC在线监测设施（FID检测器），并按要求与省厅联网；在线监测数据至少保存最近12个月的1分钟均值、36个月的1小时均值及60个月的日均值和月均值。（投产或安装时间不满一年以上的企业，以现有数据为准）；</w:t>
                  </w:r>
                </w:p>
                <w:p w14:paraId="1F83A54B">
                  <w:pPr>
                    <w:rPr>
                      <w:color w:val="000000" w:themeColor="text1"/>
                      <w:szCs w:val="21"/>
                      <w14:textFill>
                        <w14:solidFill>
                          <w14:schemeClr w14:val="tx1"/>
                        </w14:solidFill>
                      </w14:textFill>
                    </w:rPr>
                  </w:pPr>
                  <w:r>
                    <w:rPr>
                      <w:color w:val="000000" w:themeColor="text1"/>
                      <w:szCs w:val="21"/>
                      <w14:textFill>
                        <w14:solidFill>
                          <w14:schemeClr w14:val="tx1"/>
                        </w14:solidFill>
                      </w14:textFill>
                    </w:rPr>
                    <w:t>2.按生态环境部门要求规范设置废气排放口标志牌、二维码标识和采样平台、采样孔</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各废气排放口按照排污许可要求开展自行监测</w:t>
                  </w:r>
                  <w:r>
                    <w:rPr>
                      <w:rFonts w:hint="eastAsia"/>
                      <w:color w:val="000000" w:themeColor="text1"/>
                      <w:szCs w:val="21"/>
                      <w14:textFill>
                        <w14:solidFill>
                          <w14:schemeClr w14:val="tx1"/>
                        </w14:solidFill>
                      </w14:textFill>
                    </w:rPr>
                    <w:t>；</w:t>
                  </w:r>
                </w:p>
                <w:p w14:paraId="77580D44">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3.未安装自动在线监控的企业，应在主要生产设备（投料口、卸料口等位量）安装视频监控设施，相关数据保存6个月以上。</w:t>
                  </w:r>
                </w:p>
              </w:tc>
              <w:tc>
                <w:tcPr>
                  <w:tcW w:w="2983" w:type="dxa"/>
                  <w:shd w:val="clear" w:color="auto" w:fill="auto"/>
                  <w:vAlign w:val="center"/>
                </w:tcPr>
                <w:p w14:paraId="11E911C6">
                  <w:pPr>
                    <w:rPr>
                      <w:color w:val="000000" w:themeColor="text1"/>
                      <w:szCs w:val="21"/>
                      <w14:textFill>
                        <w14:solidFill>
                          <w14:schemeClr w14:val="tx1"/>
                        </w14:solidFill>
                      </w14:textFill>
                    </w:rPr>
                  </w:pPr>
                  <w:r>
                    <w:rPr>
                      <w:color w:val="000000" w:themeColor="text1"/>
                      <w:szCs w:val="21"/>
                      <w14:textFill>
                        <w14:solidFill>
                          <w14:schemeClr w14:val="tx1"/>
                        </w14:solidFill>
                      </w14:textFill>
                    </w:rPr>
                    <w:t>1、评价要求企业按照排污许可、</w:t>
                  </w:r>
                  <w:r>
                    <w:rPr>
                      <w:color w:val="000000" w:themeColor="text1"/>
                      <w:szCs w:val="21"/>
                      <w14:textFill>
                        <w14:solidFill>
                          <w14:schemeClr w14:val="tx1"/>
                        </w14:solidFill>
                      </w14:textFill>
                    </w:rPr>
                    <w:t>环境影响评价等</w:t>
                  </w:r>
                  <w:r>
                    <w:rPr>
                      <w:color w:val="000000" w:themeColor="text1"/>
                      <w:szCs w:val="21"/>
                      <w14:textFill>
                        <w14:solidFill>
                          <w14:schemeClr w14:val="tx1"/>
                        </w14:solidFill>
                      </w14:textFill>
                    </w:rPr>
                    <w:t>要求安装烟气排放自动监控设施（CEMS），并按要求与省厅联网，在线监测数据至少保存最近12个月的1分钟均值、36个月的1小时均值及60个月的日均值和月均值</w:t>
                  </w:r>
                  <w:r>
                    <w:rPr>
                      <w:rFonts w:hint="eastAsia"/>
                      <w:color w:val="000000" w:themeColor="text1"/>
                      <w:szCs w:val="21"/>
                      <w14:textFill>
                        <w14:solidFill>
                          <w14:schemeClr w14:val="tx1"/>
                        </w14:solidFill>
                      </w14:textFill>
                    </w:rPr>
                    <w:t>；</w:t>
                  </w:r>
                </w:p>
                <w:p w14:paraId="2A9371B5">
                  <w:pPr>
                    <w:pStyle w:val="20"/>
                    <w:spacing w:line="240" w:lineRule="auto"/>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2、评价要求企业按生态环境部门要求规范设置废气排放口标志牌、二维码标识和采样平台、采样孔</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各废气排放口按照排污许可要求开展自行监测；</w:t>
                  </w:r>
                </w:p>
                <w:p w14:paraId="53A36F89">
                  <w:pPr>
                    <w:rPr>
                      <w:color w:val="000000" w:themeColor="text1"/>
                      <w:szCs w:val="21"/>
                      <w:u w:val="single"/>
                      <w14:textFill>
                        <w14:solidFill>
                          <w14:schemeClr w14:val="tx1"/>
                        </w14:solidFill>
                      </w14:textFill>
                    </w:rPr>
                  </w:pPr>
                  <w:r>
                    <w:rPr>
                      <w:color w:val="000000" w:themeColor="text1"/>
                      <w:szCs w:val="21"/>
                      <w14:textFill>
                        <w14:solidFill>
                          <w14:schemeClr w14:val="tx1"/>
                        </w14:solidFill>
                      </w14:textFill>
                    </w:rPr>
                    <w:t>3、评价要求企业在主要生产设备（投料口、卸料口等位量）安装视频监控设施，相关数据保存6个月以上</w:t>
                  </w:r>
                  <w:r>
                    <w:rPr>
                      <w:rFonts w:hint="eastAsia"/>
                      <w:color w:val="000000" w:themeColor="text1"/>
                      <w:szCs w:val="21"/>
                      <w14:textFill>
                        <w14:solidFill>
                          <w14:schemeClr w14:val="tx1"/>
                        </w14:solidFill>
                      </w14:textFill>
                    </w:rPr>
                    <w:t>。</w:t>
                  </w:r>
                </w:p>
              </w:tc>
              <w:tc>
                <w:tcPr>
                  <w:tcW w:w="878" w:type="dxa"/>
                  <w:shd w:val="clear" w:color="auto" w:fill="auto"/>
                  <w:vAlign w:val="center"/>
                </w:tcPr>
                <w:p w14:paraId="58DF6ECC">
                  <w:pPr>
                    <w:snapToGrid w:val="0"/>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相符</w:t>
                  </w:r>
                </w:p>
              </w:tc>
            </w:tr>
            <w:tr w14:paraId="63D1CCB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07C78ECE">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厂容厂貌</w:t>
                  </w:r>
                </w:p>
              </w:tc>
              <w:tc>
                <w:tcPr>
                  <w:tcW w:w="3380" w:type="dxa"/>
                  <w:shd w:val="clear" w:color="auto" w:fill="auto"/>
                  <w:vAlign w:val="center"/>
                </w:tcPr>
                <w:p w14:paraId="12587932">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1.厂区内道路、原辅材料和燃料堆场等路面应硬化；</w:t>
                  </w:r>
                </w:p>
                <w:p w14:paraId="19333ECF">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2.厂区内道路采取定期清扫、洒水等措施，保持清洁，路面无明显可见积尘；</w:t>
                  </w:r>
                </w:p>
                <w:p w14:paraId="233D2ADE">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3.其他未利用地优先绿化，或进行硬化，无成片裸露土地。</w:t>
                  </w:r>
                </w:p>
              </w:tc>
              <w:tc>
                <w:tcPr>
                  <w:tcW w:w="2983" w:type="dxa"/>
                  <w:vAlign w:val="center"/>
                </w:tcPr>
                <w:p w14:paraId="55B308B7">
                  <w:pPr>
                    <w:rPr>
                      <w:i w:val="0"/>
                      <w:iCs w:val="0"/>
                      <w:color w:val="000000" w:themeColor="text1"/>
                      <w:kern w:val="0"/>
                      <w:szCs w:val="21"/>
                      <w:highlight w:val="none"/>
                      <w:u w:val="none"/>
                      <w:lang w:bidi="ar"/>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1、项目</w:t>
                  </w:r>
                  <w:r>
                    <w:rPr>
                      <w:i w:val="0"/>
                      <w:iCs w:val="0"/>
                      <w:color w:val="000000" w:themeColor="text1"/>
                      <w:kern w:val="0"/>
                      <w:szCs w:val="21"/>
                      <w:highlight w:val="none"/>
                      <w:u w:val="none"/>
                      <w:lang w:bidi="ar"/>
                      <w14:textFill>
                        <w14:solidFill>
                          <w14:schemeClr w14:val="tx1"/>
                        </w14:solidFill>
                      </w14:textFill>
                    </w:rPr>
                    <w:t>厂区内道路、原辅材料堆场等路面应硬化；</w:t>
                  </w:r>
                </w:p>
                <w:p w14:paraId="4AA3EF4A">
                  <w:pPr>
                    <w:rPr>
                      <w:i w:val="0"/>
                      <w:iCs w:val="0"/>
                      <w:color w:val="000000" w:themeColor="text1"/>
                      <w:kern w:val="0"/>
                      <w:szCs w:val="21"/>
                      <w:highlight w:val="none"/>
                      <w:u w:val="none"/>
                      <w:lang w:bidi="ar"/>
                      <w14:textFill>
                        <w14:solidFill>
                          <w14:schemeClr w14:val="tx1"/>
                        </w14:solidFill>
                      </w14:textFill>
                    </w:rPr>
                  </w:pPr>
                  <w:r>
                    <w:rPr>
                      <w:rFonts w:hint="eastAsia"/>
                      <w:i w:val="0"/>
                      <w:iCs w:val="0"/>
                      <w:color w:val="000000" w:themeColor="text1"/>
                      <w:kern w:val="0"/>
                      <w:szCs w:val="21"/>
                      <w:highlight w:val="none"/>
                      <w:u w:val="none"/>
                      <w:lang w:val="en-US" w:eastAsia="zh-CN" w:bidi="ar"/>
                      <w14:textFill>
                        <w14:solidFill>
                          <w14:schemeClr w14:val="tx1"/>
                        </w14:solidFill>
                      </w14:textFill>
                    </w:rPr>
                    <w:t>2、</w:t>
                  </w:r>
                  <w:r>
                    <w:rPr>
                      <w:i w:val="0"/>
                      <w:iCs w:val="0"/>
                      <w:color w:val="000000" w:themeColor="text1"/>
                      <w:kern w:val="0"/>
                      <w:szCs w:val="21"/>
                      <w:highlight w:val="none"/>
                      <w:u w:val="none"/>
                      <w:lang w:bidi="ar"/>
                      <w14:textFill>
                        <w14:solidFill>
                          <w14:schemeClr w14:val="tx1"/>
                        </w14:solidFill>
                      </w14:textFill>
                    </w:rPr>
                    <w:t>厂区内道路采取定期清扫、洒水等措施，保持清洁，路面无明显可见积尘；</w:t>
                  </w:r>
                </w:p>
                <w:p w14:paraId="6BB08329">
                  <w:pPr>
                    <w:rPr>
                      <w:color w:val="000000" w:themeColor="text1"/>
                      <w:szCs w:val="21"/>
                      <w14:textFill>
                        <w14:solidFill>
                          <w14:schemeClr w14:val="tx1"/>
                        </w14:solidFill>
                      </w14:textFill>
                    </w:rPr>
                  </w:pPr>
                  <w:r>
                    <w:rPr>
                      <w:rFonts w:hint="eastAsia"/>
                      <w:i w:val="0"/>
                      <w:iCs w:val="0"/>
                      <w:color w:val="000000" w:themeColor="text1"/>
                      <w:kern w:val="0"/>
                      <w:szCs w:val="21"/>
                      <w:highlight w:val="none"/>
                      <w:u w:val="none"/>
                      <w:lang w:val="en-US" w:eastAsia="zh-CN" w:bidi="ar"/>
                      <w14:textFill>
                        <w14:solidFill>
                          <w14:schemeClr w14:val="tx1"/>
                        </w14:solidFill>
                      </w14:textFill>
                    </w:rPr>
                    <w:t>3、本项目不涉及。</w:t>
                  </w:r>
                </w:p>
              </w:tc>
              <w:tc>
                <w:tcPr>
                  <w:tcW w:w="878" w:type="dxa"/>
                  <w:vAlign w:val="center"/>
                </w:tcPr>
                <w:p w14:paraId="39DF5CF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3D2FA04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6" w:type="dxa"/>
                  <w:vMerge w:val="restart"/>
                  <w:shd w:val="clear" w:color="auto" w:fill="auto"/>
                  <w:vAlign w:val="center"/>
                </w:tcPr>
                <w:p w14:paraId="2217EEF3">
                  <w:pPr>
                    <w:widowControl/>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环境</w:t>
                  </w:r>
                  <w:r>
                    <w:rPr>
                      <w:rFonts w:hint="eastAsia"/>
                      <w:color w:val="000000" w:themeColor="text1"/>
                      <w:kern w:val="0"/>
                      <w:szCs w:val="21"/>
                      <w14:textFill>
                        <w14:solidFill>
                          <w14:schemeClr w14:val="tx1"/>
                        </w14:solidFill>
                      </w14:textFill>
                    </w:rPr>
                    <w:t>管理水平</w:t>
                  </w:r>
                </w:p>
              </w:tc>
              <w:tc>
                <w:tcPr>
                  <w:tcW w:w="429" w:type="dxa"/>
                  <w:shd w:val="clear" w:color="auto" w:fill="auto"/>
                  <w:vAlign w:val="center"/>
                </w:tcPr>
                <w:p w14:paraId="2281C5C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环保档案</w:t>
                  </w:r>
                </w:p>
              </w:tc>
              <w:tc>
                <w:tcPr>
                  <w:tcW w:w="3380" w:type="dxa"/>
                  <w:shd w:val="clear" w:color="auto" w:fill="auto"/>
                  <w:vAlign w:val="center"/>
                </w:tcPr>
                <w:p w14:paraId="2A7F1D45">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1.环评批复文件和竣工验收文件/现状评估文件；</w:t>
                  </w:r>
                </w:p>
                <w:p w14:paraId="64E0E627">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2.废气治理设施运行管理规程；</w:t>
                  </w:r>
                </w:p>
                <w:p w14:paraId="6A1A43B8">
                  <w:pPr>
                    <w:rPr>
                      <w:color w:val="000000" w:themeColor="text1"/>
                      <w:szCs w:val="21"/>
                      <w14:textFill>
                        <w14:solidFill>
                          <w14:schemeClr w14:val="tx1"/>
                        </w14:solidFill>
                      </w14:textFill>
                    </w:rPr>
                  </w:pPr>
                  <w:r>
                    <w:rPr>
                      <w:color w:val="000000" w:themeColor="text1"/>
                      <w:szCs w:val="21"/>
                      <w14:textFill>
                        <w14:solidFill>
                          <w14:schemeClr w14:val="tx1"/>
                        </w14:solidFill>
                      </w14:textFill>
                    </w:rPr>
                    <w:t>3.一年内废气监测报告；</w:t>
                  </w:r>
                </w:p>
                <w:p w14:paraId="1B61A8E9">
                  <w:pPr>
                    <w:rPr>
                      <w:color w:val="000000" w:themeColor="text1"/>
                      <w:szCs w:val="21"/>
                      <w14:textFill>
                        <w14:solidFill>
                          <w14:schemeClr w14:val="tx1"/>
                        </w14:solidFill>
                      </w14:textFill>
                    </w:rPr>
                  </w:pPr>
                  <w:r>
                    <w:rPr>
                      <w:color w:val="000000" w:themeColor="text1"/>
                      <w:szCs w:val="21"/>
                      <w14:textFill>
                        <w14:solidFill>
                          <w14:schemeClr w14:val="tx1"/>
                        </w14:solidFill>
                      </w14:textFill>
                    </w:rPr>
                    <w:t>4.国家版排污许可证，并按要求开展自行监测和信息披露，规范设置废弃排放口标志牌、二维码标识和采样平台、采样孔。</w:t>
                  </w:r>
                </w:p>
              </w:tc>
              <w:tc>
                <w:tcPr>
                  <w:tcW w:w="2983" w:type="dxa"/>
                  <w:shd w:val="clear" w:color="auto" w:fill="auto"/>
                  <w:vAlign w:val="center"/>
                </w:tcPr>
                <w:p w14:paraId="0C99CCB0">
                  <w:pPr>
                    <w:pStyle w:val="36"/>
                    <w:spacing w:line="240" w:lineRule="auto"/>
                    <w:ind w:firstLine="0" w:firstLineChars="0"/>
                    <w:jc w:val="both"/>
                    <w:outlineLvl w:val="9"/>
                    <w:rPr>
                      <w:color w:val="000000" w:themeColor="text1"/>
                      <w:sz w:val="21"/>
                      <w:szCs w:val="21"/>
                      <w14:textFill>
                        <w14:solidFill>
                          <w14:schemeClr w14:val="tx1"/>
                        </w14:solidFill>
                      </w14:textFill>
                    </w:rPr>
                  </w:pPr>
                  <w:bookmarkStart w:id="4" w:name="_Toc11755"/>
                  <w:r>
                    <w:rPr>
                      <w:color w:val="000000" w:themeColor="text1"/>
                      <w:sz w:val="21"/>
                      <w:szCs w:val="21"/>
                      <w14:textFill>
                        <w14:solidFill>
                          <w14:schemeClr w14:val="tx1"/>
                        </w14:solidFill>
                      </w14:textFill>
                    </w:rPr>
                    <w:t>项目正在进行环境影响评价，取得批复后进行填报国家版排污许可证，并完善环境管理制度、废气治理设施运行管理规程。并按要求每年进行废气例行监测</w:t>
                  </w:r>
                  <w:bookmarkEnd w:id="4"/>
                </w:p>
              </w:tc>
              <w:tc>
                <w:tcPr>
                  <w:tcW w:w="878" w:type="dxa"/>
                  <w:vAlign w:val="center"/>
                </w:tcPr>
                <w:p w14:paraId="29FBD76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2EF0B6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6" w:type="dxa"/>
                  <w:vMerge w:val="continue"/>
                  <w:shd w:val="clear" w:color="auto" w:fill="auto"/>
                  <w:vAlign w:val="center"/>
                </w:tcPr>
                <w:p w14:paraId="4A072EBC">
                  <w:pPr>
                    <w:widowControl/>
                    <w:jc w:val="center"/>
                    <w:rPr>
                      <w:color w:val="000000" w:themeColor="text1"/>
                      <w:kern w:val="0"/>
                      <w:szCs w:val="21"/>
                      <w14:textFill>
                        <w14:solidFill>
                          <w14:schemeClr w14:val="tx1"/>
                        </w14:solidFill>
                      </w14:textFill>
                    </w:rPr>
                  </w:pPr>
                </w:p>
              </w:tc>
              <w:tc>
                <w:tcPr>
                  <w:tcW w:w="429" w:type="dxa"/>
                  <w:shd w:val="clear" w:color="auto" w:fill="auto"/>
                  <w:vAlign w:val="center"/>
                </w:tcPr>
                <w:p w14:paraId="2797D26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台账记录</w:t>
                  </w:r>
                </w:p>
              </w:tc>
              <w:tc>
                <w:tcPr>
                  <w:tcW w:w="3380" w:type="dxa"/>
                  <w:shd w:val="clear" w:color="auto" w:fill="auto"/>
                  <w:vAlign w:val="center"/>
                </w:tcPr>
                <w:p w14:paraId="59DC7906">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1.生产设施运行管理信息（生产时间、运行负荷、产品产量等）；</w:t>
                  </w:r>
                </w:p>
                <w:p w14:paraId="26FA79C7">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2.废气污染治理设施运行管理信息（除尘滤料等更换量和时间）；</w:t>
                  </w:r>
                </w:p>
                <w:p w14:paraId="1FA37DCA">
                  <w:pPr>
                    <w:rPr>
                      <w:color w:val="000000" w:themeColor="text1"/>
                      <w:szCs w:val="21"/>
                      <w14:textFill>
                        <w14:solidFill>
                          <w14:schemeClr w14:val="tx1"/>
                        </w14:solidFill>
                      </w14:textFill>
                    </w:rPr>
                  </w:pPr>
                  <w:r>
                    <w:rPr>
                      <w:color w:val="000000" w:themeColor="text1"/>
                      <w:szCs w:val="21"/>
                      <w14:textFill>
                        <w14:solidFill>
                          <w14:schemeClr w14:val="tx1"/>
                        </w14:solidFill>
                      </w14:textFill>
                    </w:rPr>
                    <w:t>3.监测记录信息（主要污染排放口废气排放记录（手工监测和在线监测））等；</w:t>
                  </w:r>
                </w:p>
                <w:p w14:paraId="52A51DD2">
                  <w:pPr>
                    <w:rPr>
                      <w:color w:val="000000" w:themeColor="text1"/>
                      <w:szCs w:val="21"/>
                      <w14:textFill>
                        <w14:solidFill>
                          <w14:schemeClr w14:val="tx1"/>
                        </w14:solidFill>
                      </w14:textFill>
                    </w:rPr>
                  </w:pPr>
                  <w:r>
                    <w:rPr>
                      <w:color w:val="000000" w:themeColor="text1"/>
                      <w:szCs w:val="21"/>
                      <w14:textFill>
                        <w14:solidFill>
                          <w14:schemeClr w14:val="tx1"/>
                        </w14:solidFill>
                      </w14:textFill>
                    </w:rPr>
                    <w:t>4.主要原辅材料、燃料消耗记录；</w:t>
                  </w:r>
                </w:p>
                <w:p w14:paraId="75CE73C2">
                  <w:pPr>
                    <w:rPr>
                      <w:color w:val="000000" w:themeColor="text1"/>
                      <w:szCs w:val="21"/>
                      <w14:textFill>
                        <w14:solidFill>
                          <w14:schemeClr w14:val="tx1"/>
                        </w14:solidFill>
                      </w14:textFill>
                    </w:rPr>
                  </w:pPr>
                  <w:r>
                    <w:rPr>
                      <w:color w:val="000000" w:themeColor="text1"/>
                      <w:szCs w:val="21"/>
                      <w14:textFill>
                        <w14:solidFill>
                          <w14:schemeClr w14:val="tx1"/>
                        </w14:solidFill>
                      </w14:textFill>
                    </w:rPr>
                    <w:t>5.电消耗记录。</w:t>
                  </w:r>
                </w:p>
              </w:tc>
              <w:tc>
                <w:tcPr>
                  <w:tcW w:w="2983" w:type="dxa"/>
                  <w:shd w:val="clear" w:color="auto" w:fill="auto"/>
                  <w:vAlign w:val="center"/>
                </w:tcPr>
                <w:p w14:paraId="2237FFEE">
                  <w:pPr>
                    <w:pStyle w:val="36"/>
                    <w:spacing w:line="240" w:lineRule="auto"/>
                    <w:ind w:firstLine="0" w:firstLineChars="0"/>
                    <w:jc w:val="both"/>
                    <w:outlineLvl w:val="9"/>
                    <w:rPr>
                      <w:color w:val="000000" w:themeColor="text1"/>
                      <w:sz w:val="21"/>
                      <w:szCs w:val="21"/>
                      <w14:textFill>
                        <w14:solidFill>
                          <w14:schemeClr w14:val="tx1"/>
                        </w14:solidFill>
                      </w14:textFill>
                    </w:rPr>
                  </w:pPr>
                  <w:bookmarkStart w:id="5" w:name="_Toc13398"/>
                  <w:r>
                    <w:rPr>
                      <w:color w:val="000000" w:themeColor="text1"/>
                      <w:sz w:val="21"/>
                      <w:szCs w:val="21"/>
                      <w14:textFill>
                        <w14:solidFill>
                          <w14:schemeClr w14:val="tx1"/>
                        </w14:solidFill>
                      </w14:textFill>
                    </w:rPr>
                    <w:t>项目建成后生产过程记录生产设施运行管理信息，废气污染治理设施运行管理信息，监测记录信息，主要原辅材料记录，固废危废暂存、处理记录。</w:t>
                  </w:r>
                  <w:bookmarkEnd w:id="5"/>
                </w:p>
              </w:tc>
              <w:tc>
                <w:tcPr>
                  <w:tcW w:w="878" w:type="dxa"/>
                  <w:vAlign w:val="center"/>
                </w:tcPr>
                <w:p w14:paraId="1ED2591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754DC0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6" w:type="dxa"/>
                  <w:vMerge w:val="continue"/>
                  <w:shd w:val="clear" w:color="auto" w:fill="auto"/>
                  <w:vAlign w:val="center"/>
                </w:tcPr>
                <w:p w14:paraId="458F038C">
                  <w:pPr>
                    <w:widowControl/>
                    <w:jc w:val="center"/>
                    <w:rPr>
                      <w:color w:val="000000" w:themeColor="text1"/>
                      <w:kern w:val="0"/>
                      <w:szCs w:val="21"/>
                      <w14:textFill>
                        <w14:solidFill>
                          <w14:schemeClr w14:val="tx1"/>
                        </w14:solidFill>
                      </w14:textFill>
                    </w:rPr>
                  </w:pPr>
                </w:p>
              </w:tc>
              <w:tc>
                <w:tcPr>
                  <w:tcW w:w="429" w:type="dxa"/>
                  <w:shd w:val="clear" w:color="auto" w:fill="auto"/>
                  <w:vAlign w:val="center"/>
                </w:tcPr>
                <w:p w14:paraId="18D4356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人员配置</w:t>
                  </w:r>
                </w:p>
              </w:tc>
              <w:tc>
                <w:tcPr>
                  <w:tcW w:w="3380" w:type="dxa"/>
                  <w:shd w:val="clear" w:color="auto" w:fill="auto"/>
                  <w:vAlign w:val="center"/>
                </w:tcPr>
                <w:p w14:paraId="2AE55742">
                  <w:pPr>
                    <w:rPr>
                      <w:color w:val="000000" w:themeColor="text1"/>
                      <w:szCs w:val="21"/>
                      <w14:textFill>
                        <w14:solidFill>
                          <w14:schemeClr w14:val="tx1"/>
                        </w14:solidFill>
                      </w14:textFill>
                    </w:rPr>
                  </w:pPr>
                  <w:r>
                    <w:rPr>
                      <w:color w:val="000000" w:themeColor="text1"/>
                      <w:szCs w:val="21"/>
                      <w14:textFill>
                        <w14:solidFill>
                          <w14:schemeClr w14:val="tx1"/>
                        </w14:solidFill>
                      </w14:textFill>
                    </w:rPr>
                    <w:t>配备专环保人员，并具备相应的环境管理能力（学历、培训、从业经验等）。</w:t>
                  </w:r>
                </w:p>
              </w:tc>
              <w:tc>
                <w:tcPr>
                  <w:tcW w:w="2983" w:type="dxa"/>
                  <w:shd w:val="clear" w:color="auto" w:fill="auto"/>
                  <w:vAlign w:val="center"/>
                </w:tcPr>
                <w:p w14:paraId="0C76F595">
                  <w:pPr>
                    <w:widowControl/>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项目建成后按要求</w:t>
                  </w:r>
                  <w:r>
                    <w:rPr>
                      <w:color w:val="000000" w:themeColor="text1"/>
                      <w:kern w:val="0"/>
                      <w:szCs w:val="21"/>
                      <w14:textFill>
                        <w14:solidFill>
                          <w14:schemeClr w14:val="tx1"/>
                        </w14:solidFill>
                      </w14:textFill>
                    </w:rPr>
                    <w:t>配备专职环保人员，并具备相应的环境管理能力（学历、培训、从业经验等）。</w:t>
                  </w:r>
                </w:p>
              </w:tc>
              <w:tc>
                <w:tcPr>
                  <w:tcW w:w="878" w:type="dxa"/>
                  <w:vAlign w:val="center"/>
                </w:tcPr>
                <w:p w14:paraId="25D3A10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6E5DA1E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66AB2E4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运输方式</w:t>
                  </w:r>
                </w:p>
              </w:tc>
              <w:tc>
                <w:tcPr>
                  <w:tcW w:w="3380" w:type="dxa"/>
                  <w:shd w:val="clear" w:color="auto" w:fill="auto"/>
                  <w:vAlign w:val="center"/>
                </w:tcPr>
                <w:p w14:paraId="02B01E77">
                  <w:pPr>
                    <w:rPr>
                      <w:color w:val="000000" w:themeColor="text1"/>
                      <w:szCs w:val="21"/>
                      <w14:textFill>
                        <w14:solidFill>
                          <w14:schemeClr w14:val="tx1"/>
                        </w14:solidFill>
                      </w14:textFill>
                    </w:rPr>
                  </w:pPr>
                  <w:r>
                    <w:rPr>
                      <w:color w:val="000000" w:themeColor="text1"/>
                      <w:szCs w:val="21"/>
                      <w14:textFill>
                        <w14:solidFill>
                          <w14:schemeClr w14:val="tx1"/>
                        </w14:solidFill>
                      </w14:textFill>
                    </w:rPr>
                    <w:t>1.物料、产品等公路运输全部使用国五及以上排放标准重型载货车辆（重型燃气车辆达到国六排放标准）或新能源车辆；</w:t>
                  </w:r>
                </w:p>
                <w:p w14:paraId="74BA7E2E">
                  <w:pPr>
                    <w:rPr>
                      <w:color w:val="000000" w:themeColor="text1"/>
                      <w:szCs w:val="21"/>
                      <w14:textFill>
                        <w14:solidFill>
                          <w14:schemeClr w14:val="tx1"/>
                        </w14:solidFill>
                      </w14:textFill>
                    </w:rPr>
                  </w:pPr>
                  <w:r>
                    <w:rPr>
                      <w:color w:val="000000" w:themeColor="text1"/>
                      <w:szCs w:val="21"/>
                      <w14:textFill>
                        <w14:solidFill>
                          <w14:schemeClr w14:val="tx1"/>
                        </w14:solidFill>
                      </w14:textFill>
                    </w:rPr>
                    <w:t>2.厂内运输全部使用国五及以上排放标准（重型燃气车辆达到国六排放标准）或使用新能源车辆；</w:t>
                  </w:r>
                </w:p>
                <w:p w14:paraId="4F1AB3D1">
                  <w:pPr>
                    <w:rPr>
                      <w:color w:val="000000" w:themeColor="text1"/>
                      <w:szCs w:val="21"/>
                      <w14:textFill>
                        <w14:solidFill>
                          <w14:schemeClr w14:val="tx1"/>
                        </w14:solidFill>
                      </w14:textFill>
                    </w:rPr>
                  </w:pPr>
                  <w:r>
                    <w:rPr>
                      <w:color w:val="000000" w:themeColor="text1"/>
                      <w:szCs w:val="21"/>
                      <w14:textFill>
                        <w14:solidFill>
                          <w14:schemeClr w14:val="tx1"/>
                        </w14:solidFill>
                      </w14:textFill>
                    </w:rPr>
                    <w:t>3.危险品及危废运输全部使用国五及以上排放标准（重型燃气车辆达到国六排放标准）或新能源车辆；</w:t>
                  </w:r>
                </w:p>
                <w:p w14:paraId="49B89F0F">
                  <w:pPr>
                    <w:rPr>
                      <w:color w:val="000000" w:themeColor="text1"/>
                      <w:szCs w:val="21"/>
                      <w14:textFill>
                        <w14:solidFill>
                          <w14:schemeClr w14:val="tx1"/>
                        </w14:solidFill>
                      </w14:textFill>
                    </w:rPr>
                  </w:pPr>
                  <w:r>
                    <w:rPr>
                      <w:color w:val="000000" w:themeColor="text1"/>
                      <w:szCs w:val="21"/>
                      <w14:textFill>
                        <w14:solidFill>
                          <w14:schemeClr w14:val="tx1"/>
                        </w14:solidFill>
                      </w14:textFill>
                    </w:rPr>
                    <w:t>4.厂内非道路移动机械全部使用国三及以上排放标准或使用新能源（电动、氢能）机械</w:t>
                  </w:r>
                </w:p>
              </w:tc>
              <w:tc>
                <w:tcPr>
                  <w:tcW w:w="2983" w:type="dxa"/>
                  <w:vAlign w:val="center"/>
                </w:tcPr>
                <w:p w14:paraId="5B609401">
                  <w:pPr>
                    <w:rPr>
                      <w:color w:val="000000" w:themeColor="text1"/>
                      <w:szCs w:val="21"/>
                      <w14:textFill>
                        <w14:solidFill>
                          <w14:schemeClr w14:val="tx1"/>
                        </w14:solidFill>
                      </w14:textFill>
                    </w:rPr>
                  </w:pPr>
                </w:p>
                <w:p w14:paraId="5CE7409E">
                  <w:pPr>
                    <w:rPr>
                      <w:i w:val="0"/>
                      <w:iCs w:val="0"/>
                      <w:color w:val="000000" w:themeColor="text1"/>
                      <w:szCs w:val="21"/>
                      <w:highlight w:val="none"/>
                      <w:u w:val="none"/>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1、项目</w:t>
                  </w:r>
                  <w:r>
                    <w:rPr>
                      <w:i w:val="0"/>
                      <w:iCs w:val="0"/>
                      <w:color w:val="000000" w:themeColor="text1"/>
                      <w:szCs w:val="21"/>
                      <w:highlight w:val="none"/>
                      <w:u w:val="none"/>
                      <w14:textFill>
                        <w14:solidFill>
                          <w14:schemeClr w14:val="tx1"/>
                        </w14:solidFill>
                      </w14:textFill>
                    </w:rPr>
                    <w:t>物料、产品等公路运输全部使用国五及以上排放标准重型载货车辆（重型燃气车辆达到国六排放标准）或新能源车辆；</w:t>
                  </w:r>
                </w:p>
                <w:p w14:paraId="33C8B960">
                  <w:pPr>
                    <w:rPr>
                      <w:rFonts w:hint="eastAsia"/>
                      <w:i w:val="0"/>
                      <w:iCs w:val="0"/>
                      <w:color w:val="000000" w:themeColor="text1"/>
                      <w:szCs w:val="21"/>
                      <w:highlight w:val="none"/>
                      <w:u w:val="none"/>
                      <w:lang w:val="en-US" w:eastAsia="zh-CN"/>
                      <w14:textFill>
                        <w14:solidFill>
                          <w14:schemeClr w14:val="tx1"/>
                        </w14:solidFill>
                      </w14:textFill>
                    </w:rPr>
                  </w:pPr>
                  <w:r>
                    <w:rPr>
                      <w:rFonts w:hint="eastAsia"/>
                      <w:i w:val="0"/>
                      <w:iCs w:val="0"/>
                      <w:color w:val="000000" w:themeColor="text1"/>
                      <w:szCs w:val="21"/>
                      <w:highlight w:val="none"/>
                      <w:u w:val="none"/>
                      <w:lang w:val="en-US" w:eastAsia="zh-CN"/>
                      <w14:textFill>
                        <w14:solidFill>
                          <w14:schemeClr w14:val="tx1"/>
                        </w14:solidFill>
                      </w14:textFill>
                    </w:rPr>
                    <w:t>2、项目厂区内无运输车辆；</w:t>
                  </w:r>
                </w:p>
                <w:p w14:paraId="7EB281F0">
                  <w:pPr>
                    <w:rPr>
                      <w:i w:val="0"/>
                      <w:iCs w:val="0"/>
                      <w:color w:val="000000" w:themeColor="text1"/>
                      <w:szCs w:val="21"/>
                      <w:highlight w:val="none"/>
                      <w14:textFill>
                        <w14:solidFill>
                          <w14:schemeClr w14:val="tx1"/>
                        </w14:solidFill>
                      </w14:textFill>
                    </w:rPr>
                  </w:pPr>
                  <w:r>
                    <w:rPr>
                      <w:rFonts w:hint="eastAsia"/>
                      <w:i w:val="0"/>
                      <w:iCs w:val="0"/>
                      <w:color w:val="000000" w:themeColor="text1"/>
                      <w:szCs w:val="21"/>
                      <w:highlight w:val="none"/>
                      <w:u w:val="none"/>
                      <w:lang w:val="en-US" w:eastAsia="zh-CN"/>
                      <w14:textFill>
                        <w14:solidFill>
                          <w14:schemeClr w14:val="tx1"/>
                        </w14:solidFill>
                      </w14:textFill>
                    </w:rPr>
                    <w:t>3、</w:t>
                  </w:r>
                  <w:r>
                    <w:rPr>
                      <w:i w:val="0"/>
                      <w:iCs w:val="0"/>
                      <w:color w:val="000000" w:themeColor="text1"/>
                      <w:szCs w:val="21"/>
                      <w:highlight w:val="none"/>
                      <w14:textFill>
                        <w14:solidFill>
                          <w14:schemeClr w14:val="tx1"/>
                        </w14:solidFill>
                      </w14:textFill>
                    </w:rPr>
                    <w:t>项目营运期危险废物出入厂区运输，委托有危险废物运输资质的单位，委托期间约定运输车辆使用国五及以上排放标准（重型燃气车辆达到国六排放标准）或新能源车辆；</w:t>
                  </w:r>
                </w:p>
                <w:p w14:paraId="4FA3C7D0">
                  <w:pPr>
                    <w:rPr>
                      <w:color w:val="000000" w:themeColor="text1"/>
                      <w:szCs w:val="21"/>
                      <w14:textFill>
                        <w14:solidFill>
                          <w14:schemeClr w14:val="tx1"/>
                        </w14:solidFill>
                      </w14:textFill>
                    </w:rPr>
                  </w:pPr>
                  <w:r>
                    <w:rPr>
                      <w:rFonts w:hint="eastAsia"/>
                      <w:i w:val="0"/>
                      <w:iCs w:val="0"/>
                      <w:color w:val="000000" w:themeColor="text1"/>
                      <w:szCs w:val="21"/>
                      <w:highlight w:val="none"/>
                      <w:lang w:val="en-US" w:eastAsia="zh-CN"/>
                      <w14:textFill>
                        <w14:solidFill>
                          <w14:schemeClr w14:val="tx1"/>
                        </w14:solidFill>
                      </w14:textFill>
                    </w:rPr>
                    <w:t>4、厂内非道路移动机械全部使用国三及以上排放标准或使用新能源（电动、氢能）机械</w:t>
                  </w:r>
                  <w:r>
                    <w:rPr>
                      <w:i w:val="0"/>
                      <w:iCs w:val="0"/>
                      <w:color w:val="000000" w:themeColor="text1"/>
                      <w:szCs w:val="21"/>
                      <w:highlight w:val="none"/>
                      <w14:textFill>
                        <w14:solidFill>
                          <w14:schemeClr w14:val="tx1"/>
                        </w14:solidFill>
                      </w14:textFill>
                    </w:rPr>
                    <w:t>。</w:t>
                  </w:r>
                </w:p>
              </w:tc>
              <w:tc>
                <w:tcPr>
                  <w:tcW w:w="878" w:type="dxa"/>
                  <w:vAlign w:val="center"/>
                </w:tcPr>
                <w:p w14:paraId="2BDFF2B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673A55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1CA37D7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运输监管</w:t>
                  </w:r>
                </w:p>
              </w:tc>
              <w:tc>
                <w:tcPr>
                  <w:tcW w:w="3380" w:type="dxa"/>
                  <w:shd w:val="clear" w:color="auto" w:fill="auto"/>
                  <w:vAlign w:val="center"/>
                </w:tcPr>
                <w:p w14:paraId="4D18D28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2983" w:type="dxa"/>
                  <w:vAlign w:val="center"/>
                </w:tcPr>
                <w:p w14:paraId="2B301390">
                  <w:pPr>
                    <w:rPr>
                      <w:color w:val="000000" w:themeColor="text1"/>
                      <w:szCs w:val="21"/>
                      <w14:textFill>
                        <w14:solidFill>
                          <w14:schemeClr w14:val="tx1"/>
                        </w14:solidFill>
                      </w14:textFill>
                    </w:rPr>
                  </w:pPr>
                </w:p>
                <w:p w14:paraId="78FFD66D">
                  <w:pPr>
                    <w:rPr>
                      <w:color w:val="000000" w:themeColor="text1"/>
                      <w:szCs w:val="21"/>
                      <w14:textFill>
                        <w14:solidFill>
                          <w14:schemeClr w14:val="tx1"/>
                        </w14:solidFill>
                      </w14:textFill>
                    </w:rPr>
                  </w:pPr>
                  <w:r>
                    <w:rPr>
                      <w:color w:val="000000" w:themeColor="text1"/>
                      <w:szCs w:val="21"/>
                      <w14:textFill>
                        <w14:solidFill>
                          <w14:schemeClr w14:val="tx1"/>
                        </w14:solidFill>
                      </w14:textFill>
                    </w:rPr>
                    <w:t>评价建议企业参照《重污染天气重点行业移动源应急管理技术指南》建立门禁视频监控系统和电子台账。安装高清视频监控系统并能保留数据6个月以上。</w:t>
                  </w:r>
                </w:p>
              </w:tc>
              <w:tc>
                <w:tcPr>
                  <w:tcW w:w="878" w:type="dxa"/>
                  <w:vAlign w:val="center"/>
                </w:tcPr>
                <w:p w14:paraId="53D2073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bl>
          <w:p w14:paraId="4E979695">
            <w:pPr>
              <w:spacing w:line="360" w:lineRule="auto"/>
              <w:jc w:val="center"/>
              <w:rPr>
                <w:color w:val="000000" w:themeColor="text1"/>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14:textFill>
                  <w14:solidFill>
                    <w14:schemeClr w14:val="tx1"/>
                  </w14:solidFill>
                </w14:textFill>
              </w:rPr>
              <w:t>7</w:t>
            </w:r>
            <w:r>
              <w:rPr>
                <w:b/>
                <w:color w:val="000000" w:themeColor="text1"/>
                <w:sz w:val="24"/>
                <w14:textFill>
                  <w14:solidFill>
                    <w14:schemeClr w14:val="tx1"/>
                  </w14:solidFill>
                </w14:textFill>
              </w:rPr>
              <w:t xml:space="preserve">  项目</w:t>
            </w:r>
            <w:r>
              <w:rPr>
                <w:rFonts w:hint="eastAsia"/>
                <w:b/>
                <w:color w:val="000000" w:themeColor="text1"/>
                <w:sz w:val="24"/>
                <w14:textFill>
                  <w14:solidFill>
                    <w14:schemeClr w14:val="tx1"/>
                  </w14:solidFill>
                </w14:textFill>
              </w:rPr>
              <w:t>与涉锅炉/炉窑企业绩效分级A级企业指标</w:t>
            </w:r>
            <w:r>
              <w:rPr>
                <w:b/>
                <w:color w:val="000000" w:themeColor="text1"/>
                <w:sz w:val="24"/>
                <w14:textFill>
                  <w14:solidFill>
                    <w14:schemeClr w14:val="tx1"/>
                  </w14:solidFill>
                </w14:textFill>
              </w:rPr>
              <w:t>相符性分析</w:t>
            </w:r>
            <w:r>
              <w:rPr>
                <w:rFonts w:hint="eastAsia"/>
                <w:b/>
                <w:color w:val="000000" w:themeColor="text1"/>
                <w:sz w:val="24"/>
                <w14:textFill>
                  <w14:solidFill>
                    <w14:schemeClr w14:val="tx1"/>
                  </w14:solidFill>
                </w14:textFill>
              </w:rPr>
              <w:t>一览</w:t>
            </w:r>
            <w:r>
              <w:rPr>
                <w:b/>
                <w:color w:val="000000" w:themeColor="text1"/>
                <w:sz w:val="24"/>
                <w14:textFill>
                  <w14:solidFill>
                    <w14:schemeClr w14:val="tx1"/>
                  </w14:solidFill>
                </w14:textFill>
              </w:rPr>
              <w:t>表</w:t>
            </w:r>
          </w:p>
          <w:tbl>
            <w:tblPr>
              <w:tblStyle w:val="25"/>
              <w:tblW w:w="495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550"/>
              <w:gridCol w:w="636"/>
              <w:gridCol w:w="3286"/>
              <w:gridCol w:w="2906"/>
              <w:gridCol w:w="858"/>
            </w:tblGrid>
            <w:tr w14:paraId="3A1271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11F2D56F">
                  <w:pPr>
                    <w:pStyle w:val="36"/>
                    <w:spacing w:line="240" w:lineRule="auto"/>
                    <w:ind w:firstLine="0" w:firstLineChars="0"/>
                    <w:textAlignment w:val="baseline"/>
                    <w:outlineLvl w:val="9"/>
                    <w:rPr>
                      <w:color w:val="000000" w:themeColor="text1"/>
                      <w:sz w:val="21"/>
                      <w:szCs w:val="21"/>
                      <w14:textFill>
                        <w14:solidFill>
                          <w14:schemeClr w14:val="tx1"/>
                        </w14:solidFill>
                      </w14:textFill>
                    </w:rPr>
                  </w:pPr>
                  <w:bookmarkStart w:id="6" w:name="_Toc4048"/>
                  <w:r>
                    <w:rPr>
                      <w:rFonts w:hint="eastAsia"/>
                      <w:color w:val="000000" w:themeColor="text1"/>
                      <w:sz w:val="21"/>
                      <w:szCs w:val="21"/>
                      <w14:textFill>
                        <w14:solidFill>
                          <w14:schemeClr w14:val="tx1"/>
                        </w14:solidFill>
                      </w14:textFill>
                    </w:rPr>
                    <w:t>差异化指标</w:t>
                  </w:r>
                  <w:bookmarkEnd w:id="6"/>
                </w:p>
              </w:tc>
              <w:tc>
                <w:tcPr>
                  <w:tcW w:w="3379" w:type="dxa"/>
                  <w:shd w:val="clear" w:color="auto" w:fill="auto"/>
                  <w:vAlign w:val="center"/>
                </w:tcPr>
                <w:p w14:paraId="4BD528FD">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A级企业</w:t>
                  </w:r>
                </w:p>
              </w:tc>
              <w:tc>
                <w:tcPr>
                  <w:tcW w:w="2982" w:type="dxa"/>
                  <w:shd w:val="clear" w:color="auto" w:fill="auto"/>
                  <w:vAlign w:val="center"/>
                </w:tcPr>
                <w:p w14:paraId="50D7E4E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企业对标情况</w:t>
                  </w:r>
                </w:p>
              </w:tc>
              <w:tc>
                <w:tcPr>
                  <w:tcW w:w="878" w:type="dxa"/>
                  <w:shd w:val="clear" w:color="auto" w:fill="auto"/>
                  <w:vAlign w:val="center"/>
                </w:tcPr>
                <w:p w14:paraId="2E80B08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0978050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18FE1473">
                  <w:pPr>
                    <w:pStyle w:val="36"/>
                    <w:spacing w:line="240" w:lineRule="auto"/>
                    <w:ind w:firstLine="0" w:firstLineChars="0"/>
                    <w:textAlignment w:val="baseline"/>
                    <w:outlineLvl w:val="9"/>
                    <w:rPr>
                      <w:color w:val="000000" w:themeColor="text1"/>
                      <w:sz w:val="21"/>
                      <w:szCs w:val="21"/>
                      <w14:textFill>
                        <w14:solidFill>
                          <w14:schemeClr w14:val="tx1"/>
                        </w14:solidFill>
                      </w14:textFill>
                    </w:rPr>
                  </w:pPr>
                  <w:bookmarkStart w:id="7" w:name="_Toc15140"/>
                  <w:r>
                    <w:rPr>
                      <w:color w:val="000000" w:themeColor="text1"/>
                      <w:sz w:val="21"/>
                      <w:szCs w:val="21"/>
                      <w14:textFill>
                        <w14:solidFill>
                          <w14:schemeClr w14:val="tx1"/>
                        </w14:solidFill>
                      </w14:textFill>
                    </w:rPr>
                    <w:t>能源类型</w:t>
                  </w:r>
                  <w:bookmarkEnd w:id="7"/>
                </w:p>
              </w:tc>
              <w:tc>
                <w:tcPr>
                  <w:tcW w:w="3379" w:type="dxa"/>
                  <w:shd w:val="clear" w:color="auto" w:fill="auto"/>
                  <w:vAlign w:val="center"/>
                </w:tcPr>
                <w:p w14:paraId="772251C6">
                  <w:pPr>
                    <w:widowControl/>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以电、天然气为能源</w:t>
                  </w:r>
                </w:p>
              </w:tc>
              <w:tc>
                <w:tcPr>
                  <w:tcW w:w="2982" w:type="dxa"/>
                  <w:shd w:val="clear" w:color="auto" w:fill="auto"/>
                  <w:vAlign w:val="center"/>
                </w:tcPr>
                <w:p w14:paraId="196F0A7E">
                  <w:pPr>
                    <w:pStyle w:val="36"/>
                    <w:spacing w:line="240" w:lineRule="auto"/>
                    <w:ind w:firstLine="0" w:firstLineChars="0"/>
                    <w:textAlignment w:val="baseline"/>
                    <w:outlineLvl w:val="9"/>
                    <w:rPr>
                      <w:color w:val="000000" w:themeColor="text1"/>
                      <w:sz w:val="21"/>
                      <w:szCs w:val="21"/>
                      <w14:textFill>
                        <w14:solidFill>
                          <w14:schemeClr w14:val="tx1"/>
                        </w14:solidFill>
                      </w14:textFill>
                    </w:rPr>
                  </w:pPr>
                  <w:bookmarkStart w:id="8" w:name="_Toc8718"/>
                  <w:r>
                    <w:rPr>
                      <w:rFonts w:hint="eastAsia"/>
                      <w:color w:val="000000" w:themeColor="text1"/>
                      <w:sz w:val="21"/>
                      <w:szCs w:val="21"/>
                      <w14:textFill>
                        <w14:solidFill>
                          <w14:schemeClr w14:val="tx1"/>
                        </w14:solidFill>
                      </w14:textFill>
                    </w:rPr>
                    <w:t>本项目以电、天然气为能源</w:t>
                  </w:r>
                  <w:bookmarkEnd w:id="8"/>
                </w:p>
              </w:tc>
              <w:tc>
                <w:tcPr>
                  <w:tcW w:w="878" w:type="dxa"/>
                  <w:shd w:val="clear" w:color="auto" w:fill="auto"/>
                  <w:vAlign w:val="center"/>
                </w:tcPr>
                <w:p w14:paraId="137AF8F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3370A9C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370ECB50">
                  <w:pPr>
                    <w:pStyle w:val="36"/>
                    <w:spacing w:line="240" w:lineRule="auto"/>
                    <w:ind w:firstLine="0" w:firstLineChars="0"/>
                    <w:textAlignment w:val="baseline"/>
                    <w:outlineLvl w:val="9"/>
                    <w:rPr>
                      <w:color w:val="000000" w:themeColor="text1"/>
                      <w:sz w:val="21"/>
                      <w:szCs w:val="21"/>
                      <w14:textFill>
                        <w14:solidFill>
                          <w14:schemeClr w14:val="tx1"/>
                        </w14:solidFill>
                      </w14:textFill>
                    </w:rPr>
                  </w:pPr>
                  <w:bookmarkStart w:id="9" w:name="_Toc3081"/>
                  <w:r>
                    <w:rPr>
                      <w:color w:val="000000" w:themeColor="text1"/>
                      <w:sz w:val="21"/>
                      <w:szCs w:val="21"/>
                      <w14:textFill>
                        <w14:solidFill>
                          <w14:schemeClr w14:val="tx1"/>
                        </w14:solidFill>
                      </w14:textFill>
                    </w:rPr>
                    <w:t>生产工艺</w:t>
                  </w:r>
                  <w:bookmarkEnd w:id="9"/>
                </w:p>
              </w:tc>
              <w:tc>
                <w:tcPr>
                  <w:tcW w:w="3379" w:type="dxa"/>
                  <w:shd w:val="clear" w:color="auto" w:fill="auto"/>
                  <w:vAlign w:val="center"/>
                </w:tcPr>
                <w:p w14:paraId="71D8104A">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1.属于《产业结构调整指导目录（2024</w:t>
                  </w:r>
                  <w:r>
                    <w:rPr>
                      <w:rFonts w:hint="eastAsia"/>
                      <w:color w:val="000000" w:themeColor="text1"/>
                      <w:kern w:val="0"/>
                      <w:szCs w:val="21"/>
                      <w14:textFill>
                        <w14:solidFill>
                          <w14:schemeClr w14:val="tx1"/>
                        </w14:solidFill>
                      </w14:textFill>
                    </w:rPr>
                    <w:t>）》鼓励类和允许类；</w:t>
                  </w:r>
                </w:p>
                <w:p w14:paraId="1A84B717">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2.</w:t>
                  </w:r>
                  <w:r>
                    <w:rPr>
                      <w:rFonts w:hint="eastAsia"/>
                      <w:color w:val="000000" w:themeColor="text1"/>
                      <w:kern w:val="0"/>
                      <w:szCs w:val="21"/>
                      <w14:textFill>
                        <w14:solidFill>
                          <w14:schemeClr w14:val="tx1"/>
                        </w14:solidFill>
                      </w14:textFill>
                    </w:rPr>
                    <w:t>符合相关行业产业政策；</w:t>
                  </w:r>
                </w:p>
                <w:p w14:paraId="50B2AA79">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3.</w:t>
                  </w:r>
                  <w:r>
                    <w:rPr>
                      <w:rFonts w:hint="eastAsia"/>
                      <w:color w:val="000000" w:themeColor="text1"/>
                      <w:kern w:val="0"/>
                      <w:szCs w:val="21"/>
                      <w14:textFill>
                        <w14:solidFill>
                          <w14:schemeClr w14:val="tx1"/>
                        </w14:solidFill>
                      </w14:textFill>
                    </w:rPr>
                    <w:t>符合河南省相关政策要求；</w:t>
                  </w:r>
                </w:p>
                <w:p w14:paraId="6C9733C8">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4.</w:t>
                  </w:r>
                  <w:r>
                    <w:rPr>
                      <w:rFonts w:hint="eastAsia"/>
                      <w:color w:val="000000" w:themeColor="text1"/>
                      <w:kern w:val="0"/>
                      <w:szCs w:val="21"/>
                      <w14:textFill>
                        <w14:solidFill>
                          <w14:schemeClr w14:val="tx1"/>
                        </w14:solidFill>
                      </w14:textFill>
                    </w:rPr>
                    <w:t>符合市级规划。</w:t>
                  </w:r>
                </w:p>
              </w:tc>
              <w:tc>
                <w:tcPr>
                  <w:tcW w:w="2982" w:type="dxa"/>
                  <w:shd w:val="clear" w:color="auto" w:fill="auto"/>
                  <w:vAlign w:val="center"/>
                </w:tcPr>
                <w:p w14:paraId="6223D92C">
                  <w:pPr>
                    <w:pStyle w:val="36"/>
                    <w:spacing w:line="240" w:lineRule="auto"/>
                    <w:ind w:firstLine="0" w:firstLineChars="0"/>
                    <w:jc w:val="both"/>
                    <w:textAlignment w:val="baseline"/>
                    <w:outlineLvl w:val="9"/>
                    <w:rPr>
                      <w:color w:val="000000" w:themeColor="text1"/>
                      <w:sz w:val="21"/>
                      <w:szCs w:val="21"/>
                      <w14:textFill>
                        <w14:solidFill>
                          <w14:schemeClr w14:val="tx1"/>
                        </w14:solidFill>
                      </w14:textFill>
                    </w:rPr>
                  </w:pPr>
                  <w:bookmarkStart w:id="10" w:name="_Toc9629"/>
                  <w:r>
                    <w:rPr>
                      <w:rFonts w:hint="eastAsia"/>
                      <w:color w:val="000000" w:themeColor="text1"/>
                      <w:sz w:val="21"/>
                      <w:szCs w:val="21"/>
                      <w14:textFill>
                        <w14:solidFill>
                          <w14:schemeClr w14:val="tx1"/>
                        </w14:solidFill>
                      </w14:textFill>
                    </w:rPr>
                    <w:t>本项目属于《产业结构调整指导目录（2024年版）》中的允许类；且符合相关行业产业政策、河南省相关政策要求以及市级规划</w:t>
                  </w:r>
                  <w:bookmarkEnd w:id="10"/>
                </w:p>
              </w:tc>
              <w:tc>
                <w:tcPr>
                  <w:tcW w:w="878" w:type="dxa"/>
                  <w:shd w:val="clear" w:color="auto" w:fill="auto"/>
                  <w:vAlign w:val="center"/>
                </w:tcPr>
                <w:p w14:paraId="121248BC">
                  <w:pPr>
                    <w:jc w:val="center"/>
                    <w:textAlignment w:val="baseline"/>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相符</w:t>
                  </w:r>
                </w:p>
              </w:tc>
            </w:tr>
            <w:tr w14:paraId="2CA656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shd w:val="clear" w:color="auto" w:fill="auto"/>
                  <w:vAlign w:val="center"/>
                </w:tcPr>
                <w:p w14:paraId="792407FA">
                  <w:pPr>
                    <w:spacing w:before="60" w:after="60"/>
                    <w:jc w:val="center"/>
                    <w:outlineLvl w:val="9"/>
                    <w:rPr>
                      <w:color w:val="000000" w:themeColor="text1"/>
                      <w:szCs w:val="21"/>
                      <w14:textFill>
                        <w14:solidFill>
                          <w14:schemeClr w14:val="tx1"/>
                        </w14:solidFill>
                      </w14:textFill>
                    </w:rPr>
                  </w:pPr>
                  <w:bookmarkStart w:id="11" w:name="_Toc30531"/>
                  <w:r>
                    <w:rPr>
                      <w:color w:val="000000" w:themeColor="text1"/>
                      <w:szCs w:val="21"/>
                      <w14:textFill>
                        <w14:solidFill>
                          <w14:schemeClr w14:val="tx1"/>
                        </w14:solidFill>
                      </w14:textFill>
                    </w:rPr>
                    <w:t>污染治理技术</w:t>
                  </w:r>
                  <w:bookmarkEnd w:id="11"/>
                </w:p>
              </w:tc>
              <w:tc>
                <w:tcPr>
                  <w:tcW w:w="3379" w:type="dxa"/>
                  <w:shd w:val="clear" w:color="auto" w:fill="auto"/>
                </w:tcPr>
                <w:p w14:paraId="6C7C2E18">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1.电窑：</w:t>
                  </w:r>
                </w:p>
                <w:p w14:paraId="202FECA0">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PM</w:t>
                  </w:r>
                  <w:r>
                    <w:rPr>
                      <w:rFonts w:hint="eastAsia"/>
                      <w:color w:val="000000" w:themeColor="text1"/>
                      <w:szCs w:val="21"/>
                      <w14:textFill>
                        <w14:solidFill>
                          <w14:schemeClr w14:val="tx1"/>
                        </w14:solidFill>
                      </w14:textFill>
                    </w:rPr>
                    <w:t>采用袋式除尘、电袋复合除尘、湿电除尘、静电除尘等高效除尘技术。</w:t>
                  </w:r>
                </w:p>
                <w:p w14:paraId="4B289190">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燃气锅炉</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炉窑：</w:t>
                  </w:r>
                </w:p>
                <w:p w14:paraId="64F7BEE4">
                  <w:pPr>
                    <w:spacing w:before="60" w:after="6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PM</w:t>
                  </w:r>
                  <w:r>
                    <w:rPr>
                      <w:rFonts w:hint="eastAsia"/>
                      <w:color w:val="000000" w:themeColor="text1"/>
                      <w:szCs w:val="21"/>
                      <w:vertAlign w:val="superscript"/>
                      <w14:textFill>
                        <w14:solidFill>
                          <w14:schemeClr w14:val="tx1"/>
                        </w14:solidFill>
                      </w14:textFill>
                    </w:rPr>
                    <w:t>【</w:t>
                  </w:r>
                  <w:r>
                    <w:rPr>
                      <w:color w:val="000000" w:themeColor="text1"/>
                      <w:szCs w:val="21"/>
                      <w:vertAlign w:val="superscript"/>
                      <w14:textFill>
                        <w14:solidFill>
                          <w14:schemeClr w14:val="tx1"/>
                        </w14:solidFill>
                      </w14:textFill>
                    </w:rPr>
                    <w:t>1</w:t>
                  </w:r>
                  <w:r>
                    <w:rPr>
                      <w:rFonts w:hint="eastAsia"/>
                      <w:color w:val="000000" w:themeColor="text1"/>
                      <w:szCs w:val="21"/>
                      <w:vertAlign w:val="superscript"/>
                      <w14:textFill>
                        <w14:solidFill>
                          <w14:schemeClr w14:val="tx1"/>
                        </w14:solidFill>
                      </w14:textFill>
                    </w:rPr>
                    <w:t>】</w:t>
                  </w:r>
                  <w:r>
                    <w:rPr>
                      <w:rFonts w:hint="eastAsia"/>
                      <w:color w:val="000000" w:themeColor="text1"/>
                      <w:szCs w:val="21"/>
                      <w14:textFill>
                        <w14:solidFill>
                          <w14:schemeClr w14:val="tx1"/>
                        </w14:solidFill>
                      </w14:textFill>
                    </w:rPr>
                    <w:t>采用袋式除尘、静电除尘、湿电除尘等高效除尘技术；</w:t>
                  </w:r>
                </w:p>
                <w:p w14:paraId="54C06907">
                  <w:pPr>
                    <w:spacing w:before="60" w:after="6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2</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NOx</w:t>
                  </w:r>
                  <w:r>
                    <w:rPr>
                      <w:rFonts w:hint="eastAsia"/>
                      <w:color w:val="000000" w:themeColor="text1"/>
                      <w:szCs w:val="21"/>
                      <w:vertAlign w:val="superscript"/>
                      <w14:textFill>
                        <w14:solidFill>
                          <w14:schemeClr w14:val="tx1"/>
                        </w14:solidFill>
                      </w14:textFill>
                    </w:rPr>
                    <w:t>【</w:t>
                  </w:r>
                  <w:r>
                    <w:rPr>
                      <w:color w:val="000000" w:themeColor="text1"/>
                      <w:szCs w:val="21"/>
                      <w:vertAlign w:val="superscript"/>
                      <w14:textFill>
                        <w14:solidFill>
                          <w14:schemeClr w14:val="tx1"/>
                        </w14:solidFill>
                      </w14:textFill>
                    </w:rPr>
                    <w:t>2</w:t>
                  </w:r>
                  <w:r>
                    <w:rPr>
                      <w:rFonts w:hint="eastAsia"/>
                      <w:color w:val="000000" w:themeColor="text1"/>
                      <w:szCs w:val="21"/>
                      <w:vertAlign w:val="superscript"/>
                      <w14:textFill>
                        <w14:solidFill>
                          <w14:schemeClr w14:val="tx1"/>
                        </w14:solidFill>
                      </w14:textFill>
                    </w:rPr>
                    <w:t>】</w:t>
                  </w:r>
                  <w:r>
                    <w:rPr>
                      <w:rFonts w:hint="eastAsia"/>
                      <w:color w:val="000000" w:themeColor="text1"/>
                      <w:szCs w:val="21"/>
                      <w14:textFill>
                        <w14:solidFill>
                          <w14:schemeClr w14:val="tx1"/>
                        </w14:solidFill>
                      </w14:textFill>
                    </w:rPr>
                    <w:t>采用低氮燃烧或</w:t>
                  </w:r>
                  <w:r>
                    <w:rPr>
                      <w:color w:val="000000" w:themeColor="text1"/>
                      <w:szCs w:val="21"/>
                      <w14:textFill>
                        <w14:solidFill>
                          <w14:schemeClr w14:val="tx1"/>
                        </w14:solidFill>
                      </w14:textFill>
                    </w:rPr>
                    <w:t>SNCR/SCR</w:t>
                  </w:r>
                  <w:r>
                    <w:rPr>
                      <w:rFonts w:hint="eastAsia"/>
                      <w:color w:val="000000" w:themeColor="text1"/>
                      <w:szCs w:val="21"/>
                      <w14:textFill>
                        <w14:solidFill>
                          <w14:schemeClr w14:val="tx1"/>
                        </w14:solidFill>
                      </w14:textFill>
                    </w:rPr>
                    <w:t>等技术。使用氨法脱硝的企业，氨的装卸、储存、输送、制备等过程全密闭，并采取有氨气泄漏检测和收集措施；采用尿素作为还原剂的配备有尿素加热水解制氨系统。</w:t>
                  </w:r>
                </w:p>
                <w:p w14:paraId="34BD02AD">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r>
                    <w:rPr>
                      <w:rFonts w:hint="eastAsia"/>
                      <w:color w:val="000000" w:themeColor="text1"/>
                      <w:szCs w:val="21"/>
                      <w14:textFill>
                        <w14:solidFill>
                          <w14:schemeClr w14:val="tx1"/>
                        </w14:solidFill>
                      </w14:textFill>
                    </w:rPr>
                    <w:t>其他工序（非锅炉</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炉窑）：</w:t>
                  </w:r>
                </w:p>
                <w:p w14:paraId="7A25212F">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PM</w:t>
                  </w:r>
                  <w:r>
                    <w:rPr>
                      <w:rFonts w:hint="eastAsia"/>
                      <w:color w:val="000000" w:themeColor="text1"/>
                      <w:szCs w:val="21"/>
                      <w14:textFill>
                        <w14:solidFill>
                          <w14:schemeClr w14:val="tx1"/>
                        </w14:solidFill>
                      </w14:textFill>
                    </w:rPr>
                    <w:t>采用覆膜袋式除尘或其他先进除尘工艺。</w:t>
                  </w:r>
                </w:p>
              </w:tc>
              <w:tc>
                <w:tcPr>
                  <w:tcW w:w="2982" w:type="dxa"/>
                  <w:shd w:val="clear" w:color="auto" w:fill="auto"/>
                  <w:vAlign w:val="center"/>
                </w:tcPr>
                <w:p w14:paraId="7AA0E173">
                  <w:pPr>
                    <w:pStyle w:val="36"/>
                    <w:spacing w:line="240" w:lineRule="auto"/>
                    <w:ind w:firstLine="0" w:firstLineChars="0"/>
                    <w:jc w:val="both"/>
                    <w:textAlignment w:val="baseline"/>
                    <w:rPr>
                      <w:rFonts w:eastAsiaTheme="minorEastAsia"/>
                      <w:i w:val="0"/>
                      <w:iCs w:val="0"/>
                      <w:color w:val="000000" w:themeColor="text1"/>
                      <w:sz w:val="21"/>
                      <w:szCs w:val="21"/>
                      <w:highlight w:val="none"/>
                      <w14:textFill>
                        <w14:solidFill>
                          <w14:schemeClr w14:val="tx1"/>
                        </w14:solidFill>
                      </w14:textFill>
                    </w:rPr>
                  </w:pPr>
                  <w:bookmarkStart w:id="12" w:name="_Toc30810"/>
                  <w:r>
                    <w:rPr>
                      <w:color w:val="000000" w:themeColor="text1"/>
                      <w:sz w:val="21"/>
                      <w:szCs w:val="21"/>
                      <w14:textFill>
                        <w14:solidFill>
                          <w14:schemeClr w14:val="tx1"/>
                        </w14:solidFill>
                      </w14:textFill>
                    </w:rPr>
                    <w:t>1、</w:t>
                  </w:r>
                  <w:r>
                    <w:rPr>
                      <w:rFonts w:eastAsiaTheme="minorEastAsia"/>
                      <w:i w:val="0"/>
                      <w:iCs w:val="0"/>
                      <w:color w:val="000000" w:themeColor="text1"/>
                      <w:sz w:val="21"/>
                      <w:szCs w:val="21"/>
                      <w:highlight w:val="none"/>
                      <w14:textFill>
                        <w14:solidFill>
                          <w14:schemeClr w14:val="tx1"/>
                        </w14:solidFill>
                      </w14:textFill>
                    </w:rPr>
                    <w:t>本项目</w:t>
                  </w:r>
                  <w:r>
                    <w:rPr>
                      <w:rFonts w:hint="eastAsia" w:eastAsiaTheme="minorEastAsia"/>
                      <w:i w:val="0"/>
                      <w:iCs w:val="0"/>
                      <w:color w:val="000000" w:themeColor="text1"/>
                      <w:sz w:val="21"/>
                      <w:szCs w:val="21"/>
                      <w:highlight w:val="none"/>
                      <w:lang w:val="en-US" w:eastAsia="zh-CN"/>
                      <w14:textFill>
                        <w14:solidFill>
                          <w14:schemeClr w14:val="tx1"/>
                        </w14:solidFill>
                      </w14:textFill>
                    </w:rPr>
                    <w:t>使用</w:t>
                  </w:r>
                  <w:r>
                    <w:rPr>
                      <w:rFonts w:hint="eastAsia" w:eastAsiaTheme="minorEastAsia"/>
                      <w:bCs w:val="0"/>
                      <w:i w:val="0"/>
                      <w:iCs w:val="0"/>
                      <w:color w:val="000000" w:themeColor="text1"/>
                      <w:sz w:val="21"/>
                      <w:szCs w:val="21"/>
                      <w:highlight w:val="none"/>
                      <w:lang w:val="en-US" w:eastAsia="zh-CN"/>
                      <w14:textFill>
                        <w14:solidFill>
                          <w14:schemeClr w14:val="tx1"/>
                        </w14:solidFill>
                      </w14:textFill>
                    </w:rPr>
                    <w:t>蒸汽发生器提供蒸汽，</w:t>
                  </w:r>
                  <w:r>
                    <w:rPr>
                      <w:rFonts w:hint="eastAsia" w:ascii="Times New Roman" w:eastAsia="宋体"/>
                      <w:color w:val="000000" w:themeColor="text1"/>
                      <w:sz w:val="21"/>
                      <w:szCs w:val="21"/>
                      <w:lang w:val="en-US" w:eastAsia="zh-CN"/>
                      <w14:textFill>
                        <w14:solidFill>
                          <w14:schemeClr w14:val="tx1"/>
                        </w14:solidFill>
                      </w14:textFill>
                    </w:rPr>
                    <w:t>蒸汽发生器</w:t>
                  </w:r>
                  <w:r>
                    <w:rPr>
                      <w:rFonts w:eastAsiaTheme="minorEastAsia"/>
                      <w:i w:val="0"/>
                      <w:iCs w:val="0"/>
                      <w:color w:val="000000" w:themeColor="text1"/>
                      <w:sz w:val="21"/>
                      <w:szCs w:val="21"/>
                      <w:highlight w:val="none"/>
                      <w14:textFill>
                        <w14:solidFill>
                          <w14:schemeClr w14:val="tx1"/>
                        </w14:solidFill>
                      </w14:textFill>
                    </w:rPr>
                    <w:t>采用天然气</w:t>
                  </w:r>
                  <w:r>
                    <w:rPr>
                      <w:rFonts w:hint="eastAsia" w:eastAsiaTheme="minorEastAsia"/>
                      <w:i w:val="0"/>
                      <w:iCs w:val="0"/>
                      <w:color w:val="000000" w:themeColor="text1"/>
                      <w:sz w:val="21"/>
                      <w:szCs w:val="21"/>
                      <w:highlight w:val="none"/>
                      <w:lang w:val="en-US" w:eastAsia="zh-CN"/>
                      <w14:textFill>
                        <w14:solidFill>
                          <w14:schemeClr w14:val="tx1"/>
                        </w14:solidFill>
                      </w14:textFill>
                    </w:rPr>
                    <w:t>为能源</w:t>
                  </w:r>
                  <w:r>
                    <w:rPr>
                      <w:rFonts w:eastAsiaTheme="minorEastAsia"/>
                      <w:i w:val="0"/>
                      <w:iCs w:val="0"/>
                      <w:color w:val="000000" w:themeColor="text1"/>
                      <w:sz w:val="21"/>
                      <w:szCs w:val="21"/>
                      <w:highlight w:val="none"/>
                      <w14:textFill>
                        <w14:solidFill>
                          <w14:schemeClr w14:val="tx1"/>
                        </w14:solidFill>
                      </w14:textFill>
                    </w:rPr>
                    <w:t>，天然气属于清洁能源；根据</w:t>
                  </w:r>
                  <w:r>
                    <w:rPr>
                      <w:rFonts w:hint="eastAsia" w:eastAsiaTheme="minorEastAsia"/>
                      <w:i w:val="0"/>
                      <w:iCs w:val="0"/>
                      <w:color w:val="000000" w:themeColor="text1"/>
                      <w:sz w:val="21"/>
                      <w:szCs w:val="21"/>
                      <w:highlight w:val="none"/>
                      <w:lang w:val="en-US" w:eastAsia="zh-CN"/>
                      <w14:textFill>
                        <w14:solidFill>
                          <w14:schemeClr w14:val="tx1"/>
                        </w14:solidFill>
                      </w14:textFill>
                    </w:rPr>
                    <w:t>计算</w:t>
                  </w:r>
                  <w:r>
                    <w:rPr>
                      <w:rFonts w:eastAsiaTheme="minorEastAsia"/>
                      <w:i w:val="0"/>
                      <w:iCs w:val="0"/>
                      <w:color w:val="000000" w:themeColor="text1"/>
                      <w:sz w:val="21"/>
                      <w:szCs w:val="21"/>
                      <w:highlight w:val="none"/>
                      <w14:textFill>
                        <w14:solidFill>
                          <w14:schemeClr w14:val="tx1"/>
                        </w14:solidFill>
                      </w14:textFill>
                    </w:rPr>
                    <w:t>，颗粒物直排可以满足排放标准要求；</w:t>
                  </w:r>
                </w:p>
                <w:bookmarkEnd w:id="12"/>
                <w:p w14:paraId="1A382394">
                  <w:pPr>
                    <w:pStyle w:val="36"/>
                    <w:spacing w:line="240" w:lineRule="auto"/>
                    <w:ind w:firstLine="0" w:firstLineChars="0"/>
                    <w:jc w:val="both"/>
                    <w:textAlignment w:val="baseline"/>
                    <w:outlineLvl w:val="9"/>
                    <w:rPr>
                      <w:color w:val="000000" w:themeColor="text1"/>
                      <w:sz w:val="21"/>
                      <w:szCs w:val="21"/>
                      <w14:textFill>
                        <w14:solidFill>
                          <w14:schemeClr w14:val="tx1"/>
                        </w14:solidFill>
                      </w14:textFill>
                    </w:rPr>
                  </w:pPr>
                  <w:bookmarkStart w:id="13" w:name="_Toc24428"/>
                  <w:r>
                    <w:rPr>
                      <w:color w:val="000000" w:themeColor="text1"/>
                      <w:sz w:val="21"/>
                      <w:szCs w:val="21"/>
                      <w14:textFill>
                        <w14:solidFill>
                          <w14:schemeClr w14:val="tx1"/>
                        </w14:solidFill>
                      </w14:textFill>
                    </w:rPr>
                    <w:t>2、NOx治理采用低氮燃烧</w:t>
                  </w:r>
                  <w:r>
                    <w:rPr>
                      <w:rFonts w:hint="eastAsia"/>
                      <w:color w:val="000000" w:themeColor="text1"/>
                      <w:sz w:val="21"/>
                      <w:szCs w:val="21"/>
                      <w14:textFill>
                        <w14:solidFill>
                          <w14:schemeClr w14:val="tx1"/>
                        </w14:solidFill>
                      </w14:textFill>
                    </w:rPr>
                    <w:t>技术</w:t>
                  </w:r>
                  <w:r>
                    <w:rPr>
                      <w:color w:val="000000" w:themeColor="text1"/>
                      <w:sz w:val="21"/>
                      <w:szCs w:val="21"/>
                      <w14:textFill>
                        <w14:solidFill>
                          <w14:schemeClr w14:val="tx1"/>
                        </w14:solidFill>
                      </w14:textFill>
                    </w:rPr>
                    <w:t>；</w:t>
                  </w:r>
                  <w:bookmarkEnd w:id="13"/>
                </w:p>
                <w:p w14:paraId="717B22B6">
                  <w:pPr>
                    <w:pStyle w:val="36"/>
                    <w:spacing w:line="240" w:lineRule="auto"/>
                    <w:ind w:firstLine="0" w:firstLineChars="0"/>
                    <w:jc w:val="both"/>
                    <w:textAlignment w:val="baseline"/>
                    <w:outlineLvl w:val="9"/>
                    <w:rPr>
                      <w:color w:val="000000" w:themeColor="text1"/>
                      <w:sz w:val="21"/>
                      <w:szCs w:val="21"/>
                      <w14:textFill>
                        <w14:solidFill>
                          <w14:schemeClr w14:val="tx1"/>
                        </w14:solidFill>
                      </w14:textFill>
                    </w:rPr>
                  </w:pPr>
                  <w:bookmarkStart w:id="14" w:name="_Toc17889"/>
                  <w:r>
                    <w:rPr>
                      <w:color w:val="000000" w:themeColor="text1"/>
                      <w:sz w:val="21"/>
                      <w:szCs w:val="21"/>
                      <w14:textFill>
                        <w14:solidFill>
                          <w14:schemeClr w14:val="tx1"/>
                        </w14:solidFill>
                      </w14:textFill>
                    </w:rPr>
                    <w:t>3、项目</w:t>
                  </w:r>
                  <w:r>
                    <w:rPr>
                      <w:rFonts w:hint="eastAsia"/>
                      <w:color w:val="000000" w:themeColor="text1"/>
                      <w:sz w:val="21"/>
                      <w:szCs w:val="21"/>
                      <w14:textFill>
                        <w14:solidFill>
                          <w14:schemeClr w14:val="tx1"/>
                        </w14:solidFill>
                      </w14:textFill>
                    </w:rPr>
                    <w:t>原料投料、粉碎工序和袋泡茶生产过程产生的粉尘</w:t>
                  </w:r>
                  <w:r>
                    <w:rPr>
                      <w:rFonts w:hint="eastAsia"/>
                      <w:color w:val="000000" w:themeColor="text1"/>
                      <w:sz w:val="21"/>
                      <w:szCs w:val="21"/>
                      <w14:textFill>
                        <w14:solidFill>
                          <w14:schemeClr w14:val="tx1"/>
                        </w14:solidFill>
                      </w14:textFill>
                    </w:rPr>
                    <w:t>经</w:t>
                  </w:r>
                  <w:r>
                    <w:rPr>
                      <w:color w:val="000000" w:themeColor="text1"/>
                      <w:sz w:val="21"/>
                      <w:szCs w:val="21"/>
                      <w14:textFill>
                        <w14:solidFill>
                          <w14:schemeClr w14:val="tx1"/>
                        </w14:solidFill>
                      </w14:textFill>
                    </w:rPr>
                    <w:t>集气罩</w:t>
                  </w:r>
                  <w:r>
                    <w:rPr>
                      <w:rFonts w:hint="eastAsia"/>
                      <w:color w:val="000000" w:themeColor="text1"/>
                      <w:sz w:val="21"/>
                      <w:szCs w:val="21"/>
                      <w14:textFill>
                        <w14:solidFill>
                          <w14:schemeClr w14:val="tx1"/>
                        </w14:solidFill>
                      </w14:textFill>
                    </w:rPr>
                    <w:t>收集</w:t>
                  </w:r>
                  <w:r>
                    <w:rPr>
                      <w:color w:val="000000" w:themeColor="text1"/>
                      <w:sz w:val="21"/>
                      <w:szCs w:val="21"/>
                      <w14:textFill>
                        <w14:solidFill>
                          <w14:schemeClr w14:val="tx1"/>
                        </w14:solidFill>
                      </w14:textFill>
                    </w:rPr>
                    <w:t>后通过</w:t>
                  </w:r>
                  <w:r>
                    <w:rPr>
                      <w:rFonts w:hint="eastAsia"/>
                      <w:color w:val="000000" w:themeColor="text1"/>
                      <w:sz w:val="21"/>
                      <w:szCs w:val="21"/>
                      <w14:textFill>
                        <w14:solidFill>
                          <w14:schemeClr w14:val="tx1"/>
                        </w14:solidFill>
                      </w14:textFill>
                    </w:rPr>
                    <w:t>1套覆膜袋式除尘器处理（TA001）后经1根15m高排气筒（DA001）排放</w:t>
                  </w:r>
                  <w:r>
                    <w:rPr>
                      <w:rFonts w:hint="eastAsia"/>
                      <w:color w:val="000000" w:themeColor="text1"/>
                      <w:sz w:val="21"/>
                      <w:szCs w:val="21"/>
                      <w:lang w:eastAsia="zh-CN"/>
                      <w14:textFill>
                        <w14:solidFill>
                          <w14:schemeClr w14:val="tx1"/>
                        </w14:solidFill>
                      </w14:textFill>
                    </w:rPr>
                    <w:t>；</w:t>
                  </w:r>
                  <w:r>
                    <w:rPr>
                      <w:rFonts w:hint="eastAsia"/>
                      <w:color w:val="000000" w:themeColor="text1"/>
                      <w:sz w:val="21"/>
                      <w:szCs w:val="21"/>
                      <w:lang w:eastAsia="zh-CN"/>
                      <w14:textFill>
                        <w14:solidFill>
                          <w14:schemeClr w14:val="tx1"/>
                        </w14:solidFill>
                      </w14:textFill>
                    </w:rPr>
                    <w:t>热敷理疗产品上料粉尘</w:t>
                  </w:r>
                  <w:r>
                    <w:rPr>
                      <w:rFonts w:hint="eastAsia"/>
                      <w:color w:val="000000" w:themeColor="text1"/>
                      <w:sz w:val="21"/>
                      <w:szCs w:val="21"/>
                      <w14:textFill>
                        <w14:solidFill>
                          <w14:schemeClr w14:val="tx1"/>
                        </w14:solidFill>
                      </w14:textFill>
                    </w:rPr>
                    <w:t>经</w:t>
                  </w:r>
                  <w:r>
                    <w:rPr>
                      <w:color w:val="000000" w:themeColor="text1"/>
                      <w:sz w:val="21"/>
                      <w:szCs w:val="21"/>
                      <w14:textFill>
                        <w14:solidFill>
                          <w14:schemeClr w14:val="tx1"/>
                        </w14:solidFill>
                      </w14:textFill>
                    </w:rPr>
                    <w:t>集气罩</w:t>
                  </w:r>
                  <w:r>
                    <w:rPr>
                      <w:rFonts w:hint="eastAsia"/>
                      <w:color w:val="000000" w:themeColor="text1"/>
                      <w:sz w:val="21"/>
                      <w:szCs w:val="21"/>
                      <w14:textFill>
                        <w14:solidFill>
                          <w14:schemeClr w14:val="tx1"/>
                        </w14:solidFill>
                      </w14:textFill>
                    </w:rPr>
                    <w:t>收集</w:t>
                  </w:r>
                  <w:r>
                    <w:rPr>
                      <w:color w:val="000000" w:themeColor="text1"/>
                      <w:sz w:val="21"/>
                      <w:szCs w:val="21"/>
                      <w14:textFill>
                        <w14:solidFill>
                          <w14:schemeClr w14:val="tx1"/>
                        </w14:solidFill>
                      </w14:textFill>
                    </w:rPr>
                    <w:t>后通过1套覆膜袋式除尘器（TA00</w:t>
                  </w:r>
                  <w:r>
                    <w:rPr>
                      <w:rFonts w:hint="eastAsia"/>
                      <w:color w:val="000000" w:themeColor="text1"/>
                      <w:sz w:val="21"/>
                      <w:szCs w:val="21"/>
                      <w14:textFill>
                        <w14:solidFill>
                          <w14:schemeClr w14:val="tx1"/>
                        </w14:solidFill>
                      </w14:textFill>
                    </w:rPr>
                    <w:t>6</w:t>
                  </w:r>
                  <w:r>
                    <w:rPr>
                      <w:color w:val="000000" w:themeColor="text1"/>
                      <w:sz w:val="21"/>
                      <w:szCs w:val="21"/>
                      <w14:textFill>
                        <w14:solidFill>
                          <w14:schemeClr w14:val="tx1"/>
                        </w14:solidFill>
                      </w14:textFill>
                    </w:rPr>
                    <w:t>）</w:t>
                  </w:r>
                  <w:r>
                    <w:rPr>
                      <w:rFonts w:hint="eastAsia"/>
                      <w:color w:val="000000" w:themeColor="text1"/>
                      <w:sz w:val="21"/>
                      <w:szCs w:val="21"/>
                      <w14:textFill>
                        <w14:solidFill>
                          <w14:schemeClr w14:val="tx1"/>
                        </w14:solidFill>
                      </w14:textFill>
                    </w:rPr>
                    <w:t>处理后通过</w:t>
                  </w:r>
                  <w:r>
                    <w:rPr>
                      <w:color w:val="000000" w:themeColor="text1"/>
                      <w:sz w:val="21"/>
                      <w:szCs w:val="21"/>
                      <w14:textFill>
                        <w14:solidFill>
                          <w14:schemeClr w14:val="tx1"/>
                        </w14:solidFill>
                      </w14:textFill>
                    </w:rPr>
                    <w:t>1根</w:t>
                  </w:r>
                  <w:r>
                    <w:rPr>
                      <w:rFonts w:hint="eastAsia"/>
                      <w:color w:val="000000" w:themeColor="text1"/>
                      <w:sz w:val="21"/>
                      <w:szCs w:val="21"/>
                      <w14:textFill>
                        <w14:solidFill>
                          <w14:schemeClr w14:val="tx1"/>
                        </w14:solidFill>
                      </w14:textFill>
                    </w:rPr>
                    <w:t>15</w:t>
                  </w:r>
                  <w:r>
                    <w:rPr>
                      <w:color w:val="000000" w:themeColor="text1"/>
                      <w:sz w:val="21"/>
                      <w:szCs w:val="21"/>
                      <w14:textFill>
                        <w14:solidFill>
                          <w14:schemeClr w14:val="tx1"/>
                        </w14:solidFill>
                      </w14:textFill>
                    </w:rPr>
                    <w:t>m高排气筒</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DA00</w:t>
                  </w:r>
                  <w:r>
                    <w:rPr>
                      <w:rFonts w:hint="eastAsia"/>
                      <w:color w:val="000000" w:themeColor="text1"/>
                      <w:sz w:val="21"/>
                      <w:szCs w:val="21"/>
                      <w14:textFill>
                        <w14:solidFill>
                          <w14:schemeClr w14:val="tx1"/>
                        </w14:solidFill>
                      </w14:textFill>
                    </w:rPr>
                    <w:t>6</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排放</w:t>
                  </w:r>
                  <w:r>
                    <w:rPr>
                      <w:color w:val="000000" w:themeColor="text1"/>
                      <w:sz w:val="21"/>
                      <w:szCs w:val="21"/>
                      <w14:textFill>
                        <w14:solidFill>
                          <w14:schemeClr w14:val="tx1"/>
                        </w14:solidFill>
                      </w14:textFill>
                    </w:rPr>
                    <w:t>。</w:t>
                  </w:r>
                  <w:bookmarkEnd w:id="14"/>
                </w:p>
              </w:tc>
              <w:tc>
                <w:tcPr>
                  <w:tcW w:w="878" w:type="dxa"/>
                  <w:shd w:val="clear" w:color="auto" w:fill="auto"/>
                  <w:vAlign w:val="center"/>
                </w:tcPr>
                <w:p w14:paraId="11593E48">
                  <w:pPr>
                    <w:jc w:val="center"/>
                    <w:textAlignment w:val="baseline"/>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相符</w:t>
                  </w:r>
                </w:p>
              </w:tc>
            </w:tr>
            <w:tr w14:paraId="2DA8E82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6" w:type="dxa"/>
                  <w:vMerge w:val="restart"/>
                  <w:shd w:val="clear" w:color="auto" w:fill="auto"/>
                  <w:vAlign w:val="center"/>
                </w:tcPr>
                <w:p w14:paraId="43A9957C">
                  <w:pPr>
                    <w:spacing w:before="60" w:after="60"/>
                    <w:jc w:val="center"/>
                    <w:outlineLvl w:val="9"/>
                    <w:rPr>
                      <w:color w:val="000000" w:themeColor="text1"/>
                      <w:szCs w:val="21"/>
                      <w14:textFill>
                        <w14:solidFill>
                          <w14:schemeClr w14:val="tx1"/>
                        </w14:solidFill>
                      </w14:textFill>
                    </w:rPr>
                  </w:pPr>
                  <w:bookmarkStart w:id="15" w:name="_Toc28529"/>
                  <w:r>
                    <w:rPr>
                      <w:color w:val="000000" w:themeColor="text1"/>
                      <w:szCs w:val="21"/>
                      <w14:textFill>
                        <w14:solidFill>
                          <w14:schemeClr w14:val="tx1"/>
                        </w14:solidFill>
                      </w14:textFill>
                    </w:rPr>
                    <w:t>排放限值</w:t>
                  </w:r>
                  <w:bookmarkEnd w:id="15"/>
                </w:p>
              </w:tc>
              <w:tc>
                <w:tcPr>
                  <w:tcW w:w="429" w:type="dxa"/>
                  <w:vMerge w:val="restart"/>
                  <w:shd w:val="clear" w:color="auto" w:fill="auto"/>
                  <w:vAlign w:val="center"/>
                </w:tcPr>
                <w:p w14:paraId="7E947F2E">
                  <w:pPr>
                    <w:spacing w:before="60" w:after="60"/>
                    <w:jc w:val="center"/>
                    <w:outlineLvl w:val="9"/>
                    <w:rPr>
                      <w:color w:val="000000" w:themeColor="text1"/>
                      <w:szCs w:val="21"/>
                      <w14:textFill>
                        <w14:solidFill>
                          <w14:schemeClr w14:val="tx1"/>
                        </w14:solidFill>
                      </w14:textFill>
                    </w:rPr>
                  </w:pPr>
                  <w:bookmarkStart w:id="16" w:name="_Toc3111"/>
                  <w:r>
                    <w:rPr>
                      <w:color w:val="000000" w:themeColor="text1"/>
                      <w:szCs w:val="21"/>
                      <w14:textFill>
                        <w14:solidFill>
                          <w14:schemeClr w14:val="tx1"/>
                        </w14:solidFill>
                      </w14:textFill>
                    </w:rPr>
                    <w:t>锅炉</w:t>
                  </w:r>
                  <w:bookmarkEnd w:id="16"/>
                </w:p>
              </w:tc>
              <w:tc>
                <w:tcPr>
                  <w:tcW w:w="3379" w:type="dxa"/>
                  <w:shd w:val="clear" w:color="auto" w:fill="auto"/>
                </w:tcPr>
                <w:p w14:paraId="151FB16D">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PM、SO</w:t>
                  </w:r>
                  <w:r>
                    <w:rPr>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NOx</w:t>
                  </w:r>
                  <w:r>
                    <w:rPr>
                      <w:rFonts w:hint="eastAsia"/>
                      <w:color w:val="000000" w:themeColor="text1"/>
                      <w:szCs w:val="21"/>
                      <w14:textFill>
                        <w14:solidFill>
                          <w14:schemeClr w14:val="tx1"/>
                        </w14:solidFill>
                      </w14:textFill>
                    </w:rPr>
                    <w:t>排放浓度分别不高于：</w:t>
                  </w:r>
                </w:p>
                <w:p w14:paraId="756E3D31">
                  <w:pPr>
                    <w:spacing w:before="60" w:after="6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燃气：</w:t>
                  </w:r>
                  <w:r>
                    <w:rPr>
                      <w:color w:val="000000" w:themeColor="text1"/>
                      <w:szCs w:val="21"/>
                      <w14:textFill>
                        <w14:solidFill>
                          <w14:schemeClr w14:val="tx1"/>
                        </w14:solidFill>
                      </w14:textFill>
                    </w:rPr>
                    <w:t>5</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10</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50/30</w:t>
                  </w:r>
                  <w:r>
                    <w:rPr>
                      <w:rFonts w:hint="eastAsia"/>
                      <w:color w:val="000000" w:themeColor="text1"/>
                      <w:szCs w:val="21"/>
                      <w:vertAlign w:val="superscript"/>
                      <w14:textFill>
                        <w14:solidFill>
                          <w14:schemeClr w14:val="tx1"/>
                        </w14:solidFill>
                      </w14:textFill>
                    </w:rPr>
                    <w:t>【</w:t>
                  </w:r>
                  <w:r>
                    <w:rPr>
                      <w:color w:val="000000" w:themeColor="text1"/>
                      <w:szCs w:val="21"/>
                      <w:vertAlign w:val="superscript"/>
                      <w14:textFill>
                        <w14:solidFill>
                          <w14:schemeClr w14:val="tx1"/>
                        </w14:solidFill>
                      </w14:textFill>
                    </w:rPr>
                    <w:t>4</w:t>
                  </w:r>
                  <w:r>
                    <w:rPr>
                      <w:rFonts w:hint="eastAsia"/>
                      <w:color w:val="000000" w:themeColor="text1"/>
                      <w:szCs w:val="21"/>
                      <w:vertAlign w:val="superscript"/>
                      <w14:textFill>
                        <w14:solidFill>
                          <w14:schemeClr w14:val="tx1"/>
                        </w14:solidFill>
                      </w14:textFill>
                    </w:rPr>
                    <w:t>】</w:t>
                  </w:r>
                  <w:r>
                    <w:rPr>
                      <w:color w:val="000000" w:themeColor="text1"/>
                      <w:szCs w:val="21"/>
                      <w14:textFill>
                        <w14:solidFill>
                          <w14:schemeClr w14:val="tx1"/>
                        </w14:solidFill>
                      </w14:textFill>
                    </w:rPr>
                    <w:t>mg/m</w:t>
                  </w:r>
                  <w:r>
                    <w:rPr>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（基准含氧量：</w:t>
                  </w:r>
                  <w:r>
                    <w:rPr>
                      <w:color w:val="000000" w:themeColor="text1"/>
                      <w:szCs w:val="21"/>
                      <w14:textFill>
                        <w14:solidFill>
                          <w14:schemeClr w14:val="tx1"/>
                        </w14:solidFill>
                      </w14:textFill>
                    </w:rPr>
                    <w:t>3.5%</w:t>
                  </w:r>
                  <w:r>
                    <w:rPr>
                      <w:rFonts w:hint="eastAsia"/>
                      <w:color w:val="000000" w:themeColor="text1"/>
                      <w:szCs w:val="21"/>
                      <w14:textFill>
                        <w14:solidFill>
                          <w14:schemeClr w14:val="tx1"/>
                        </w14:solidFill>
                      </w14:textFill>
                    </w:rPr>
                    <w:t>）</w:t>
                  </w:r>
                </w:p>
              </w:tc>
              <w:tc>
                <w:tcPr>
                  <w:tcW w:w="2982" w:type="dxa"/>
                  <w:shd w:val="clear" w:color="auto" w:fill="auto"/>
                  <w:vAlign w:val="center"/>
                </w:tcPr>
                <w:p w14:paraId="79BA3291">
                  <w:pP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本项目为新建项目</w:t>
                  </w:r>
                  <w:r>
                    <w:rPr>
                      <w:color w:val="000000" w:themeColor="text1"/>
                      <w:szCs w:val="21"/>
                      <w14:textFill>
                        <w14:solidFill>
                          <w14:schemeClr w14:val="tx1"/>
                        </w14:solidFill>
                      </w14:textFill>
                    </w:rPr>
                    <w:t>，本项目营运期PM、SO</w:t>
                  </w:r>
                  <w:r>
                    <w:rPr>
                      <w:color w:val="000000" w:themeColor="text1"/>
                      <w:szCs w:val="21"/>
                      <w:vertAlign w:val="subscript"/>
                      <w14:textFill>
                        <w14:solidFill>
                          <w14:schemeClr w14:val="tx1"/>
                        </w14:solidFill>
                      </w14:textFill>
                    </w:rPr>
                    <w:t>2</w:t>
                  </w:r>
                  <w:r>
                    <w:rPr>
                      <w:color w:val="000000" w:themeColor="text1"/>
                      <w:szCs w:val="21"/>
                      <w14:textFill>
                        <w14:solidFill>
                          <w14:schemeClr w14:val="tx1"/>
                        </w14:solidFill>
                      </w14:textFill>
                    </w:rPr>
                    <w:t>、NO</w:t>
                  </w:r>
                  <w:r>
                    <w:rPr>
                      <w:color w:val="000000" w:themeColor="text1"/>
                      <w:szCs w:val="21"/>
                      <w:vertAlign w:val="subscript"/>
                      <w14:textFill>
                        <w14:solidFill>
                          <w14:schemeClr w14:val="tx1"/>
                        </w14:solidFill>
                      </w14:textFill>
                    </w:rPr>
                    <w:t>x</w:t>
                  </w:r>
                  <w:r>
                    <w:rPr>
                      <w:color w:val="000000" w:themeColor="text1"/>
                      <w:szCs w:val="21"/>
                      <w14:textFill>
                        <w14:solidFill>
                          <w14:schemeClr w14:val="tx1"/>
                        </w14:solidFill>
                      </w14:textFill>
                    </w:rPr>
                    <w:t>排放浓度分别不高于：</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10</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0mg/m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（燃气）。</w:t>
                  </w:r>
                </w:p>
              </w:tc>
              <w:tc>
                <w:tcPr>
                  <w:tcW w:w="878" w:type="dxa"/>
                  <w:shd w:val="clear" w:color="auto" w:fill="auto"/>
                  <w:vAlign w:val="center"/>
                </w:tcPr>
                <w:p w14:paraId="5DF6AA0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3BD909D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6" w:type="dxa"/>
                  <w:vMerge w:val="continue"/>
                  <w:shd w:val="clear" w:color="auto" w:fill="auto"/>
                  <w:vAlign w:val="center"/>
                </w:tcPr>
                <w:p w14:paraId="7517B3D7">
                  <w:pPr>
                    <w:spacing w:before="60" w:after="60"/>
                    <w:jc w:val="center"/>
                    <w:outlineLvl w:val="9"/>
                    <w:rPr>
                      <w:color w:val="000000" w:themeColor="text1"/>
                      <w:szCs w:val="21"/>
                      <w14:textFill>
                        <w14:solidFill>
                          <w14:schemeClr w14:val="tx1"/>
                        </w14:solidFill>
                      </w14:textFill>
                    </w:rPr>
                  </w:pPr>
                </w:p>
              </w:tc>
              <w:tc>
                <w:tcPr>
                  <w:tcW w:w="429" w:type="dxa"/>
                  <w:vMerge w:val="continue"/>
                  <w:shd w:val="clear" w:color="auto" w:fill="auto"/>
                  <w:vAlign w:val="center"/>
                </w:tcPr>
                <w:p w14:paraId="1A0782F8">
                  <w:pPr>
                    <w:spacing w:before="60" w:after="60"/>
                    <w:jc w:val="center"/>
                    <w:outlineLvl w:val="9"/>
                    <w:rPr>
                      <w:color w:val="000000" w:themeColor="text1"/>
                      <w:szCs w:val="21"/>
                      <w14:textFill>
                        <w14:solidFill>
                          <w14:schemeClr w14:val="tx1"/>
                        </w14:solidFill>
                      </w14:textFill>
                    </w:rPr>
                  </w:pPr>
                </w:p>
              </w:tc>
              <w:tc>
                <w:tcPr>
                  <w:tcW w:w="7239" w:type="dxa"/>
                  <w:gridSpan w:val="3"/>
                  <w:shd w:val="clear" w:color="auto" w:fill="auto"/>
                  <w:vAlign w:val="center"/>
                </w:tcPr>
                <w:p w14:paraId="78341EC5">
                  <w:pPr>
                    <w:rPr>
                      <w:color w:val="000000" w:themeColor="text1"/>
                      <w14:textFill>
                        <w14:solidFill>
                          <w14:schemeClr w14:val="tx1"/>
                        </w14:solidFill>
                      </w14:textFill>
                    </w:rPr>
                  </w:pPr>
                  <w:r>
                    <w:rPr>
                      <w:rFonts w:hint="eastAsia"/>
                      <w:color w:val="000000" w:themeColor="text1"/>
                      <w14:textFill>
                        <w14:solidFill>
                          <w14:schemeClr w14:val="tx1"/>
                        </w14:solidFill>
                      </w14:textFill>
                    </w:rPr>
                    <w:t>氨逃逸排放浓度不高于8mg/m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（使用氨水、尿素作还原剂）</w:t>
                  </w:r>
                </w:p>
              </w:tc>
            </w:tr>
            <w:tr w14:paraId="376A179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6" w:type="dxa"/>
                  <w:vMerge w:val="continue"/>
                  <w:vAlign w:val="center"/>
                </w:tcPr>
                <w:p w14:paraId="38AC3932">
                  <w:pPr>
                    <w:jc w:val="center"/>
                    <w:rPr>
                      <w:color w:val="000000" w:themeColor="text1"/>
                      <w:szCs w:val="21"/>
                      <w14:textFill>
                        <w14:solidFill>
                          <w14:schemeClr w14:val="tx1"/>
                        </w14:solidFill>
                      </w14:textFill>
                    </w:rPr>
                  </w:pPr>
                </w:p>
              </w:tc>
              <w:tc>
                <w:tcPr>
                  <w:tcW w:w="429" w:type="dxa"/>
                  <w:shd w:val="clear" w:color="auto" w:fill="auto"/>
                  <w:vAlign w:val="center"/>
                </w:tcPr>
                <w:p w14:paraId="1600D277">
                  <w:pPr>
                    <w:spacing w:before="60" w:after="60"/>
                    <w:jc w:val="center"/>
                    <w:outlineLvl w:val="9"/>
                    <w:rPr>
                      <w:color w:val="000000" w:themeColor="text1"/>
                      <w:szCs w:val="21"/>
                      <w14:textFill>
                        <w14:solidFill>
                          <w14:schemeClr w14:val="tx1"/>
                        </w14:solidFill>
                      </w14:textFill>
                    </w:rPr>
                  </w:pPr>
                  <w:bookmarkStart w:id="17" w:name="_Toc6468"/>
                  <w:r>
                    <w:rPr>
                      <w:color w:val="000000" w:themeColor="text1"/>
                      <w:szCs w:val="21"/>
                      <w14:textFill>
                        <w14:solidFill>
                          <w14:schemeClr w14:val="tx1"/>
                        </w14:solidFill>
                      </w14:textFill>
                    </w:rPr>
                    <w:t>加热炉、热处理炉、干燥炉</w:t>
                  </w:r>
                  <w:bookmarkEnd w:id="17"/>
                </w:p>
              </w:tc>
              <w:tc>
                <w:tcPr>
                  <w:tcW w:w="3379" w:type="dxa"/>
                  <w:shd w:val="clear" w:color="auto" w:fill="auto"/>
                  <w:vAlign w:val="center"/>
                </w:tcPr>
                <w:p w14:paraId="2BF5FA63">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PM、SO</w:t>
                  </w:r>
                  <w:r>
                    <w:rPr>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NOx</w:t>
                  </w:r>
                  <w:r>
                    <w:rPr>
                      <w:rFonts w:hint="eastAsia"/>
                      <w:color w:val="000000" w:themeColor="text1"/>
                      <w:szCs w:val="21"/>
                      <w14:textFill>
                        <w14:solidFill>
                          <w14:schemeClr w14:val="tx1"/>
                        </w14:solidFill>
                      </w14:textFill>
                    </w:rPr>
                    <w:t>排放浓度分别不高于：</w:t>
                  </w:r>
                </w:p>
                <w:p w14:paraId="41F309E8">
                  <w:pPr>
                    <w:spacing w:before="60" w:after="6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电窑：</w:t>
                  </w:r>
                  <w:r>
                    <w:rPr>
                      <w:color w:val="000000" w:themeColor="text1"/>
                      <w:szCs w:val="21"/>
                      <w14:textFill>
                        <w14:solidFill>
                          <w14:schemeClr w14:val="tx1"/>
                        </w14:solidFill>
                      </w14:textFill>
                    </w:rPr>
                    <w:t>10mg/m</w:t>
                  </w:r>
                  <w:r>
                    <w:rPr>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PM</w:t>
                  </w:r>
                  <w:r>
                    <w:rPr>
                      <w:rFonts w:hint="eastAsia"/>
                      <w:color w:val="000000" w:themeColor="text1"/>
                      <w:szCs w:val="21"/>
                      <w14:textFill>
                        <w14:solidFill>
                          <w14:schemeClr w14:val="tx1"/>
                        </w14:solidFill>
                      </w14:textFill>
                    </w:rPr>
                    <w:t>）</w:t>
                  </w:r>
                </w:p>
                <w:p w14:paraId="61EA2695">
                  <w:pPr>
                    <w:spacing w:before="60" w:after="6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燃气：</w:t>
                  </w:r>
                  <w:r>
                    <w:rPr>
                      <w:color w:val="000000" w:themeColor="text1"/>
                      <w:szCs w:val="21"/>
                      <w14:textFill>
                        <w14:solidFill>
                          <w14:schemeClr w14:val="tx1"/>
                        </w14:solidFill>
                      </w14:textFill>
                    </w:rPr>
                    <w:t>10</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35</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50mg/m</w:t>
                  </w:r>
                  <w:r>
                    <w:rPr>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（基准含氧量：燃气</w:t>
                  </w:r>
                  <w:r>
                    <w:rPr>
                      <w:color w:val="000000" w:themeColor="text1"/>
                      <w:szCs w:val="21"/>
                      <w14:textFill>
                        <w14:solidFill>
                          <w14:schemeClr w14:val="tx1"/>
                        </w14:solidFill>
                      </w14:textFill>
                    </w:rPr>
                    <w:t>3.5%</w:t>
                  </w:r>
                  <w:r>
                    <w:rPr>
                      <w:rFonts w:hint="eastAsia"/>
                      <w:color w:val="000000" w:themeColor="text1"/>
                      <w:szCs w:val="21"/>
                      <w14:textFill>
                        <w14:solidFill>
                          <w14:schemeClr w14:val="tx1"/>
                        </w14:solidFill>
                      </w14:textFill>
                    </w:rPr>
                    <w:t>，电窑和因工艺需要掺入空气</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非密闭式生产的按实测浓度计）</w:t>
                  </w:r>
                </w:p>
              </w:tc>
              <w:tc>
                <w:tcPr>
                  <w:tcW w:w="2982" w:type="dxa"/>
                  <w:shd w:val="clear" w:color="auto" w:fill="auto"/>
                  <w:vAlign w:val="center"/>
                </w:tcPr>
                <w:p w14:paraId="0456576B">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本项目不涉及。</w:t>
                  </w:r>
                </w:p>
              </w:tc>
              <w:tc>
                <w:tcPr>
                  <w:tcW w:w="878" w:type="dxa"/>
                  <w:shd w:val="clear" w:color="auto" w:fill="auto"/>
                  <w:vAlign w:val="center"/>
                </w:tcPr>
                <w:p w14:paraId="276DA10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7BF0B6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6" w:type="dxa"/>
                  <w:vMerge w:val="continue"/>
                  <w:vAlign w:val="center"/>
                </w:tcPr>
                <w:p w14:paraId="03D6C21E">
                  <w:pPr>
                    <w:jc w:val="center"/>
                    <w:rPr>
                      <w:color w:val="000000" w:themeColor="text1"/>
                      <w:szCs w:val="21"/>
                      <w14:textFill>
                        <w14:solidFill>
                          <w14:schemeClr w14:val="tx1"/>
                        </w14:solidFill>
                      </w14:textFill>
                    </w:rPr>
                  </w:pPr>
                </w:p>
              </w:tc>
              <w:tc>
                <w:tcPr>
                  <w:tcW w:w="429" w:type="dxa"/>
                  <w:shd w:val="clear" w:color="auto" w:fill="auto"/>
                  <w:vAlign w:val="center"/>
                </w:tcPr>
                <w:p w14:paraId="3B72DAF3">
                  <w:pPr>
                    <w:spacing w:before="60" w:after="60"/>
                    <w:jc w:val="center"/>
                    <w:outlineLvl w:val="9"/>
                    <w:rPr>
                      <w:color w:val="000000" w:themeColor="text1"/>
                      <w:szCs w:val="21"/>
                      <w14:textFill>
                        <w14:solidFill>
                          <w14:schemeClr w14:val="tx1"/>
                        </w14:solidFill>
                      </w14:textFill>
                    </w:rPr>
                  </w:pPr>
                  <w:bookmarkStart w:id="18" w:name="_Toc31196"/>
                  <w:r>
                    <w:rPr>
                      <w:color w:val="000000" w:themeColor="text1"/>
                      <w:szCs w:val="21"/>
                      <w14:textFill>
                        <w14:solidFill>
                          <w14:schemeClr w14:val="tx1"/>
                        </w14:solidFill>
                      </w14:textFill>
                    </w:rPr>
                    <w:t>其他炉窑</w:t>
                  </w:r>
                  <w:bookmarkEnd w:id="18"/>
                </w:p>
              </w:tc>
              <w:tc>
                <w:tcPr>
                  <w:tcW w:w="3379" w:type="dxa"/>
                  <w:shd w:val="clear" w:color="auto" w:fill="auto"/>
                  <w:vAlign w:val="center"/>
                </w:tcPr>
                <w:p w14:paraId="153FBB51">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PM、SO</w:t>
                  </w:r>
                  <w:r>
                    <w:rPr>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NOx</w:t>
                  </w:r>
                  <w:r>
                    <w:rPr>
                      <w:rFonts w:hint="eastAsia"/>
                      <w:color w:val="000000" w:themeColor="text1"/>
                      <w:szCs w:val="21"/>
                      <w14:textFill>
                        <w14:solidFill>
                          <w14:schemeClr w14:val="tx1"/>
                        </w14:solidFill>
                      </w14:textFill>
                    </w:rPr>
                    <w:t>排放浓度分别不高于</w:t>
                  </w:r>
                  <w:r>
                    <w:rPr>
                      <w:color w:val="000000" w:themeColor="text1"/>
                      <w:szCs w:val="21"/>
                      <w14:textFill>
                        <w14:solidFill>
                          <w14:schemeClr w14:val="tx1"/>
                        </w14:solidFill>
                      </w14:textFill>
                    </w:rPr>
                    <w:t>10</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50</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100mg/m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（基准含氧量：</w:t>
                  </w:r>
                  <w:r>
                    <w:rPr>
                      <w:color w:val="000000" w:themeColor="text1"/>
                      <w:szCs w:val="21"/>
                      <w14:textFill>
                        <w14:solidFill>
                          <w14:schemeClr w14:val="tx1"/>
                        </w14:solidFill>
                      </w14:textFill>
                    </w:rPr>
                    <w:t>9%</w:t>
                  </w:r>
                  <w:r>
                    <w:rPr>
                      <w:rFonts w:hint="eastAsia"/>
                      <w:color w:val="000000" w:themeColor="text1"/>
                      <w:szCs w:val="21"/>
                      <w14:textFill>
                        <w14:solidFill>
                          <w14:schemeClr w14:val="tx1"/>
                        </w14:solidFill>
                      </w14:textFill>
                    </w:rPr>
                    <w:t>）</w:t>
                  </w:r>
                </w:p>
              </w:tc>
              <w:tc>
                <w:tcPr>
                  <w:tcW w:w="2982" w:type="dxa"/>
                  <w:shd w:val="clear" w:color="auto" w:fill="auto"/>
                  <w:vAlign w:val="center"/>
                </w:tcPr>
                <w:p w14:paraId="4394F94D">
                  <w:pPr>
                    <w:pStyle w:val="36"/>
                    <w:spacing w:line="240" w:lineRule="auto"/>
                    <w:ind w:firstLine="0" w:firstLineChars="0"/>
                    <w:textAlignment w:val="baseline"/>
                    <w:outlineLvl w:val="9"/>
                    <w:rPr>
                      <w:color w:val="000000" w:themeColor="text1"/>
                      <w:sz w:val="21"/>
                      <w:szCs w:val="21"/>
                      <w14:textFill>
                        <w14:solidFill>
                          <w14:schemeClr w14:val="tx1"/>
                        </w14:solidFill>
                      </w14:textFill>
                    </w:rPr>
                  </w:pPr>
                  <w:bookmarkStart w:id="19" w:name="_Toc27451"/>
                  <w:r>
                    <w:rPr>
                      <w:color w:val="000000" w:themeColor="text1"/>
                      <w:sz w:val="21"/>
                      <w:szCs w:val="21"/>
                      <w14:textFill>
                        <w14:solidFill>
                          <w14:schemeClr w14:val="tx1"/>
                        </w14:solidFill>
                      </w14:textFill>
                    </w:rPr>
                    <w:t>本项目不涉及。</w:t>
                  </w:r>
                  <w:bookmarkEnd w:id="19"/>
                </w:p>
              </w:tc>
              <w:tc>
                <w:tcPr>
                  <w:tcW w:w="878" w:type="dxa"/>
                  <w:shd w:val="clear" w:color="auto" w:fill="auto"/>
                  <w:vAlign w:val="center"/>
                </w:tcPr>
                <w:p w14:paraId="4C94513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6EF099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56" w:type="dxa"/>
                  <w:vMerge w:val="continue"/>
                  <w:vAlign w:val="center"/>
                </w:tcPr>
                <w:p w14:paraId="621C8935">
                  <w:pPr>
                    <w:jc w:val="center"/>
                    <w:rPr>
                      <w:color w:val="000000" w:themeColor="text1"/>
                      <w:szCs w:val="21"/>
                      <w14:textFill>
                        <w14:solidFill>
                          <w14:schemeClr w14:val="tx1"/>
                        </w14:solidFill>
                      </w14:textFill>
                    </w:rPr>
                  </w:pPr>
                </w:p>
              </w:tc>
              <w:tc>
                <w:tcPr>
                  <w:tcW w:w="429" w:type="dxa"/>
                  <w:shd w:val="clear" w:color="auto" w:fill="auto"/>
                  <w:vAlign w:val="center"/>
                </w:tcPr>
                <w:p w14:paraId="4E62CAEE">
                  <w:pPr>
                    <w:spacing w:before="60" w:after="60"/>
                    <w:jc w:val="center"/>
                    <w:outlineLvl w:val="9"/>
                    <w:rPr>
                      <w:color w:val="000000" w:themeColor="text1"/>
                      <w:szCs w:val="21"/>
                      <w14:textFill>
                        <w14:solidFill>
                          <w14:schemeClr w14:val="tx1"/>
                        </w14:solidFill>
                      </w14:textFill>
                    </w:rPr>
                  </w:pPr>
                  <w:bookmarkStart w:id="20" w:name="_Toc7387"/>
                  <w:r>
                    <w:rPr>
                      <w:color w:val="000000" w:themeColor="text1"/>
                      <w:szCs w:val="21"/>
                      <w14:textFill>
                        <w14:solidFill>
                          <w14:schemeClr w14:val="tx1"/>
                        </w14:solidFill>
                      </w14:textFill>
                    </w:rPr>
                    <w:t>其他工序</w:t>
                  </w:r>
                  <w:bookmarkEnd w:id="20"/>
                </w:p>
              </w:tc>
              <w:tc>
                <w:tcPr>
                  <w:tcW w:w="3379" w:type="dxa"/>
                  <w:shd w:val="clear" w:color="auto" w:fill="auto"/>
                  <w:vAlign w:val="center"/>
                </w:tcPr>
                <w:p w14:paraId="2E6A61C8">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PM排放浓度不高于10mg/m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2982" w:type="dxa"/>
                  <w:shd w:val="clear" w:color="auto" w:fill="auto"/>
                  <w:vAlign w:val="center"/>
                </w:tcPr>
                <w:p w14:paraId="4E68C82E">
                  <w:pPr>
                    <w:pStyle w:val="36"/>
                    <w:spacing w:line="240" w:lineRule="auto"/>
                    <w:ind w:firstLine="0" w:firstLineChars="0"/>
                    <w:jc w:val="both"/>
                    <w:textAlignment w:val="baseline"/>
                    <w:outlineLvl w:val="9"/>
                    <w:rPr>
                      <w:color w:val="000000" w:themeColor="text1"/>
                      <w:sz w:val="21"/>
                      <w:szCs w:val="21"/>
                      <w14:textFill>
                        <w14:solidFill>
                          <w14:schemeClr w14:val="tx1"/>
                        </w14:solidFill>
                      </w14:textFill>
                    </w:rPr>
                  </w:pPr>
                  <w:bookmarkStart w:id="21" w:name="_Toc31025"/>
                  <w:r>
                    <w:rPr>
                      <w:color w:val="000000" w:themeColor="text1"/>
                      <w:sz w:val="21"/>
                      <w:szCs w:val="21"/>
                      <w14:textFill>
                        <w14:solidFill>
                          <w14:schemeClr w14:val="tx1"/>
                        </w14:solidFill>
                      </w14:textFill>
                    </w:rPr>
                    <w:t>根据工程分析，本项目营运期</w:t>
                  </w:r>
                  <w:r>
                    <w:rPr>
                      <w:rFonts w:hint="eastAsia"/>
                      <w:color w:val="000000" w:themeColor="text1"/>
                      <w:sz w:val="21"/>
                      <w:szCs w:val="21"/>
                      <w14:textFill>
                        <w14:solidFill>
                          <w14:schemeClr w14:val="tx1"/>
                        </w14:solidFill>
                      </w14:textFill>
                    </w:rPr>
                    <w:t>其他工序</w:t>
                  </w:r>
                  <w:r>
                    <w:rPr>
                      <w:color w:val="000000" w:themeColor="text1"/>
                      <w:sz w:val="21"/>
                      <w:szCs w:val="21"/>
                      <w14:textFill>
                        <w14:solidFill>
                          <w14:schemeClr w14:val="tx1"/>
                        </w14:solidFill>
                      </w14:textFill>
                    </w:rPr>
                    <w:t>PM排放浓度分别不高于10mg/m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bookmarkEnd w:id="21"/>
                </w:p>
              </w:tc>
              <w:tc>
                <w:tcPr>
                  <w:tcW w:w="878" w:type="dxa"/>
                  <w:shd w:val="clear" w:color="auto" w:fill="auto"/>
                  <w:vAlign w:val="center"/>
                </w:tcPr>
                <w:p w14:paraId="2ED7F8B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36A9AFA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985" w:type="dxa"/>
                  <w:gridSpan w:val="2"/>
                  <w:vAlign w:val="center"/>
                </w:tcPr>
                <w:p w14:paraId="36D5BB3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监测监控水平</w:t>
                  </w:r>
                </w:p>
              </w:tc>
              <w:tc>
                <w:tcPr>
                  <w:tcW w:w="3379" w:type="dxa"/>
                  <w:vAlign w:val="center"/>
                </w:tcPr>
                <w:p w14:paraId="3671517C">
                  <w:pPr>
                    <w:rPr>
                      <w:color w:val="000000" w:themeColor="text1"/>
                      <w:szCs w:val="21"/>
                      <w14:textFill>
                        <w14:solidFill>
                          <w14:schemeClr w14:val="tx1"/>
                        </w14:solidFill>
                      </w14:textFill>
                    </w:rPr>
                  </w:pPr>
                  <w:r>
                    <w:rPr>
                      <w:color w:val="000000" w:themeColor="text1"/>
                      <w:szCs w:val="21"/>
                      <w14:textFill>
                        <w14:solidFill>
                          <w14:schemeClr w14:val="tx1"/>
                        </w14:solidFill>
                      </w14:textFill>
                    </w:rPr>
                    <w:t>重点排污企业主要排放口</w:t>
                  </w:r>
                  <w:r>
                    <w:rPr>
                      <w:rFonts w:hint="eastAsia"/>
                      <w:color w:val="000000" w:themeColor="text1"/>
                      <w:szCs w:val="21"/>
                      <w:vertAlign w:val="superscript"/>
                      <w14:textFill>
                        <w14:solidFill>
                          <w14:schemeClr w14:val="tx1"/>
                        </w14:solidFill>
                      </w14:textFill>
                    </w:rPr>
                    <w:t>【</w:t>
                  </w:r>
                  <w:r>
                    <w:rPr>
                      <w:color w:val="000000" w:themeColor="text1"/>
                      <w:szCs w:val="21"/>
                      <w:vertAlign w:val="superscript"/>
                      <w14:textFill>
                        <w14:solidFill>
                          <w14:schemeClr w14:val="tx1"/>
                        </w14:solidFill>
                      </w14:textFill>
                    </w:rPr>
                    <w:t>6</w:t>
                  </w:r>
                  <w:r>
                    <w:rPr>
                      <w:rFonts w:hint="eastAsia"/>
                      <w:color w:val="000000" w:themeColor="text1"/>
                      <w:szCs w:val="21"/>
                      <w:vertAlign w:val="superscript"/>
                      <w14:textFill>
                        <w14:solidFill>
                          <w14:schemeClr w14:val="tx1"/>
                        </w14:solidFill>
                      </w14:textFill>
                    </w:rPr>
                    <w:t>】</w:t>
                  </w:r>
                  <w:r>
                    <w:rPr>
                      <w:rFonts w:hint="eastAsia"/>
                      <w:color w:val="000000" w:themeColor="text1"/>
                      <w:szCs w:val="21"/>
                      <w14:textFill>
                        <w14:solidFill>
                          <w14:schemeClr w14:val="tx1"/>
                        </w14:solidFill>
                      </w14:textFill>
                    </w:rPr>
                    <w:t>安装</w:t>
                  </w:r>
                  <w:r>
                    <w:rPr>
                      <w:color w:val="000000" w:themeColor="text1"/>
                      <w:szCs w:val="21"/>
                      <w14:textFill>
                        <w14:solidFill>
                          <w14:schemeClr w14:val="tx1"/>
                        </w14:solidFill>
                      </w14:textFill>
                    </w:rPr>
                    <w:t>CEMS</w:t>
                  </w:r>
                  <w:r>
                    <w:rPr>
                      <w:rFonts w:hint="eastAsia"/>
                      <w:color w:val="000000" w:themeColor="text1"/>
                      <w:szCs w:val="21"/>
                      <w14:textFill>
                        <w14:solidFill>
                          <w14:schemeClr w14:val="tx1"/>
                        </w14:solidFill>
                      </w14:textFill>
                    </w:rPr>
                    <w:t>，记录生产设施运行情况，并按要求与省厅联网；</w:t>
                  </w:r>
                  <w:r>
                    <w:rPr>
                      <w:color w:val="000000" w:themeColor="text1"/>
                      <w:szCs w:val="21"/>
                      <w14:textFill>
                        <w14:solidFill>
                          <w14:schemeClr w14:val="tx1"/>
                        </w14:solidFill>
                      </w14:textFill>
                    </w:rPr>
                    <w:t>CEMS</w:t>
                  </w:r>
                  <w:r>
                    <w:rPr>
                      <w:rFonts w:hint="eastAsia"/>
                      <w:color w:val="000000" w:themeColor="text1"/>
                      <w:szCs w:val="21"/>
                      <w14:textFill>
                        <w14:solidFill>
                          <w14:schemeClr w14:val="tx1"/>
                        </w14:solidFill>
                      </w14:textFill>
                    </w:rPr>
                    <w:t>数据至少保存最近</w:t>
                  </w:r>
                  <w:r>
                    <w:rPr>
                      <w:color w:val="000000" w:themeColor="text1"/>
                      <w:szCs w:val="21"/>
                      <w14:textFill>
                        <w14:solidFill>
                          <w14:schemeClr w14:val="tx1"/>
                        </w14:solidFill>
                      </w14:textFill>
                    </w:rPr>
                    <w:t>12</w:t>
                  </w:r>
                  <w:r>
                    <w:rPr>
                      <w:rFonts w:hint="eastAsia"/>
                      <w:color w:val="000000" w:themeColor="text1"/>
                      <w:szCs w:val="21"/>
                      <w14:textFill>
                        <w14:solidFill>
                          <w14:schemeClr w14:val="tx1"/>
                        </w14:solidFill>
                      </w14:textFill>
                    </w:rPr>
                    <w:t>个月的</w:t>
                  </w: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分钟均值、</w:t>
                  </w:r>
                  <w:r>
                    <w:rPr>
                      <w:color w:val="000000" w:themeColor="text1"/>
                      <w:szCs w:val="21"/>
                      <w14:textFill>
                        <w14:solidFill>
                          <w14:schemeClr w14:val="tx1"/>
                        </w14:solidFill>
                      </w14:textFill>
                    </w:rPr>
                    <w:t>36</w:t>
                  </w:r>
                  <w:r>
                    <w:rPr>
                      <w:rFonts w:hint="eastAsia"/>
                      <w:color w:val="000000" w:themeColor="text1"/>
                      <w:szCs w:val="21"/>
                      <w14:textFill>
                        <w14:solidFill>
                          <w14:schemeClr w14:val="tx1"/>
                        </w14:solidFill>
                      </w14:textFill>
                    </w:rPr>
                    <w:t>个月的</w:t>
                  </w: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小时均值及</w:t>
                  </w:r>
                  <w:r>
                    <w:rPr>
                      <w:color w:val="000000" w:themeColor="text1"/>
                      <w:szCs w:val="21"/>
                      <w14:textFill>
                        <w14:solidFill>
                          <w14:schemeClr w14:val="tx1"/>
                        </w14:solidFill>
                      </w14:textFill>
                    </w:rPr>
                    <w:t>60</w:t>
                  </w:r>
                  <w:r>
                    <w:rPr>
                      <w:rFonts w:hint="eastAsia"/>
                      <w:color w:val="000000" w:themeColor="text1"/>
                      <w:szCs w:val="21"/>
                      <w14:textFill>
                        <w14:solidFill>
                          <w14:schemeClr w14:val="tx1"/>
                        </w14:solidFill>
                      </w14:textFill>
                    </w:rPr>
                    <w:t>个月的日均值和月均值。（投产或安装时间不满一年以上的企业，以现有数据为准）。</w:t>
                  </w:r>
                </w:p>
              </w:tc>
              <w:tc>
                <w:tcPr>
                  <w:tcW w:w="2982" w:type="dxa"/>
                  <w:shd w:val="clear" w:color="auto" w:fill="auto"/>
                  <w:vAlign w:val="center"/>
                </w:tcPr>
                <w:p w14:paraId="23A4643D">
                  <w:pPr>
                    <w:pStyle w:val="36"/>
                    <w:spacing w:line="240" w:lineRule="auto"/>
                    <w:ind w:firstLine="0" w:firstLineChars="0"/>
                    <w:textAlignment w:val="baseline"/>
                    <w:outlineLvl w:val="9"/>
                    <w:rPr>
                      <w:color w:val="000000" w:themeColor="text1"/>
                      <w:sz w:val="21"/>
                      <w:szCs w:val="21"/>
                      <w14:textFill>
                        <w14:solidFill>
                          <w14:schemeClr w14:val="tx1"/>
                        </w14:solidFill>
                      </w14:textFill>
                    </w:rPr>
                  </w:pPr>
                  <w:bookmarkStart w:id="22" w:name="_Toc18748"/>
                  <w:r>
                    <w:rPr>
                      <w:rFonts w:hint="eastAsia"/>
                      <w:color w:val="000000" w:themeColor="text1"/>
                      <w:sz w:val="21"/>
                      <w:szCs w:val="21"/>
                      <w14:textFill>
                        <w14:solidFill>
                          <w14:schemeClr w14:val="tx1"/>
                        </w14:solidFill>
                      </w14:textFill>
                    </w:rPr>
                    <w:t>本项目不属于重点排污企业</w:t>
                  </w:r>
                  <w:bookmarkEnd w:id="22"/>
                </w:p>
              </w:tc>
              <w:tc>
                <w:tcPr>
                  <w:tcW w:w="878" w:type="dxa"/>
                  <w:shd w:val="clear" w:color="auto" w:fill="auto"/>
                  <w:vAlign w:val="center"/>
                </w:tcPr>
                <w:p w14:paraId="650A264C">
                  <w:pPr>
                    <w:jc w:val="center"/>
                    <w:rPr>
                      <w:bCs/>
                      <w:color w:val="000000" w:themeColor="text1"/>
                      <w:szCs w:val="21"/>
                      <w14:textFill>
                        <w14:solidFill>
                          <w14:schemeClr w14:val="tx1"/>
                        </w14:solidFill>
                      </w14:textFill>
                    </w:rPr>
                  </w:pPr>
                  <w:r>
                    <w:rPr>
                      <w:rFonts w:hint="eastAsia"/>
                      <w:color w:val="000000" w:themeColor="text1"/>
                      <w14:textFill>
                        <w14:solidFill>
                          <w14:schemeClr w14:val="tx1"/>
                        </w14:solidFill>
                      </w14:textFill>
                    </w:rPr>
                    <w:t>相符</w:t>
                  </w:r>
                </w:p>
              </w:tc>
            </w:tr>
            <w:tr w14:paraId="504F9BE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8224" w:type="dxa"/>
                  <w:gridSpan w:val="5"/>
                  <w:vAlign w:val="center"/>
                </w:tcPr>
                <w:p w14:paraId="6346DE2E">
                  <w:pPr>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r>
                    <w:rPr>
                      <w:rFonts w:hint="eastAsia"/>
                      <w:color w:val="000000" w:themeColor="text1"/>
                      <w:vertAlign w:val="superscript"/>
                      <w14:textFill>
                        <w14:solidFill>
                          <w14:schemeClr w14:val="tx1"/>
                        </w14:solidFill>
                      </w14:textFill>
                    </w:rPr>
                    <w:t>【1】</w:t>
                  </w:r>
                  <w:r>
                    <w:rPr>
                      <w:rFonts w:hint="eastAsia"/>
                      <w:color w:val="000000" w:themeColor="text1"/>
                      <w14:textFill>
                        <w14:solidFill>
                          <w14:schemeClr w14:val="tx1"/>
                        </w14:solidFill>
                      </w14:textFill>
                    </w:rPr>
                    <w:t>：燃气锅炉在PM稳定达到排放限值情况下可不采用除尘工艺；</w:t>
                  </w:r>
                </w:p>
                <w:p w14:paraId="5D5C5D59">
                  <w:pPr>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r>
                    <w:rPr>
                      <w:rFonts w:hint="eastAsia"/>
                      <w:color w:val="000000" w:themeColor="text1"/>
                      <w:vertAlign w:val="superscript"/>
                      <w14:textFill>
                        <w14:solidFill>
                          <w14:schemeClr w14:val="tx1"/>
                        </w14:solidFill>
                      </w14:textFill>
                    </w:rPr>
                    <w:t>【2】</w:t>
                  </w:r>
                  <w:r>
                    <w:rPr>
                      <w:rFonts w:hint="eastAsia"/>
                      <w:color w:val="000000" w:themeColor="text1"/>
                      <w14:textFill>
                        <w14:solidFill>
                          <w14:schemeClr w14:val="tx1"/>
                        </w14:solidFill>
                      </w14:textFill>
                    </w:rPr>
                    <w:t>：温度低于800℃的燃气/燃油的干燥窑、热处理窑和燃气/生物质锅炉，在稳定达到排放限值情况下可不采用SCR/SNCR等工艺；</w:t>
                  </w:r>
                </w:p>
                <w:p w14:paraId="1A61DC09">
                  <w:pPr>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：采用纯生物质锅炉、炉窑，在SO</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稳定达到排放限值情况下可不采用脱硫工艺；</w:t>
                  </w:r>
                </w:p>
                <w:p w14:paraId="53FCE663">
                  <w:pPr>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r>
                    <w:rPr>
                      <w:rFonts w:hint="eastAsia"/>
                      <w:color w:val="000000" w:themeColor="text1"/>
                      <w:vertAlign w:val="superscript"/>
                      <w14:textFill>
                        <w14:solidFill>
                          <w14:schemeClr w14:val="tx1"/>
                        </w14:solidFill>
                      </w14:textFill>
                    </w:rPr>
                    <w:t>【4】</w:t>
                  </w:r>
                  <w:r>
                    <w:rPr>
                      <w:rFonts w:hint="eastAsia"/>
                      <w:color w:val="000000" w:themeColor="text1"/>
                      <w14:textFill>
                        <w14:solidFill>
                          <w14:schemeClr w14:val="tx1"/>
                        </w14:solidFill>
                      </w14:textFill>
                    </w:rPr>
                    <w:t>：新建燃气锅炉和需要采取特别保护措施的区域，执行该排放限值；</w:t>
                  </w:r>
                </w:p>
                <w:p w14:paraId="75D52E62">
                  <w:pPr>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r>
                    <w:rPr>
                      <w:rFonts w:hint="eastAsia"/>
                      <w:color w:val="000000" w:themeColor="text1"/>
                      <w:vertAlign w:val="superscript"/>
                      <w14:textFill>
                        <w14:solidFill>
                          <w14:schemeClr w14:val="tx1"/>
                        </w14:solidFill>
                      </w14:textFill>
                    </w:rPr>
                    <w:t>【5】</w:t>
                  </w:r>
                  <w:r>
                    <w:rPr>
                      <w:rFonts w:hint="eastAsia"/>
                      <w:color w:val="000000" w:themeColor="text1"/>
                      <w14:textFill>
                        <w14:solidFill>
                          <w14:schemeClr w14:val="tx1"/>
                        </w14:solidFill>
                      </w14:textFill>
                    </w:rPr>
                    <w:t>：确定生物质发电锅炉基准含氧量按6%计；</w:t>
                  </w:r>
                </w:p>
                <w:p w14:paraId="757BC849">
                  <w:pPr>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r>
                    <w:rPr>
                      <w:rFonts w:hint="eastAsia"/>
                      <w:color w:val="000000" w:themeColor="text1"/>
                      <w:vertAlign w:val="superscript"/>
                      <w14:textFill>
                        <w14:solidFill>
                          <w14:schemeClr w14:val="tx1"/>
                        </w14:solidFill>
                      </w14:textFill>
                    </w:rPr>
                    <w:t>【6】</w:t>
                  </w:r>
                  <w:r>
                    <w:rPr>
                      <w:rFonts w:hint="eastAsia"/>
                      <w:color w:val="000000" w:themeColor="text1"/>
                      <w14:textFill>
                        <w14:solidFill>
                          <w14:schemeClr w14:val="tx1"/>
                        </w14:solidFill>
                      </w14:textFill>
                    </w:rPr>
                    <w:t>：主要排放口按照《排污许可证申请与核发技术规范XX工业》确定。</w:t>
                  </w:r>
                </w:p>
              </w:tc>
            </w:tr>
          </w:tbl>
          <w:p w14:paraId="449A6889">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.4</w:t>
            </w:r>
            <w:r>
              <w:rPr>
                <w:b/>
                <w:color w:val="000000" w:themeColor="text1"/>
                <w:sz w:val="24"/>
                <w14:textFill>
                  <w14:solidFill>
                    <w14:schemeClr w14:val="tx1"/>
                  </w14:solidFill>
                </w14:textFill>
              </w:rPr>
              <w:t>、项目与《</w:t>
            </w:r>
            <w:r>
              <w:rPr>
                <w:rFonts w:hint="eastAsia"/>
                <w:b/>
                <w:color w:val="000000" w:themeColor="text1"/>
                <w:sz w:val="24"/>
                <w14:textFill>
                  <w14:solidFill>
                    <w14:schemeClr w14:val="tx1"/>
                  </w14:solidFill>
                </w14:textFill>
              </w:rPr>
              <w:t>南阳市</w:t>
            </w:r>
            <w:r>
              <w:rPr>
                <w:b/>
                <w:color w:val="000000" w:themeColor="text1"/>
                <w:sz w:val="24"/>
                <w14:textFill>
                  <w14:solidFill>
                    <w14:schemeClr w14:val="tx1"/>
                  </w14:solidFill>
                </w14:textFill>
              </w:rPr>
              <w:t>人民政府关于印发</w:t>
            </w:r>
            <w:r>
              <w:rPr>
                <w:rFonts w:hint="eastAsia"/>
                <w:b/>
                <w:color w:val="000000" w:themeColor="text1"/>
                <w:sz w:val="24"/>
                <w14:textFill>
                  <w14:solidFill>
                    <w14:schemeClr w14:val="tx1"/>
                  </w14:solidFill>
                </w14:textFill>
              </w:rPr>
              <w:t>南阳市</w:t>
            </w:r>
            <w:r>
              <w:rPr>
                <w:b/>
                <w:color w:val="000000" w:themeColor="text1"/>
                <w:sz w:val="24"/>
                <w14:textFill>
                  <w14:solidFill>
                    <w14:schemeClr w14:val="tx1"/>
                  </w14:solidFill>
                </w14:textFill>
              </w:rPr>
              <w:t>空气质量持续改善行动计划》（</w:t>
            </w:r>
            <w:r>
              <w:rPr>
                <w:rFonts w:hint="eastAsia"/>
                <w:b/>
                <w:color w:val="000000" w:themeColor="text1"/>
                <w:sz w:val="24"/>
                <w14:textFill>
                  <w14:solidFill>
                    <w14:schemeClr w14:val="tx1"/>
                  </w14:solidFill>
                </w14:textFill>
              </w:rPr>
              <w:t>宛</w:t>
            </w:r>
            <w:r>
              <w:rPr>
                <w:b/>
                <w:color w:val="000000" w:themeColor="text1"/>
                <w:sz w:val="24"/>
                <w14:textFill>
                  <w14:solidFill>
                    <w14:schemeClr w14:val="tx1"/>
                  </w14:solidFill>
                </w14:textFill>
              </w:rPr>
              <w:t>政〔2024〕</w:t>
            </w: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号）的相符性分析</w:t>
            </w:r>
          </w:p>
          <w:p w14:paraId="6151BF41">
            <w:pPr>
              <w:widowControl/>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14:textFill>
                  <w14:solidFill>
                    <w14:schemeClr w14:val="tx1"/>
                  </w14:solidFill>
                </w14:textFill>
              </w:rPr>
              <w:t xml:space="preserve">8 </w:t>
            </w:r>
            <w:r>
              <w:rPr>
                <w:b/>
                <w:color w:val="000000" w:themeColor="text1"/>
                <w:sz w:val="24"/>
                <w14:textFill>
                  <w14:solidFill>
                    <w14:schemeClr w14:val="tx1"/>
                  </w14:solidFill>
                </w14:textFill>
              </w:rPr>
              <w:t xml:space="preserve"> 项目与</w:t>
            </w:r>
            <w:r>
              <w:rPr>
                <w:rFonts w:hint="eastAsia"/>
                <w:b/>
                <w:color w:val="000000" w:themeColor="text1"/>
                <w:sz w:val="24"/>
                <w14:textFill>
                  <w14:solidFill>
                    <w14:schemeClr w14:val="tx1"/>
                  </w14:solidFill>
                </w14:textFill>
              </w:rPr>
              <w:t>宛</w:t>
            </w:r>
            <w:r>
              <w:rPr>
                <w:b/>
                <w:color w:val="000000" w:themeColor="text1"/>
                <w:sz w:val="24"/>
                <w14:textFill>
                  <w14:solidFill>
                    <w14:schemeClr w14:val="tx1"/>
                  </w14:solidFill>
                </w14:textFill>
              </w:rPr>
              <w:t>政〔2024〕</w:t>
            </w:r>
            <w:r>
              <w:rPr>
                <w:rFonts w:hint="eastAsia"/>
                <w:b/>
                <w:color w:val="000000" w:themeColor="text1"/>
                <w:sz w:val="24"/>
                <w14:textFill>
                  <w14:solidFill>
                    <w14:schemeClr w14:val="tx1"/>
                  </w14:solidFill>
                </w14:textFill>
              </w:rPr>
              <w:t>6</w:t>
            </w:r>
            <w:r>
              <w:rPr>
                <w:b/>
                <w:color w:val="000000" w:themeColor="text1"/>
                <w:sz w:val="24"/>
                <w14:textFill>
                  <w14:solidFill>
                    <w14:schemeClr w14:val="tx1"/>
                  </w14:solidFill>
                </w14:textFill>
              </w:rPr>
              <w:t>号相符性分析比对表</w:t>
            </w:r>
          </w:p>
          <w:tbl>
            <w:tblPr>
              <w:tblStyle w:val="25"/>
              <w:tblW w:w="4989"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850"/>
              <w:gridCol w:w="3783"/>
              <w:gridCol w:w="2887"/>
              <w:gridCol w:w="759"/>
            </w:tblGrid>
            <w:tr w14:paraId="66F168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797" w:type="pct"/>
                  <w:gridSpan w:val="2"/>
                  <w:tcBorders>
                    <w:top w:val="single" w:color="auto" w:sz="6" w:space="0"/>
                    <w:left w:val="single" w:color="auto" w:sz="6" w:space="0"/>
                    <w:bottom w:val="single" w:color="auto" w:sz="4" w:space="0"/>
                    <w:right w:val="single" w:color="auto" w:sz="4" w:space="0"/>
                  </w:tcBorders>
                  <w:vAlign w:val="center"/>
                </w:tcPr>
                <w:p w14:paraId="6822DA3C">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要求</w:t>
                  </w:r>
                </w:p>
              </w:tc>
              <w:tc>
                <w:tcPr>
                  <w:tcW w:w="1743" w:type="pct"/>
                  <w:tcBorders>
                    <w:top w:val="single" w:color="auto" w:sz="6" w:space="0"/>
                    <w:left w:val="single" w:color="auto" w:sz="4" w:space="0"/>
                    <w:bottom w:val="single" w:color="auto" w:sz="4" w:space="0"/>
                    <w:right w:val="single" w:color="auto" w:sz="4" w:space="0"/>
                  </w:tcBorders>
                  <w:vAlign w:val="center"/>
                </w:tcPr>
                <w:p w14:paraId="6839A8BF">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本项目情况</w:t>
                  </w:r>
                </w:p>
              </w:tc>
              <w:tc>
                <w:tcPr>
                  <w:tcW w:w="458" w:type="pct"/>
                  <w:tcBorders>
                    <w:top w:val="single" w:color="auto" w:sz="6" w:space="0"/>
                    <w:left w:val="single" w:color="auto" w:sz="4" w:space="0"/>
                    <w:bottom w:val="single" w:color="auto" w:sz="4" w:space="0"/>
                    <w:right w:val="single" w:color="auto" w:sz="6" w:space="0"/>
                  </w:tcBorders>
                  <w:vAlign w:val="center"/>
                </w:tcPr>
                <w:p w14:paraId="1CA59868">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相符性</w:t>
                  </w:r>
                </w:p>
              </w:tc>
            </w:tr>
            <w:tr w14:paraId="7181362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tcBorders>
                    <w:top w:val="single" w:color="auto" w:sz="4" w:space="0"/>
                    <w:left w:val="single" w:color="auto" w:sz="6" w:space="0"/>
                    <w:right w:val="single" w:color="auto" w:sz="4" w:space="0"/>
                  </w:tcBorders>
                  <w:vAlign w:val="center"/>
                </w:tcPr>
                <w:p w14:paraId="78CBB960">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二、优化产业结构，促进产业绿色发展</w:t>
                  </w:r>
                </w:p>
              </w:tc>
              <w:tc>
                <w:tcPr>
                  <w:tcW w:w="2284" w:type="pct"/>
                  <w:tcBorders>
                    <w:top w:val="single" w:color="auto" w:sz="4" w:space="0"/>
                    <w:left w:val="single" w:color="auto" w:sz="4" w:space="0"/>
                    <w:bottom w:val="single" w:color="auto" w:sz="4" w:space="0"/>
                    <w:right w:val="single" w:color="auto" w:sz="4" w:space="0"/>
                  </w:tcBorders>
                  <w:vAlign w:val="center"/>
                </w:tcPr>
                <w:p w14:paraId="5601C368">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（一）严把</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项目准入关口。严格落实国家</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省</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项目相关要求，严禁新增钢铁产能。严格执行有关行业产能置换政策，被置换产能及其配套设施关停后，新建项目方可投产。国家、省绩效分级重点行业以及涉及锅炉炉窑的其他行业，新（改、扩）建项目原则上达到环境绩效A级或国内清洁生产先进水平。</w:t>
                  </w:r>
                </w:p>
              </w:tc>
              <w:tc>
                <w:tcPr>
                  <w:tcW w:w="1743" w:type="pct"/>
                  <w:tcBorders>
                    <w:top w:val="single" w:color="auto" w:sz="4" w:space="0"/>
                    <w:left w:val="single" w:color="auto" w:sz="4" w:space="0"/>
                    <w:bottom w:val="single" w:color="auto" w:sz="4" w:space="0"/>
                    <w:right w:val="single" w:color="auto" w:sz="4" w:space="0"/>
                  </w:tcBorders>
                  <w:vAlign w:val="center"/>
                </w:tcPr>
                <w:p w14:paraId="744C08E7">
                  <w:pPr>
                    <w:pStyle w:val="8"/>
                    <w:rPr>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本项目属于</w:t>
                  </w:r>
                  <w:r>
                    <w:rPr>
                      <w:color w:val="000000" w:themeColor="text1"/>
                      <w:szCs w:val="21"/>
                      <w14:textFill>
                        <w14:solidFill>
                          <w14:schemeClr w14:val="tx1"/>
                        </w14:solidFill>
                      </w14:textFill>
                    </w:rPr>
                    <w:t>酒、饮料制造业</w:t>
                  </w:r>
                  <w:r>
                    <w:rPr>
                      <w:rFonts w:hint="eastAsia"/>
                      <w:color w:val="000000" w:themeColor="text1"/>
                      <w:szCs w:val="21"/>
                      <w14:textFill>
                        <w14:solidFill>
                          <w14:schemeClr w14:val="tx1"/>
                        </w14:solidFill>
                      </w14:textFill>
                    </w:rPr>
                    <w:t>以及</w:t>
                  </w:r>
                  <w:r>
                    <w:rPr>
                      <w:color w:val="000000" w:themeColor="text1"/>
                      <w:szCs w:val="21"/>
                      <w14:textFill>
                        <w14:solidFill>
                          <w14:schemeClr w14:val="tx1"/>
                        </w14:solidFill>
                      </w14:textFill>
                    </w:rPr>
                    <w:t>医药制造业</w:t>
                  </w:r>
                  <w:r>
                    <w:rPr>
                      <w:bCs/>
                      <w:color w:val="000000" w:themeColor="text1"/>
                      <w:kern w:val="0"/>
                      <w:szCs w:val="21"/>
                      <w14:textFill>
                        <w14:solidFill>
                          <w14:schemeClr w14:val="tx1"/>
                        </w14:solidFill>
                      </w14:textFill>
                    </w:rPr>
                    <w:t>，项目不属于</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14:textFill>
                        <w14:solidFill>
                          <w14:schemeClr w14:val="tx1"/>
                        </w14:solidFill>
                      </w14:textFill>
                    </w:rPr>
                    <w:t>”</w:t>
                  </w:r>
                  <w:r>
                    <w:rPr>
                      <w:bCs/>
                      <w:color w:val="000000" w:themeColor="text1"/>
                      <w:kern w:val="0"/>
                      <w:szCs w:val="21"/>
                      <w14:textFill>
                        <w14:solidFill>
                          <w14:schemeClr w14:val="tx1"/>
                        </w14:solidFill>
                      </w14:textFill>
                    </w:rPr>
                    <w:t>项目；项目不属于新增钢铁产能，符合区域</w:t>
                  </w: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三线一单</w:t>
                  </w: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管控要求；经比对《河南省重污染天气通用行业应急减排措施制定技术指南》（202</w:t>
                  </w:r>
                  <w:r>
                    <w:rPr>
                      <w:rFonts w:hint="eastAsia"/>
                      <w:bCs/>
                      <w:color w:val="000000" w:themeColor="text1"/>
                      <w:kern w:val="0"/>
                      <w:szCs w:val="21"/>
                      <w14:textFill>
                        <w14:solidFill>
                          <w14:schemeClr w14:val="tx1"/>
                        </w14:solidFill>
                      </w14:textFill>
                    </w:rPr>
                    <w:t>4</w:t>
                  </w:r>
                  <w:r>
                    <w:rPr>
                      <w:bCs/>
                      <w:color w:val="000000" w:themeColor="text1"/>
                      <w:kern w:val="0"/>
                      <w:szCs w:val="21"/>
                      <w14:textFill>
                        <w14:solidFill>
                          <w14:schemeClr w14:val="tx1"/>
                        </w14:solidFill>
                      </w14:textFill>
                    </w:rPr>
                    <w:t>年修订版）中通用行业，项目营运期按本环评提出的污染防治措施落实到位后，可达到</w:t>
                  </w:r>
                  <w:r>
                    <w:rPr>
                      <w:rFonts w:hint="eastAsia"/>
                      <w:color w:val="000000" w:themeColor="text1"/>
                      <w:szCs w:val="21"/>
                      <w14:textFill>
                        <w14:solidFill>
                          <w14:schemeClr w14:val="tx1"/>
                        </w14:solidFill>
                      </w14:textFill>
                    </w:rPr>
                    <w:t>通用行业基本要求</w:t>
                  </w:r>
                  <w:r>
                    <w:rPr>
                      <w:bCs/>
                      <w:color w:val="000000" w:themeColor="text1"/>
                      <w:kern w:val="0"/>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6F9B2ABC">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相符</w:t>
                  </w:r>
                </w:p>
              </w:tc>
            </w:tr>
            <w:tr w14:paraId="5EC73AB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vMerge w:val="restart"/>
                  <w:tcBorders>
                    <w:top w:val="single" w:color="auto" w:sz="4" w:space="0"/>
                    <w:left w:val="single" w:color="auto" w:sz="6" w:space="0"/>
                    <w:right w:val="single" w:color="auto" w:sz="4" w:space="0"/>
                  </w:tcBorders>
                  <w:vAlign w:val="center"/>
                </w:tcPr>
                <w:p w14:paraId="4789697B">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三、优化能源结构，加快能源绿色低碳发展</w:t>
                  </w:r>
                </w:p>
              </w:tc>
              <w:tc>
                <w:tcPr>
                  <w:tcW w:w="2284" w:type="pct"/>
                  <w:tcBorders>
                    <w:top w:val="single" w:color="auto" w:sz="4" w:space="0"/>
                    <w:left w:val="single" w:color="auto" w:sz="4" w:space="0"/>
                    <w:bottom w:val="single" w:color="auto" w:sz="4" w:space="0"/>
                    <w:right w:val="single" w:color="auto" w:sz="4" w:space="0"/>
                  </w:tcBorders>
                  <w:vAlign w:val="center"/>
                </w:tcPr>
                <w:p w14:paraId="327063AA">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（一）大力发展清洁能源。</w:t>
                  </w:r>
                  <w:r>
                    <w:rPr>
                      <w:color w:val="000000" w:themeColor="text1"/>
                      <w:szCs w:val="21"/>
                      <w:shd w:val="clear" w:color="auto" w:fill="FFFFFF"/>
                      <w14:textFill>
                        <w14:solidFill>
                          <w14:schemeClr w14:val="tx1"/>
                        </w14:solidFill>
                      </w14:textFill>
                    </w:rPr>
                    <w:t>加快非化石能源发展</w:t>
                  </w:r>
                  <w:r>
                    <w:rPr>
                      <w:rFonts w:hint="eastAsia"/>
                      <w:color w:val="000000" w:themeColor="text1"/>
                      <w:szCs w:val="21"/>
                      <w:shd w:val="clear" w:color="auto" w:fill="FFFFFF"/>
                      <w:lang w:eastAsia="zh-CN"/>
                      <w14:textFill>
                        <w14:solidFill>
                          <w14:schemeClr w14:val="tx1"/>
                        </w14:solidFill>
                      </w14:textFill>
                    </w:rPr>
                    <w:t>，</w:t>
                  </w:r>
                  <w:r>
                    <w:rPr>
                      <w:color w:val="000000" w:themeColor="text1"/>
                      <w:szCs w:val="21"/>
                      <w:shd w:val="clear" w:color="auto" w:fill="FFFFFF"/>
                      <w14:textFill>
                        <w14:solidFill>
                          <w14:schemeClr w14:val="tx1"/>
                        </w14:solidFill>
                      </w14:textFill>
                    </w:rPr>
                    <w:t>以光伏发电、风电为重点</w:t>
                  </w:r>
                  <w:r>
                    <w:rPr>
                      <w:rFonts w:hint="eastAsia"/>
                      <w:color w:val="000000" w:themeColor="text1"/>
                      <w:szCs w:val="21"/>
                      <w:shd w:val="clear" w:color="auto" w:fill="FFFFFF"/>
                      <w:lang w:eastAsia="zh-CN"/>
                      <w14:textFill>
                        <w14:solidFill>
                          <w14:schemeClr w14:val="tx1"/>
                        </w14:solidFill>
                      </w14:textFill>
                    </w:rPr>
                    <w:t>，</w:t>
                  </w:r>
                  <w:r>
                    <w:rPr>
                      <w:color w:val="000000" w:themeColor="text1"/>
                      <w:szCs w:val="21"/>
                      <w:shd w:val="clear" w:color="auto" w:fill="FFFFFF"/>
                      <w14:textFill>
                        <w14:solidFill>
                          <w14:schemeClr w14:val="tx1"/>
                        </w14:solidFill>
                      </w14:textFill>
                    </w:rPr>
                    <w:t>以生物质、抽水蓄能、地热能、氢能等为补充,因地制宜推动可再生能源多元化、协同化发展。到2025年</w:t>
                  </w:r>
                  <w:r>
                    <w:rPr>
                      <w:rFonts w:hint="eastAsia"/>
                      <w:color w:val="000000" w:themeColor="text1"/>
                      <w:szCs w:val="21"/>
                      <w:shd w:val="clear" w:color="auto" w:fill="FFFFFF"/>
                      <w:lang w:eastAsia="zh-CN"/>
                      <w14:textFill>
                        <w14:solidFill>
                          <w14:schemeClr w14:val="tx1"/>
                        </w14:solidFill>
                      </w14:textFill>
                    </w:rPr>
                    <w:t>，</w:t>
                  </w:r>
                  <w:r>
                    <w:rPr>
                      <w:color w:val="000000" w:themeColor="text1"/>
                      <w:szCs w:val="21"/>
                      <w:shd w:val="clear" w:color="auto" w:fill="FFFFFF"/>
                      <w14:textFill>
                        <w14:solidFill>
                          <w14:schemeClr w14:val="tx1"/>
                        </w14:solidFill>
                      </w14:textFill>
                    </w:rPr>
                    <w:t>风电装机容量达到260万千瓦以上，光伏发电装机容量达到430万千瓦以上</w:t>
                  </w:r>
                  <w:r>
                    <w:rPr>
                      <w:rFonts w:hint="eastAsia"/>
                      <w:color w:val="000000" w:themeColor="text1"/>
                      <w:szCs w:val="21"/>
                      <w:shd w:val="clear" w:color="auto" w:fill="FFFFFF"/>
                      <w:lang w:eastAsia="zh-CN"/>
                      <w14:textFill>
                        <w14:solidFill>
                          <w14:schemeClr w14:val="tx1"/>
                        </w14:solidFill>
                      </w14:textFill>
                    </w:rPr>
                    <w:t>，</w:t>
                  </w:r>
                  <w:r>
                    <w:rPr>
                      <w:color w:val="000000" w:themeColor="text1"/>
                      <w:szCs w:val="21"/>
                      <w:shd w:val="clear" w:color="auto" w:fill="FFFFFF"/>
                      <w14:textFill>
                        <w14:solidFill>
                          <w14:schemeClr w14:val="tx1"/>
                        </w14:solidFill>
                      </w14:textFill>
                    </w:rPr>
                    <w:t>可再生能源发电装机容量力争达到850万千瓦以上</w:t>
                  </w:r>
                </w:p>
              </w:tc>
              <w:tc>
                <w:tcPr>
                  <w:tcW w:w="1743" w:type="pct"/>
                  <w:tcBorders>
                    <w:top w:val="single" w:color="auto" w:sz="4" w:space="0"/>
                    <w:left w:val="single" w:color="auto" w:sz="4" w:space="0"/>
                    <w:bottom w:val="single" w:color="auto" w:sz="4" w:space="0"/>
                    <w:right w:val="single" w:color="auto" w:sz="4" w:space="0"/>
                  </w:tcBorders>
                  <w:vAlign w:val="center"/>
                </w:tcPr>
                <w:p w14:paraId="25F0623D">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本项目使用电能</w:t>
                  </w:r>
                  <w:r>
                    <w:rPr>
                      <w:rFonts w:hint="eastAsia"/>
                      <w:color w:val="000000" w:themeColor="text1"/>
                      <w:szCs w:val="21"/>
                      <w14:textFill>
                        <w14:solidFill>
                          <w14:schemeClr w14:val="tx1"/>
                        </w14:solidFill>
                      </w14:textFill>
                    </w:rPr>
                    <w:t>以及天然气</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均</w:t>
                  </w:r>
                  <w:r>
                    <w:rPr>
                      <w:color w:val="000000" w:themeColor="text1"/>
                      <w:szCs w:val="21"/>
                      <w14:textFill>
                        <w14:solidFill>
                          <w14:schemeClr w14:val="tx1"/>
                        </w14:solidFill>
                      </w14:textFill>
                    </w:rPr>
                    <w:t>为清洁能源。</w:t>
                  </w:r>
                </w:p>
              </w:tc>
              <w:tc>
                <w:tcPr>
                  <w:tcW w:w="458" w:type="pct"/>
                  <w:tcBorders>
                    <w:top w:val="single" w:color="auto" w:sz="4" w:space="0"/>
                    <w:left w:val="single" w:color="auto" w:sz="4" w:space="0"/>
                    <w:bottom w:val="single" w:color="auto" w:sz="4" w:space="0"/>
                    <w:right w:val="single" w:color="auto" w:sz="6" w:space="0"/>
                  </w:tcBorders>
                  <w:vAlign w:val="center"/>
                </w:tcPr>
                <w:p w14:paraId="04BB0BDE">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相符</w:t>
                  </w:r>
                </w:p>
              </w:tc>
            </w:tr>
            <w:tr w14:paraId="0C0320F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vMerge w:val="continue"/>
                  <w:tcBorders>
                    <w:left w:val="single" w:color="auto" w:sz="6" w:space="0"/>
                    <w:bottom w:val="single" w:color="auto" w:sz="4" w:space="0"/>
                    <w:right w:val="single" w:color="auto" w:sz="4" w:space="0"/>
                  </w:tcBorders>
                  <w:vAlign w:val="center"/>
                </w:tcPr>
                <w:p w14:paraId="63897753">
                  <w:pPr>
                    <w:snapToGrid w:val="0"/>
                    <w:jc w:val="center"/>
                    <w:rPr>
                      <w:color w:val="000000" w:themeColor="text1"/>
                      <w:szCs w:val="21"/>
                      <w14:textFill>
                        <w14:solidFill>
                          <w14:schemeClr w14:val="tx1"/>
                        </w14:solidFill>
                      </w14:textFill>
                    </w:rPr>
                  </w:pPr>
                </w:p>
              </w:tc>
              <w:tc>
                <w:tcPr>
                  <w:tcW w:w="2284" w:type="pct"/>
                  <w:tcBorders>
                    <w:top w:val="single" w:color="auto" w:sz="4" w:space="0"/>
                    <w:left w:val="single" w:color="auto" w:sz="4" w:space="0"/>
                    <w:bottom w:val="single" w:color="auto" w:sz="4" w:space="0"/>
                    <w:right w:val="single" w:color="auto" w:sz="4" w:space="0"/>
                  </w:tcBorders>
                  <w:vAlign w:val="center"/>
                </w:tcPr>
                <w:p w14:paraId="205BFB20">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（四）实施工业炉窑清洁能源替代。</w:t>
                  </w:r>
                  <w:r>
                    <w:rPr>
                      <w:color w:val="000000" w:themeColor="text1"/>
                      <w:szCs w:val="21"/>
                      <w:shd w:val="clear" w:color="auto" w:fill="FFFFFF"/>
                      <w14:textFill>
                        <w14:solidFill>
                          <w14:schemeClr w14:val="tx1"/>
                        </w14:solidFill>
                      </w14:textFill>
                    </w:rPr>
                    <w:t>全市不再新增燃料类煤气发生炉</w:t>
                  </w:r>
                  <w:r>
                    <w:rPr>
                      <w:rFonts w:hint="eastAsia"/>
                      <w:color w:val="000000" w:themeColor="text1"/>
                      <w:szCs w:val="21"/>
                      <w:shd w:val="clear" w:color="auto" w:fill="FFFFFF"/>
                      <w14:textFill>
                        <w14:solidFill>
                          <w14:schemeClr w14:val="tx1"/>
                        </w14:solidFill>
                      </w14:textFill>
                    </w:rPr>
                    <w:t>，</w:t>
                  </w:r>
                  <w:r>
                    <w:rPr>
                      <w:color w:val="000000" w:themeColor="text1"/>
                      <w:szCs w:val="21"/>
                      <w:shd w:val="clear" w:color="auto" w:fill="FFFFFF"/>
                      <w14:textFill>
                        <w14:solidFill>
                          <w14:schemeClr w14:val="tx1"/>
                        </w14:solidFill>
                      </w14:textFill>
                    </w:rPr>
                    <w:t>新(改、扩)建加热炉、热处理炉、干燥炉、熔化炉原则上采用清洁低碳能源。2025年年底前</w:t>
                  </w:r>
                  <w:r>
                    <w:rPr>
                      <w:rFonts w:hint="eastAsia"/>
                      <w:color w:val="000000" w:themeColor="text1"/>
                      <w:szCs w:val="21"/>
                      <w:shd w:val="clear" w:color="auto" w:fill="FFFFFF"/>
                      <w14:textFill>
                        <w14:solidFill>
                          <w14:schemeClr w14:val="tx1"/>
                        </w14:solidFill>
                      </w14:textFill>
                    </w:rPr>
                    <w:t>，</w:t>
                  </w:r>
                  <w:r>
                    <w:rPr>
                      <w:color w:val="000000" w:themeColor="text1"/>
                      <w:szCs w:val="21"/>
                      <w:shd w:val="clear" w:color="auto" w:fill="FFFFFF"/>
                      <w14:textFill>
                        <w14:solidFill>
                          <w14:schemeClr w14:val="tx1"/>
                        </w14:solidFill>
                      </w14:textFill>
                    </w:rPr>
                    <w:t>使用高污染燃料的加热炉、热处理炉、干燥炉、熔化炉改用清洁低碳能源</w:t>
                  </w:r>
                  <w:r>
                    <w:rPr>
                      <w:rFonts w:hint="eastAsia"/>
                      <w:color w:val="000000" w:themeColor="text1"/>
                      <w:szCs w:val="21"/>
                      <w:shd w:val="clear" w:color="auto" w:fill="FFFFFF"/>
                      <w14:textFill>
                        <w14:solidFill>
                          <w14:schemeClr w14:val="tx1"/>
                        </w14:solidFill>
                      </w14:textFill>
                    </w:rPr>
                    <w:t>，</w:t>
                  </w:r>
                  <w:r>
                    <w:rPr>
                      <w:color w:val="000000" w:themeColor="text1"/>
                      <w:szCs w:val="21"/>
                      <w:shd w:val="clear" w:color="auto" w:fill="FFFFFF"/>
                      <w14:textFill>
                        <w14:solidFill>
                          <w14:schemeClr w14:val="tx1"/>
                        </w14:solidFill>
                      </w14:textFill>
                    </w:rPr>
                    <w:t>淘汰不能稳定达标的燃煤锅炉和以煤、石油焦、渣油、重油等为燃料的工业炉窑。</w:t>
                  </w:r>
                </w:p>
              </w:tc>
              <w:tc>
                <w:tcPr>
                  <w:tcW w:w="1743" w:type="pct"/>
                  <w:tcBorders>
                    <w:top w:val="single" w:color="auto" w:sz="4" w:space="0"/>
                    <w:left w:val="single" w:color="auto" w:sz="4" w:space="0"/>
                    <w:bottom w:val="single" w:color="auto" w:sz="4" w:space="0"/>
                    <w:right w:val="single" w:color="auto" w:sz="4" w:space="0"/>
                  </w:tcBorders>
                  <w:vAlign w:val="center"/>
                </w:tcPr>
                <w:p w14:paraId="36188464">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本项目不涉及工业炉窑</w:t>
                  </w:r>
                  <w:r>
                    <w:rPr>
                      <w:rFonts w:hint="eastAsia"/>
                      <w:color w:val="000000" w:themeColor="text1"/>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16116BB5">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相符</w:t>
                  </w:r>
                </w:p>
              </w:tc>
            </w:tr>
            <w:tr w14:paraId="2B4F1B3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tcBorders>
                    <w:top w:val="single" w:color="auto" w:sz="4" w:space="0"/>
                    <w:left w:val="single" w:color="auto" w:sz="6" w:space="0"/>
                    <w:bottom w:val="single" w:color="auto" w:sz="4" w:space="0"/>
                    <w:right w:val="single" w:color="auto" w:sz="4" w:space="0"/>
                  </w:tcBorders>
                  <w:vAlign w:val="center"/>
                </w:tcPr>
                <w:p w14:paraId="7314B498">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五、强化面源污染治理，提升精细化管理水平</w:t>
                  </w:r>
                </w:p>
              </w:tc>
              <w:tc>
                <w:tcPr>
                  <w:tcW w:w="2284" w:type="pct"/>
                  <w:tcBorders>
                    <w:top w:val="single" w:color="auto" w:sz="4" w:space="0"/>
                    <w:left w:val="single" w:color="auto" w:sz="4" w:space="0"/>
                    <w:bottom w:val="single" w:color="auto" w:sz="4" w:space="0"/>
                    <w:right w:val="single" w:color="auto" w:sz="4" w:space="0"/>
                  </w:tcBorders>
                  <w:vAlign w:val="center"/>
                </w:tcPr>
                <w:p w14:paraId="7FFBFBF1">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（一）深化扬尘污染综合治理。严格落实扬尘治理</w:t>
                  </w: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两个标准</w:t>
                  </w:r>
                  <w:r>
                    <w:rPr>
                      <w:rFonts w:hint="eastAsia"/>
                      <w:bCs/>
                      <w:color w:val="000000" w:themeColor="text1"/>
                      <w:kern w:val="0"/>
                      <w:szCs w:val="21"/>
                      <w14:textFill>
                        <w14:solidFill>
                          <w14:schemeClr w14:val="tx1"/>
                        </w14:solidFill>
                      </w14:textFill>
                    </w:rPr>
                    <w:t>”</w:t>
                  </w:r>
                  <w:r>
                    <w:rPr>
                      <w:color w:val="000000" w:themeColor="text1"/>
                      <w:szCs w:val="21"/>
                      <w14:textFill>
                        <w14:solidFill>
                          <w14:schemeClr w14:val="tx1"/>
                        </w14:solidFill>
                      </w14:textFill>
                    </w:rPr>
                    <w:t>要求，加强施工围挡、车辆冲洗、湿法作业、密闭运输、地面硬化、物料覆盖等精细化管理，鼓励建筑项目积极采用装配式建造等绿色施工技术。市政道路、水务等长距离线性工程实行分段施工，逐步推动5000平方米以上建筑工地安装在线监测和视频监控设施并接入当地监管平台。将防治扬尘污染费用纳入工程造价。持续开展城市清洁行动，强化道路扬尘综合整治，对长期未开发的建设裸地进行排查整治。</w:t>
                  </w:r>
                </w:p>
              </w:tc>
              <w:tc>
                <w:tcPr>
                  <w:tcW w:w="1743" w:type="pct"/>
                  <w:tcBorders>
                    <w:top w:val="single" w:color="auto" w:sz="4" w:space="0"/>
                    <w:left w:val="single" w:color="auto" w:sz="4" w:space="0"/>
                    <w:bottom w:val="single" w:color="auto" w:sz="4" w:space="0"/>
                    <w:right w:val="single" w:color="auto" w:sz="4" w:space="0"/>
                  </w:tcBorders>
                  <w:vAlign w:val="center"/>
                </w:tcPr>
                <w:p w14:paraId="2132F570">
                  <w:pPr>
                    <w:snapToGrid w:val="0"/>
                    <w:rPr>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本项目施工期</w:t>
                  </w:r>
                  <w:r>
                    <w:rPr>
                      <w:bCs/>
                      <w:color w:val="000000" w:themeColor="text1"/>
                      <w:kern w:val="0"/>
                      <w:szCs w:val="21"/>
                      <w14:textFill>
                        <w14:solidFill>
                          <w14:schemeClr w14:val="tx1"/>
                        </w14:solidFill>
                      </w14:textFill>
                    </w:rPr>
                    <w:t>严格落实扬尘污染防治</w:t>
                  </w: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两个标准</w:t>
                  </w: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要求，</w:t>
                  </w:r>
                  <w:r>
                    <w:rPr>
                      <w:color w:val="000000" w:themeColor="text1"/>
                      <w:szCs w:val="21"/>
                      <w14:textFill>
                        <w14:solidFill>
                          <w14:schemeClr w14:val="tx1"/>
                        </w14:solidFill>
                      </w14:textFill>
                    </w:rPr>
                    <w:t>加强车辆冲洗、湿法作业、密闭运输、</w:t>
                  </w:r>
                  <w:r>
                    <w:rPr>
                      <w:rFonts w:hint="eastAsia"/>
                      <w:color w:val="000000" w:themeColor="text1"/>
                      <w:szCs w:val="21"/>
                      <w14:textFill>
                        <w14:solidFill>
                          <w14:schemeClr w14:val="tx1"/>
                        </w14:solidFill>
                      </w14:textFill>
                    </w:rPr>
                    <w:t>路面</w:t>
                  </w:r>
                  <w:r>
                    <w:rPr>
                      <w:color w:val="000000" w:themeColor="text1"/>
                      <w:szCs w:val="21"/>
                      <w14:textFill>
                        <w14:solidFill>
                          <w14:schemeClr w14:val="tx1"/>
                        </w14:solidFill>
                      </w14:textFill>
                    </w:rPr>
                    <w:t>硬化、物料覆盖等精细化管理</w:t>
                  </w:r>
                  <w:r>
                    <w:rPr>
                      <w:bCs/>
                      <w:color w:val="000000" w:themeColor="text1"/>
                      <w:kern w:val="0"/>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602A3314">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相符</w:t>
                  </w:r>
                </w:p>
              </w:tc>
            </w:tr>
          </w:tbl>
          <w:p w14:paraId="630C1327">
            <w:pPr>
              <w:pStyle w:val="34"/>
              <w:snapToGrid w:val="0"/>
              <w:ind w:firstLine="480" w:firstLineChars="200"/>
              <w:rPr>
                <w:rFonts w:ascii="Times New Roman"/>
                <w:color w:val="000000" w:themeColor="text1"/>
                <w:szCs w:val="24"/>
                <w14:textFill>
                  <w14:solidFill>
                    <w14:schemeClr w14:val="tx1"/>
                  </w14:solidFill>
                </w14:textFill>
              </w:rPr>
            </w:pPr>
            <w:r>
              <w:rPr>
                <w:rFonts w:ascii="Times New Roman"/>
                <w:color w:val="000000" w:themeColor="text1"/>
                <w:szCs w:val="24"/>
                <w14:textFill>
                  <w14:solidFill>
                    <w14:schemeClr w14:val="tx1"/>
                  </w14:solidFill>
                </w14:textFill>
              </w:rPr>
              <w:t>由上表分析可知，项目建设符合《</w:t>
            </w:r>
            <w:r>
              <w:rPr>
                <w:rFonts w:hint="eastAsia" w:ascii="Times New Roman"/>
                <w:color w:val="000000" w:themeColor="text1"/>
                <w:szCs w:val="24"/>
                <w14:textFill>
                  <w14:solidFill>
                    <w14:schemeClr w14:val="tx1"/>
                  </w14:solidFill>
                </w14:textFill>
              </w:rPr>
              <w:t>南阳市</w:t>
            </w:r>
            <w:r>
              <w:rPr>
                <w:rFonts w:ascii="Times New Roman"/>
                <w:color w:val="000000" w:themeColor="text1"/>
                <w:szCs w:val="24"/>
                <w14:textFill>
                  <w14:solidFill>
                    <w14:schemeClr w14:val="tx1"/>
                  </w14:solidFill>
                </w14:textFill>
              </w:rPr>
              <w:t>人民政府关于印发河南省空气质量持续改善行动计划》（</w:t>
            </w:r>
            <w:r>
              <w:rPr>
                <w:rFonts w:hint="eastAsia" w:ascii="Times New Roman"/>
                <w:color w:val="000000" w:themeColor="text1"/>
                <w:szCs w:val="24"/>
                <w14:textFill>
                  <w14:solidFill>
                    <w14:schemeClr w14:val="tx1"/>
                  </w14:solidFill>
                </w14:textFill>
              </w:rPr>
              <w:t>宛</w:t>
            </w:r>
            <w:r>
              <w:rPr>
                <w:rFonts w:ascii="Times New Roman"/>
                <w:color w:val="000000" w:themeColor="text1"/>
                <w:szCs w:val="24"/>
                <w14:textFill>
                  <w14:solidFill>
                    <w14:schemeClr w14:val="tx1"/>
                  </w14:solidFill>
                </w14:textFill>
              </w:rPr>
              <w:t>政〔2024〕</w:t>
            </w:r>
            <w:r>
              <w:rPr>
                <w:rFonts w:hint="eastAsia" w:ascii="Times New Roman"/>
                <w:color w:val="000000" w:themeColor="text1"/>
                <w:szCs w:val="24"/>
                <w14:textFill>
                  <w14:solidFill>
                    <w14:schemeClr w14:val="tx1"/>
                  </w14:solidFill>
                </w14:textFill>
              </w:rPr>
              <w:t>6</w:t>
            </w:r>
            <w:r>
              <w:rPr>
                <w:rFonts w:ascii="Times New Roman"/>
                <w:color w:val="000000" w:themeColor="text1"/>
                <w:szCs w:val="24"/>
                <w14:textFill>
                  <w14:solidFill>
                    <w14:schemeClr w14:val="tx1"/>
                  </w14:solidFill>
                </w14:textFill>
              </w:rPr>
              <w:t>号）中相关要求。</w:t>
            </w:r>
          </w:p>
          <w:p w14:paraId="2D877FC7">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3.</w:t>
            </w:r>
            <w:r>
              <w:rPr>
                <w:rFonts w:hint="eastAsia"/>
                <w:b/>
                <w:color w:val="000000" w:themeColor="text1"/>
                <w:sz w:val="24"/>
                <w14:textFill>
                  <w14:solidFill>
                    <w14:schemeClr w14:val="tx1"/>
                  </w14:solidFill>
                </w14:textFill>
              </w:rPr>
              <w:t>5</w:t>
            </w:r>
            <w:r>
              <w:rPr>
                <w:b/>
                <w:color w:val="000000" w:themeColor="text1"/>
                <w:sz w:val="24"/>
                <w14:textFill>
                  <w14:solidFill>
                    <w14:schemeClr w14:val="tx1"/>
                  </w14:solidFill>
                </w14:textFill>
              </w:rPr>
              <w:t>、项目与《南阳市人民政府办公室关于印发南阳市环境空气质量限期达标行动实施方案（2024—2025年）的通知》（</w:t>
            </w:r>
            <w:r>
              <w:rPr>
                <w:rFonts w:hint="eastAsia"/>
                <w:b/>
                <w:color w:val="000000" w:themeColor="text1"/>
                <w:sz w:val="24"/>
                <w14:textFill>
                  <w14:solidFill>
                    <w14:schemeClr w14:val="tx1"/>
                  </w14:solidFill>
                </w14:textFill>
              </w:rPr>
              <w:t>宛政办〔2024〕3号</w:t>
            </w:r>
            <w:r>
              <w:rPr>
                <w:b/>
                <w:color w:val="000000" w:themeColor="text1"/>
                <w:sz w:val="24"/>
                <w14:textFill>
                  <w14:solidFill>
                    <w14:schemeClr w14:val="tx1"/>
                  </w14:solidFill>
                </w14:textFill>
              </w:rPr>
              <w:t>）的相符性分析</w:t>
            </w:r>
          </w:p>
          <w:p w14:paraId="0804FA0B">
            <w:pPr>
              <w:widowControl/>
              <w:adjustRightInd w:val="0"/>
              <w:snapToGrid w:val="0"/>
              <w:spacing w:line="360" w:lineRule="auto"/>
              <w:ind w:firstLine="482" w:firstLineChars="20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14:textFill>
                  <w14:solidFill>
                    <w14:schemeClr w14:val="tx1"/>
                  </w14:solidFill>
                </w14:textFill>
              </w:rPr>
              <w:t xml:space="preserve">9 </w:t>
            </w:r>
            <w:r>
              <w:rPr>
                <w:b/>
                <w:color w:val="000000" w:themeColor="text1"/>
                <w:sz w:val="24"/>
                <w14:textFill>
                  <w14:solidFill>
                    <w14:schemeClr w14:val="tx1"/>
                  </w14:solidFill>
                </w14:textFill>
              </w:rPr>
              <w:t xml:space="preserve"> 项目与</w:t>
            </w:r>
            <w:r>
              <w:rPr>
                <w:rFonts w:hint="eastAsia"/>
                <w:b/>
                <w:color w:val="000000" w:themeColor="text1"/>
                <w:sz w:val="24"/>
                <w14:textFill>
                  <w14:solidFill>
                    <w14:schemeClr w14:val="tx1"/>
                  </w14:solidFill>
                </w14:textFill>
              </w:rPr>
              <w:t>宛政办〔2024〕3号文的</w:t>
            </w:r>
            <w:r>
              <w:rPr>
                <w:b/>
                <w:color w:val="000000" w:themeColor="text1"/>
                <w:sz w:val="24"/>
                <w14:textFill>
                  <w14:solidFill>
                    <w14:schemeClr w14:val="tx1"/>
                  </w14:solidFill>
                </w14:textFill>
              </w:rPr>
              <w:t>相符性分析比对表</w:t>
            </w:r>
          </w:p>
          <w:tbl>
            <w:tblPr>
              <w:tblStyle w:val="25"/>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 w:type="dxa"/>
                <w:bottom w:w="0" w:type="dxa"/>
                <w:right w:w="10" w:type="dxa"/>
              </w:tblCellMar>
            </w:tblPr>
            <w:tblGrid>
              <w:gridCol w:w="851"/>
              <w:gridCol w:w="3790"/>
              <w:gridCol w:w="2892"/>
              <w:gridCol w:w="761"/>
            </w:tblGrid>
            <w:tr w14:paraId="1A3455B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2797" w:type="pct"/>
                  <w:gridSpan w:val="2"/>
                  <w:tcBorders>
                    <w:top w:val="single" w:color="auto" w:sz="6" w:space="0"/>
                    <w:left w:val="single" w:color="auto" w:sz="6" w:space="0"/>
                    <w:bottom w:val="single" w:color="auto" w:sz="4" w:space="0"/>
                    <w:right w:val="single" w:color="auto" w:sz="4" w:space="0"/>
                  </w:tcBorders>
                  <w:vAlign w:val="center"/>
                </w:tcPr>
                <w:p w14:paraId="046E573B">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要求</w:t>
                  </w:r>
                </w:p>
              </w:tc>
              <w:tc>
                <w:tcPr>
                  <w:tcW w:w="1743" w:type="pct"/>
                  <w:tcBorders>
                    <w:top w:val="single" w:color="auto" w:sz="6" w:space="0"/>
                    <w:left w:val="single" w:color="auto" w:sz="4" w:space="0"/>
                    <w:bottom w:val="single" w:color="auto" w:sz="4" w:space="0"/>
                    <w:right w:val="single" w:color="auto" w:sz="4" w:space="0"/>
                  </w:tcBorders>
                  <w:vAlign w:val="center"/>
                </w:tcPr>
                <w:p w14:paraId="0995E5D0">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本项目情况</w:t>
                  </w:r>
                </w:p>
              </w:tc>
              <w:tc>
                <w:tcPr>
                  <w:tcW w:w="458" w:type="pct"/>
                  <w:tcBorders>
                    <w:top w:val="single" w:color="auto" w:sz="6" w:space="0"/>
                    <w:left w:val="single" w:color="auto" w:sz="4" w:space="0"/>
                    <w:bottom w:val="single" w:color="auto" w:sz="4" w:space="0"/>
                    <w:right w:val="single" w:color="auto" w:sz="6" w:space="0"/>
                  </w:tcBorders>
                  <w:vAlign w:val="center"/>
                </w:tcPr>
                <w:p w14:paraId="1216B8EA">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相符性</w:t>
                  </w:r>
                </w:p>
              </w:tc>
            </w:tr>
            <w:tr w14:paraId="272719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tcBorders>
                    <w:top w:val="single" w:color="auto" w:sz="4" w:space="0"/>
                    <w:left w:val="single" w:color="auto" w:sz="6" w:space="0"/>
                    <w:right w:val="single" w:color="auto" w:sz="4" w:space="0"/>
                  </w:tcBorders>
                  <w:vAlign w:val="center"/>
                </w:tcPr>
                <w:p w14:paraId="1CB46F11">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（一）持续推进产业结构优化调整</w:t>
                  </w:r>
                </w:p>
              </w:tc>
              <w:tc>
                <w:tcPr>
                  <w:tcW w:w="2284" w:type="pct"/>
                  <w:tcBorders>
                    <w:top w:val="single" w:color="auto" w:sz="4" w:space="0"/>
                    <w:left w:val="single" w:color="auto" w:sz="4" w:space="0"/>
                    <w:bottom w:val="single" w:color="auto" w:sz="4" w:space="0"/>
                    <w:right w:val="single" w:color="auto" w:sz="4" w:space="0"/>
                  </w:tcBorders>
                  <w:vAlign w:val="center"/>
                </w:tcPr>
                <w:p w14:paraId="0F4849EC">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2.坚决遏制两高项目盲目发展。严格落实国家和省、市产业规划、产业政策、</w:t>
                  </w: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三线一单</w:t>
                  </w:r>
                  <w:r>
                    <w:rPr>
                      <w:rFonts w:hint="eastAsia"/>
                      <w:bCs/>
                      <w:color w:val="000000" w:themeColor="text1"/>
                      <w:kern w:val="0"/>
                      <w:szCs w:val="21"/>
                      <w14:textFill>
                        <w14:solidFill>
                          <w14:schemeClr w14:val="tx1"/>
                        </w14:solidFill>
                      </w14:textFill>
                    </w:rPr>
                    <w:t>”</w:t>
                  </w:r>
                  <w:r>
                    <w:rPr>
                      <w:color w:val="000000" w:themeColor="text1"/>
                      <w:szCs w:val="21"/>
                      <w14:textFill>
                        <w14:solidFill>
                          <w14:schemeClr w14:val="tx1"/>
                        </w14:solidFill>
                      </w14:textFill>
                    </w:rPr>
                    <w:t>、规划环评，以及产能置换、煤炭消费减量替代、区域污染物削减等要求，严把高耗能、高排放、低水平项目准入关口。</w:t>
                  </w:r>
                </w:p>
              </w:tc>
              <w:tc>
                <w:tcPr>
                  <w:tcW w:w="1743" w:type="pct"/>
                  <w:tcBorders>
                    <w:top w:val="single" w:color="auto" w:sz="4" w:space="0"/>
                    <w:left w:val="single" w:color="auto" w:sz="4" w:space="0"/>
                    <w:bottom w:val="single" w:color="auto" w:sz="4" w:space="0"/>
                    <w:right w:val="single" w:color="auto" w:sz="4" w:space="0"/>
                  </w:tcBorders>
                  <w:vAlign w:val="center"/>
                </w:tcPr>
                <w:p w14:paraId="61AF6526">
                  <w:pPr>
                    <w:widowControl/>
                    <w:rPr>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本项目</w:t>
                  </w:r>
                  <w:r>
                    <w:rPr>
                      <w:rFonts w:hint="eastAsia"/>
                      <w:bCs/>
                      <w:color w:val="000000" w:themeColor="text1"/>
                      <w:kern w:val="0"/>
                      <w:szCs w:val="21"/>
                      <w14:textFill>
                        <w14:solidFill>
                          <w14:schemeClr w14:val="tx1"/>
                        </w14:solidFill>
                      </w14:textFill>
                    </w:rPr>
                    <w:t>属于</w:t>
                  </w:r>
                  <w:r>
                    <w:rPr>
                      <w:color w:val="000000" w:themeColor="text1"/>
                      <w:szCs w:val="21"/>
                      <w14:textFill>
                        <w14:solidFill>
                          <w14:schemeClr w14:val="tx1"/>
                        </w14:solidFill>
                      </w14:textFill>
                    </w:rPr>
                    <w:t>酒、饮料制造业</w:t>
                  </w:r>
                  <w:r>
                    <w:rPr>
                      <w:rFonts w:hint="eastAsia"/>
                      <w:color w:val="000000" w:themeColor="text1"/>
                      <w:szCs w:val="21"/>
                      <w14:textFill>
                        <w14:solidFill>
                          <w14:schemeClr w14:val="tx1"/>
                        </w14:solidFill>
                      </w14:textFill>
                    </w:rPr>
                    <w:t>以及</w:t>
                  </w:r>
                  <w:r>
                    <w:rPr>
                      <w:color w:val="000000" w:themeColor="text1"/>
                      <w:szCs w:val="21"/>
                      <w14:textFill>
                        <w14:solidFill>
                          <w14:schemeClr w14:val="tx1"/>
                        </w14:solidFill>
                      </w14:textFill>
                    </w:rPr>
                    <w:t>医药制造业</w:t>
                  </w: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不属于</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14:textFill>
                        <w14:solidFill>
                          <w14:schemeClr w14:val="tx1"/>
                        </w14:solidFill>
                      </w14:textFill>
                    </w:rPr>
                    <w:t>”</w:t>
                  </w:r>
                  <w:r>
                    <w:rPr>
                      <w:bCs/>
                      <w:color w:val="000000" w:themeColor="text1"/>
                      <w:kern w:val="0"/>
                      <w:szCs w:val="21"/>
                      <w14:textFill>
                        <w14:solidFill>
                          <w14:schemeClr w14:val="tx1"/>
                        </w14:solidFill>
                      </w14:textFill>
                    </w:rPr>
                    <w:t>项目；项目</w:t>
                  </w:r>
                  <w:r>
                    <w:rPr>
                      <w:rFonts w:hint="eastAsia"/>
                      <w:bCs/>
                      <w:color w:val="000000" w:themeColor="text1"/>
                      <w:kern w:val="0"/>
                      <w:szCs w:val="21"/>
                      <w14:textFill>
                        <w14:solidFill>
                          <w14:schemeClr w14:val="tx1"/>
                        </w14:solidFill>
                      </w14:textFill>
                    </w:rPr>
                    <w:t>符合产业政策</w:t>
                  </w:r>
                  <w:r>
                    <w:rPr>
                      <w:rFonts w:hint="eastAsia"/>
                      <w:bCs/>
                      <w:color w:val="000000" w:themeColor="text1"/>
                      <w:kern w:val="0"/>
                      <w:szCs w:val="21"/>
                      <w:lang w:eastAsia="zh-CN"/>
                      <w14:textFill>
                        <w14:solidFill>
                          <w14:schemeClr w14:val="tx1"/>
                        </w14:solidFill>
                      </w14:textFill>
                    </w:rPr>
                    <w:t>、</w:t>
                  </w:r>
                  <w:r>
                    <w:rPr>
                      <w:bCs/>
                      <w:color w:val="000000" w:themeColor="text1"/>
                      <w:kern w:val="0"/>
                      <w:szCs w:val="21"/>
                      <w14:textFill>
                        <w14:solidFill>
                          <w14:schemeClr w14:val="tx1"/>
                        </w14:solidFill>
                      </w14:textFill>
                    </w:rPr>
                    <w:t>区域</w:t>
                  </w:r>
                  <w:r>
                    <w:rPr>
                      <w:rFonts w:hint="eastAsia"/>
                      <w:bCs/>
                      <w:color w:val="000000" w:themeColor="text1"/>
                      <w:kern w:val="0"/>
                      <w:szCs w:val="21"/>
                      <w14:textFill>
                        <w14:solidFill>
                          <w14:schemeClr w14:val="tx1"/>
                        </w14:solidFill>
                      </w14:textFill>
                    </w:rPr>
                    <w:t>“三线一单”</w:t>
                  </w:r>
                  <w:r>
                    <w:rPr>
                      <w:bCs/>
                      <w:color w:val="000000" w:themeColor="text1"/>
                      <w:kern w:val="0"/>
                      <w:szCs w:val="21"/>
                      <w14:textFill>
                        <w14:solidFill>
                          <w14:schemeClr w14:val="tx1"/>
                        </w14:solidFill>
                      </w14:textFill>
                    </w:rPr>
                    <w:t>管控要求</w:t>
                  </w:r>
                  <w:r>
                    <w:rPr>
                      <w:rFonts w:hint="eastAsia"/>
                      <w:bCs/>
                      <w:color w:val="000000" w:themeColor="text1"/>
                      <w:kern w:val="0"/>
                      <w:szCs w:val="21"/>
                      <w:lang w:val="en-US" w:eastAsia="zh-CN"/>
                      <w14:textFill>
                        <w14:solidFill>
                          <w14:schemeClr w14:val="tx1"/>
                        </w14:solidFill>
                      </w14:textFill>
                    </w:rPr>
                    <w:t>和</w:t>
                  </w:r>
                  <w:r>
                    <w:rPr>
                      <w:rFonts w:hint="eastAsia"/>
                      <w:bCs/>
                      <w:color w:val="000000" w:themeColor="text1"/>
                      <w:kern w:val="0"/>
                      <w:szCs w:val="21"/>
                      <w14:textFill>
                        <w14:solidFill>
                          <w14:schemeClr w14:val="tx1"/>
                        </w14:solidFill>
                      </w14:textFill>
                    </w:rPr>
                    <w:t>规划环评要求。</w:t>
                  </w:r>
                </w:p>
              </w:tc>
              <w:tc>
                <w:tcPr>
                  <w:tcW w:w="458" w:type="pct"/>
                  <w:tcBorders>
                    <w:top w:val="single" w:color="auto" w:sz="4" w:space="0"/>
                    <w:left w:val="single" w:color="auto" w:sz="4" w:space="0"/>
                    <w:bottom w:val="single" w:color="auto" w:sz="4" w:space="0"/>
                    <w:right w:val="single" w:color="auto" w:sz="6" w:space="0"/>
                  </w:tcBorders>
                  <w:vAlign w:val="center"/>
                </w:tcPr>
                <w:p w14:paraId="01CE2055">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相符</w:t>
                  </w:r>
                </w:p>
              </w:tc>
            </w:tr>
            <w:tr w14:paraId="104F55E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vMerge w:val="restart"/>
                  <w:tcBorders>
                    <w:top w:val="single" w:color="auto" w:sz="4" w:space="0"/>
                    <w:left w:val="single" w:color="auto" w:sz="6" w:space="0"/>
                    <w:right w:val="single" w:color="auto" w:sz="4" w:space="0"/>
                  </w:tcBorders>
                  <w:vAlign w:val="center"/>
                </w:tcPr>
                <w:p w14:paraId="2FCDB469">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（二）深入推进能源结构优化调整</w:t>
                  </w:r>
                </w:p>
              </w:tc>
              <w:tc>
                <w:tcPr>
                  <w:tcW w:w="2284" w:type="pct"/>
                  <w:tcBorders>
                    <w:top w:val="single" w:color="auto" w:sz="4" w:space="0"/>
                    <w:left w:val="single" w:color="auto" w:sz="4" w:space="0"/>
                    <w:bottom w:val="single" w:color="auto" w:sz="4" w:space="0"/>
                    <w:right w:val="single" w:color="auto" w:sz="4" w:space="0"/>
                  </w:tcBorders>
                  <w:vAlign w:val="center"/>
                </w:tcPr>
                <w:p w14:paraId="18111B4D">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5.大力发展清洁能源。加快非化石能源发展，以光伏发电、风电为重点，以生物质、抽水蓄能、地热能、氢能等为补充，因地制宜推动可再生能源多元化、协同化发展。优先支持</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源网荷储一体化</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风电＋高比例储能</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光伏＋高比例储能</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风光火储一体化</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等项目建设，到2025年，风电装机容量达到260万千瓦以上，光伏发电装机容量达到430万千瓦以上，全市可再生能源发电装机容量达到850万千瓦以上，新能源发电全部市内自用，不外输。</w:t>
                  </w:r>
                </w:p>
              </w:tc>
              <w:tc>
                <w:tcPr>
                  <w:tcW w:w="1743" w:type="pct"/>
                  <w:tcBorders>
                    <w:top w:val="single" w:color="auto" w:sz="4" w:space="0"/>
                    <w:left w:val="single" w:color="auto" w:sz="4" w:space="0"/>
                    <w:bottom w:val="single" w:color="auto" w:sz="4" w:space="0"/>
                    <w:right w:val="single" w:color="auto" w:sz="4" w:space="0"/>
                  </w:tcBorders>
                  <w:vAlign w:val="center"/>
                </w:tcPr>
                <w:p w14:paraId="7CB9F923">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本项目使用电能</w:t>
                  </w:r>
                  <w:r>
                    <w:rPr>
                      <w:rFonts w:hint="eastAsia"/>
                      <w:color w:val="000000" w:themeColor="text1"/>
                      <w:szCs w:val="21"/>
                      <w14:textFill>
                        <w14:solidFill>
                          <w14:schemeClr w14:val="tx1"/>
                        </w14:solidFill>
                      </w14:textFill>
                    </w:rPr>
                    <w:t>以及天然气</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均</w:t>
                  </w:r>
                  <w:r>
                    <w:rPr>
                      <w:color w:val="000000" w:themeColor="text1"/>
                      <w:szCs w:val="21"/>
                      <w14:textFill>
                        <w14:solidFill>
                          <w14:schemeClr w14:val="tx1"/>
                        </w14:solidFill>
                      </w14:textFill>
                    </w:rPr>
                    <w:t>为清洁能源。</w:t>
                  </w:r>
                </w:p>
              </w:tc>
              <w:tc>
                <w:tcPr>
                  <w:tcW w:w="458" w:type="pct"/>
                  <w:tcBorders>
                    <w:top w:val="single" w:color="auto" w:sz="4" w:space="0"/>
                    <w:left w:val="single" w:color="auto" w:sz="4" w:space="0"/>
                    <w:bottom w:val="single" w:color="auto" w:sz="4" w:space="0"/>
                    <w:right w:val="single" w:color="auto" w:sz="6" w:space="0"/>
                  </w:tcBorders>
                  <w:vAlign w:val="center"/>
                </w:tcPr>
                <w:p w14:paraId="0E786519">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相符</w:t>
                  </w:r>
                </w:p>
              </w:tc>
            </w:tr>
            <w:tr w14:paraId="0428EC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54" w:hRule="atLeast"/>
                <w:jc w:val="center"/>
              </w:trPr>
              <w:tc>
                <w:tcPr>
                  <w:tcW w:w="513" w:type="pct"/>
                  <w:vMerge w:val="continue"/>
                  <w:tcBorders>
                    <w:left w:val="single" w:color="auto" w:sz="6" w:space="0"/>
                    <w:bottom w:val="single" w:color="auto" w:sz="4" w:space="0"/>
                    <w:right w:val="single" w:color="auto" w:sz="4" w:space="0"/>
                  </w:tcBorders>
                  <w:vAlign w:val="center"/>
                </w:tcPr>
                <w:p w14:paraId="292E5E2B">
                  <w:pPr>
                    <w:snapToGrid w:val="0"/>
                    <w:jc w:val="center"/>
                    <w:rPr>
                      <w:color w:val="000000" w:themeColor="text1"/>
                      <w:szCs w:val="21"/>
                      <w14:textFill>
                        <w14:solidFill>
                          <w14:schemeClr w14:val="tx1"/>
                        </w14:solidFill>
                      </w14:textFill>
                    </w:rPr>
                  </w:pPr>
                </w:p>
              </w:tc>
              <w:tc>
                <w:tcPr>
                  <w:tcW w:w="2284" w:type="pct"/>
                  <w:tcBorders>
                    <w:top w:val="single" w:color="auto" w:sz="4" w:space="0"/>
                    <w:left w:val="single" w:color="auto" w:sz="4" w:space="0"/>
                    <w:bottom w:val="single" w:color="auto" w:sz="4" w:space="0"/>
                    <w:right w:val="single" w:color="auto" w:sz="4" w:space="0"/>
                  </w:tcBorders>
                  <w:vAlign w:val="center"/>
                </w:tcPr>
                <w:p w14:paraId="09AF5FD1">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7.加快推进工业炉窑清洁能源替代。大力推进电能替代煤炭，稳妥推进以气代煤。2024年年底前，全市分散建设的燃料类煤气发生炉完成清洁能源替代，或者园区（集群）集中供气、分散使用。到2025年，现有使用高污染燃料的加热炉、热处理炉、干燥炉、熔化炉等工业炉窑改用清洁低碳能源。</w:t>
                  </w:r>
                </w:p>
              </w:tc>
              <w:tc>
                <w:tcPr>
                  <w:tcW w:w="1743" w:type="pct"/>
                  <w:tcBorders>
                    <w:top w:val="single" w:color="auto" w:sz="4" w:space="0"/>
                    <w:left w:val="single" w:color="auto" w:sz="4" w:space="0"/>
                    <w:bottom w:val="single" w:color="auto" w:sz="4" w:space="0"/>
                    <w:right w:val="single" w:color="auto" w:sz="4" w:space="0"/>
                  </w:tcBorders>
                  <w:vAlign w:val="center"/>
                </w:tcPr>
                <w:p w14:paraId="3703FA6F">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本项目不涉及工业炉窑</w:t>
                  </w:r>
                  <w:r>
                    <w:rPr>
                      <w:rFonts w:hint="eastAsia"/>
                      <w:color w:val="000000" w:themeColor="text1"/>
                      <w:szCs w:val="21"/>
                      <w14:textFill>
                        <w14:solidFill>
                          <w14:schemeClr w14:val="tx1"/>
                        </w14:solidFill>
                      </w14:textFill>
                    </w:rPr>
                    <w:t>。</w:t>
                  </w:r>
                </w:p>
              </w:tc>
              <w:tc>
                <w:tcPr>
                  <w:tcW w:w="458" w:type="pct"/>
                  <w:tcBorders>
                    <w:top w:val="single" w:color="auto" w:sz="4" w:space="0"/>
                    <w:left w:val="single" w:color="auto" w:sz="4" w:space="0"/>
                    <w:bottom w:val="single" w:color="auto" w:sz="4" w:space="0"/>
                    <w:right w:val="single" w:color="auto" w:sz="6" w:space="0"/>
                  </w:tcBorders>
                  <w:vAlign w:val="center"/>
                </w:tcPr>
                <w:p w14:paraId="3F171154">
                  <w:pPr>
                    <w:snapToGrid w:val="0"/>
                    <w:jc w:val="center"/>
                    <w:rPr>
                      <w:color w:val="000000" w:themeColor="text1"/>
                      <w:szCs w:val="21"/>
                      <w14:textFill>
                        <w14:solidFill>
                          <w14:schemeClr w14:val="tx1"/>
                        </w14:solidFill>
                      </w14:textFill>
                    </w:rPr>
                  </w:pPr>
                  <w:r>
                    <w:rPr>
                      <w:rStyle w:val="35"/>
                      <w:rFonts w:hint="default" w:ascii="Times New Roman" w:hAnsi="Times New Roman" w:eastAsia="宋体" w:cs="Times New Roman"/>
                      <w:color w:val="000000" w:themeColor="text1"/>
                      <w14:textFill>
                        <w14:solidFill>
                          <w14:schemeClr w14:val="tx1"/>
                        </w14:solidFill>
                      </w14:textFill>
                    </w:rPr>
                    <w:t>相符</w:t>
                  </w:r>
                </w:p>
              </w:tc>
            </w:tr>
          </w:tbl>
          <w:p w14:paraId="5D3644B6">
            <w:pPr>
              <w:tabs>
                <w:tab w:val="left" w:pos="1081"/>
              </w:tabs>
              <w:adjustRightInd w:val="0"/>
              <w:snapToGrid w:val="0"/>
              <w:spacing w:line="360" w:lineRule="auto"/>
              <w:ind w:firstLine="480" w:firstLineChars="200"/>
              <w:rPr>
                <w:b/>
                <w:color w:val="000000" w:themeColor="text1"/>
                <w:sz w:val="24"/>
                <w14:textFill>
                  <w14:solidFill>
                    <w14:schemeClr w14:val="tx1"/>
                  </w14:solidFill>
                </w14:textFill>
              </w:rPr>
            </w:pPr>
            <w:r>
              <w:rPr>
                <w:color w:val="000000" w:themeColor="text1"/>
                <w:sz w:val="24"/>
                <w14:textFill>
                  <w14:solidFill>
                    <w14:schemeClr w14:val="tx1"/>
                  </w14:solidFill>
                </w14:textFill>
              </w:rPr>
              <w:t>由上表分析可知，项目建设符合《南阳市人民政府办公室关于印发南阳市环境空气质量限期达标行动实施方案（2024—2025年）的通知》（宛政办〔2024〕3号）中相关要求。</w:t>
            </w:r>
          </w:p>
          <w:p w14:paraId="57BBA144">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3.6、</w:t>
            </w:r>
            <w:r>
              <w:rPr>
                <w:b/>
                <w:bCs/>
                <w:color w:val="000000" w:themeColor="text1"/>
                <w:sz w:val="24"/>
                <w14:textFill>
                  <w14:solidFill>
                    <w14:schemeClr w14:val="tx1"/>
                  </w14:solidFill>
                </w14:textFill>
              </w:rPr>
              <w:t>项目与河南省《关于全面加强</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"https://huanbao.bjx.com.cn/topics/huifaxingyoujiwu/" \t "_blank" </w:instrText>
            </w:r>
            <w:r>
              <w:rPr>
                <w:color w:val="000000" w:themeColor="text1"/>
                <w14:textFill>
                  <w14:solidFill>
                    <w14:schemeClr w14:val="tx1"/>
                  </w14:solidFill>
                </w14:textFill>
              </w:rPr>
              <w:fldChar w:fldCharType="separate"/>
            </w:r>
            <w:r>
              <w:rPr>
                <w:b/>
                <w:bCs/>
                <w:color w:val="000000" w:themeColor="text1"/>
                <w:sz w:val="24"/>
                <w14:textFill>
                  <w14:solidFill>
                    <w14:schemeClr w14:val="tx1"/>
                  </w14:solidFill>
                </w14:textFill>
              </w:rPr>
              <w:t>挥发性有机物</w:t>
            </w:r>
            <w:r>
              <w:rPr>
                <w:b/>
                <w:bCs/>
                <w:color w:val="000000" w:themeColor="text1"/>
                <w:sz w:val="24"/>
                <w14:textFill>
                  <w14:solidFill>
                    <w14:schemeClr w14:val="tx1"/>
                  </w14:solidFill>
                </w14:textFill>
              </w:rPr>
              <w:fldChar w:fldCharType="end"/>
            </w:r>
            <w:r>
              <w:rPr>
                <w:b/>
                <w:bCs/>
                <w:color w:val="000000" w:themeColor="text1"/>
                <w:sz w:val="24"/>
                <w14:textFill>
                  <w14:solidFill>
                    <w14:schemeClr w14:val="tx1"/>
                  </w14:solidFill>
                </w14:textFill>
              </w:rPr>
              <w:t>污染治理的通知》（豫环办【2022】24号）的相符性</w:t>
            </w:r>
          </w:p>
          <w:p w14:paraId="4DEA3BF7">
            <w:pPr>
              <w:adjustRightInd w:val="0"/>
              <w:snapToGrid w:val="0"/>
              <w:spacing w:line="360" w:lineRule="auto"/>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项目建设与河南省《关于全面加强</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"https://huanbao.bjx.com.cn/topics/huifaxingyoujiwu/" \t "_blank" </w:instrText>
            </w:r>
            <w:r>
              <w:rPr>
                <w:color w:val="000000" w:themeColor="text1"/>
                <w14:textFill>
                  <w14:solidFill>
                    <w14:schemeClr w14:val="tx1"/>
                  </w14:solidFill>
                </w14:textFill>
              </w:rPr>
              <w:fldChar w:fldCharType="separate"/>
            </w:r>
            <w:r>
              <w:rPr>
                <w:color w:val="000000" w:themeColor="text1"/>
                <w:sz w:val="24"/>
                <w14:textFill>
                  <w14:solidFill>
                    <w14:schemeClr w14:val="tx1"/>
                  </w14:solidFill>
                </w14:textFill>
              </w:rPr>
              <w:t>挥发性有机物</w:t>
            </w:r>
            <w:r>
              <w:rPr>
                <w:color w:val="000000" w:themeColor="text1"/>
                <w:sz w:val="24"/>
                <w14:textFill>
                  <w14:solidFill>
                    <w14:schemeClr w14:val="tx1"/>
                  </w14:solidFill>
                </w14:textFill>
              </w:rPr>
              <w:fldChar w:fldCharType="end"/>
            </w:r>
            <w:r>
              <w:rPr>
                <w:color w:val="000000" w:themeColor="text1"/>
                <w:sz w:val="24"/>
                <w14:textFill>
                  <w14:solidFill>
                    <w14:schemeClr w14:val="tx1"/>
                  </w14:solidFill>
                </w14:textFill>
              </w:rPr>
              <w:t>污染治理的通知》（豫环办【2022】24号）的相符性分析见下表。</w:t>
            </w:r>
          </w:p>
          <w:p w14:paraId="69DD964E">
            <w:pPr>
              <w:adjustRightInd w:val="0"/>
              <w:snapToGrid w:val="0"/>
              <w:spacing w:line="360" w:lineRule="auto"/>
              <w:jc w:val="center"/>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表1-</w:t>
            </w:r>
            <w:r>
              <w:rPr>
                <w:rFonts w:hint="eastAsia"/>
                <w:b/>
                <w:bCs/>
                <w:color w:val="000000" w:themeColor="text1"/>
                <w:sz w:val="24"/>
                <w14:textFill>
                  <w14:solidFill>
                    <w14:schemeClr w14:val="tx1"/>
                  </w14:solidFill>
                </w14:textFill>
              </w:rPr>
              <w:t>10</w:t>
            </w:r>
            <w:r>
              <w:rPr>
                <w:b/>
                <w:bCs/>
                <w:color w:val="000000" w:themeColor="text1"/>
                <w:sz w:val="24"/>
                <w14:textFill>
                  <w14:solidFill>
                    <w14:schemeClr w14:val="tx1"/>
                  </w14:solidFill>
                </w14:textFill>
              </w:rPr>
              <w:t xml:space="preserve">  项目与河南省《关于全面加强</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"https://huanbao.bjx.com.cn/topics/huifaxingyoujiwu/" \t "_blank" </w:instrText>
            </w:r>
            <w:r>
              <w:rPr>
                <w:color w:val="000000" w:themeColor="text1"/>
                <w14:textFill>
                  <w14:solidFill>
                    <w14:schemeClr w14:val="tx1"/>
                  </w14:solidFill>
                </w14:textFill>
              </w:rPr>
              <w:fldChar w:fldCharType="separate"/>
            </w:r>
            <w:r>
              <w:rPr>
                <w:b/>
                <w:bCs/>
                <w:color w:val="000000" w:themeColor="text1"/>
                <w:sz w:val="24"/>
                <w14:textFill>
                  <w14:solidFill>
                    <w14:schemeClr w14:val="tx1"/>
                  </w14:solidFill>
                </w14:textFill>
              </w:rPr>
              <w:t>挥发性有机物</w:t>
            </w:r>
            <w:r>
              <w:rPr>
                <w:b/>
                <w:bCs/>
                <w:color w:val="000000" w:themeColor="text1"/>
                <w:sz w:val="24"/>
                <w14:textFill>
                  <w14:solidFill>
                    <w14:schemeClr w14:val="tx1"/>
                  </w14:solidFill>
                </w14:textFill>
              </w:rPr>
              <w:fldChar w:fldCharType="end"/>
            </w:r>
            <w:r>
              <w:rPr>
                <w:b/>
                <w:bCs/>
                <w:color w:val="000000" w:themeColor="text1"/>
                <w:sz w:val="24"/>
                <w14:textFill>
                  <w14:solidFill>
                    <w14:schemeClr w14:val="tx1"/>
                  </w14:solidFill>
                </w14:textFill>
              </w:rPr>
              <w:t>污染治理的通知》（豫环办【2022】24号）节选内容相符性分析一览表</w:t>
            </w:r>
          </w:p>
          <w:tbl>
            <w:tblPr>
              <w:tblStyle w:val="26"/>
              <w:tblW w:w="811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77"/>
              <w:gridCol w:w="3863"/>
              <w:gridCol w:w="2775"/>
              <w:gridCol w:w="698"/>
            </w:tblGrid>
            <w:tr w14:paraId="32DAD1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40" w:type="dxa"/>
                  <w:gridSpan w:val="2"/>
                  <w:shd w:val="clear" w:color="auto" w:fill="auto"/>
                  <w:vAlign w:val="center"/>
                </w:tcPr>
                <w:p w14:paraId="38D4FE01">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方案内容</w:t>
                  </w:r>
                </w:p>
              </w:tc>
              <w:tc>
                <w:tcPr>
                  <w:tcW w:w="2775" w:type="dxa"/>
                  <w:shd w:val="clear" w:color="auto" w:fill="auto"/>
                  <w:vAlign w:val="center"/>
                </w:tcPr>
                <w:p w14:paraId="4534BF16">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本项目建设情况</w:t>
                  </w:r>
                </w:p>
              </w:tc>
              <w:tc>
                <w:tcPr>
                  <w:tcW w:w="698" w:type="dxa"/>
                  <w:shd w:val="clear" w:color="auto" w:fill="auto"/>
                  <w:vAlign w:val="center"/>
                </w:tcPr>
                <w:p w14:paraId="457D3DD3">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006445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vAlign w:val="center"/>
                </w:tcPr>
                <w:p w14:paraId="4980AE7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二、加强源头控制，推进绿色生产</w:t>
                  </w:r>
                </w:p>
              </w:tc>
              <w:tc>
                <w:tcPr>
                  <w:tcW w:w="3863" w:type="dxa"/>
                  <w:vAlign w:val="center"/>
                </w:tcPr>
                <w:p w14:paraId="2553B040">
                  <w:pPr>
                    <w:rPr>
                      <w:color w:val="000000" w:themeColor="text1"/>
                      <w14:textFill>
                        <w14:solidFill>
                          <w14:schemeClr w14:val="tx1"/>
                        </w14:solidFill>
                      </w14:textFill>
                    </w:rPr>
                  </w:pPr>
                  <w:r>
                    <w:rPr>
                      <w:color w:val="000000" w:themeColor="text1"/>
                      <w14:textFill>
                        <w14:solidFill>
                          <w14:schemeClr w14:val="tx1"/>
                        </w14:solidFill>
                      </w14:textFill>
                    </w:rPr>
                    <w:t>各省辖市、济源示范区生态环境部门要按照《河南省2022年大气污染攻坚战实施方案》任务分工要求</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积极协调相关部门，2022年5月底前，全面排查使用粉末涂料、水性涂料、无溶剂涂料、辐射固化涂料等企业</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核实原辅材料VOCs含量限值与《低挥发性有机化合物含量涂料产品技术要求》相符性</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并建立台账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记录原辅材料的使用量、废弃量、去向以及VOCs含量。</w:t>
                  </w:r>
                </w:p>
              </w:tc>
              <w:tc>
                <w:tcPr>
                  <w:tcW w:w="2775" w:type="dxa"/>
                  <w:vAlign w:val="center"/>
                </w:tcPr>
                <w:p w14:paraId="61FFB5BC">
                  <w:pPr>
                    <w:rPr>
                      <w:color w:val="000000" w:themeColor="text1"/>
                      <w14:textFill>
                        <w14:solidFill>
                          <w14:schemeClr w14:val="tx1"/>
                        </w14:solidFill>
                      </w14:textFill>
                    </w:rPr>
                  </w:pPr>
                  <w:r>
                    <w:rPr>
                      <w:rFonts w:hint="eastAsia"/>
                      <w:color w:val="000000" w:themeColor="text1"/>
                      <w14:textFill>
                        <w14:solidFill>
                          <w14:schemeClr w14:val="tx1"/>
                        </w14:solidFill>
                      </w14:textFill>
                    </w:rPr>
                    <w:t>本项目属于</w:t>
                  </w:r>
                  <w:r>
                    <w:rPr>
                      <w:color w:val="000000" w:themeColor="text1"/>
                      <w:szCs w:val="21"/>
                      <w14:textFill>
                        <w14:solidFill>
                          <w14:schemeClr w14:val="tx1"/>
                        </w14:solidFill>
                      </w14:textFill>
                    </w:rPr>
                    <w:t>酒、饮料制造业</w:t>
                  </w:r>
                  <w:r>
                    <w:rPr>
                      <w:rFonts w:hint="eastAsia"/>
                      <w:color w:val="000000" w:themeColor="text1"/>
                      <w:szCs w:val="21"/>
                      <w14:textFill>
                        <w14:solidFill>
                          <w14:schemeClr w14:val="tx1"/>
                        </w14:solidFill>
                      </w14:textFill>
                    </w:rPr>
                    <w:t>以及</w:t>
                  </w:r>
                  <w:r>
                    <w:rPr>
                      <w:color w:val="000000" w:themeColor="text1"/>
                      <w:szCs w:val="21"/>
                      <w14:textFill>
                        <w14:solidFill>
                          <w14:schemeClr w14:val="tx1"/>
                        </w14:solidFill>
                      </w14:textFill>
                    </w:rPr>
                    <w:t>医药制造业</w:t>
                  </w:r>
                  <w:r>
                    <w:rPr>
                      <w:bCs/>
                      <w:color w:val="000000" w:themeColor="text1"/>
                      <w:kern w:val="0"/>
                      <w:szCs w:val="21"/>
                      <w14:textFill>
                        <w14:solidFill>
                          <w14:schemeClr w14:val="tx1"/>
                        </w14:solidFill>
                      </w14:textFill>
                    </w:rPr>
                    <w:t>，</w:t>
                  </w:r>
                  <w:r>
                    <w:rPr>
                      <w:rFonts w:hint="eastAsia"/>
                      <w:color w:val="000000" w:themeColor="text1"/>
                      <w14:textFill>
                        <w14:solidFill>
                          <w14:schemeClr w14:val="tx1"/>
                        </w14:solidFill>
                      </w14:textFill>
                    </w:rPr>
                    <w:t>使用的</w:t>
                  </w:r>
                  <w:r>
                    <w:rPr>
                      <w:rFonts w:hint="eastAsia"/>
                      <w:color w:val="000000" w:themeColor="text1"/>
                      <w:lang w:val="en-US" w:eastAsia="zh-CN"/>
                      <w14:textFill>
                        <w14:solidFill>
                          <w14:schemeClr w14:val="tx1"/>
                        </w14:solidFill>
                      </w14:textFill>
                    </w:rPr>
                    <w:t>涉VOCs</w:t>
                  </w:r>
                  <w:r>
                    <w:rPr>
                      <w:rFonts w:hint="eastAsia"/>
                      <w:color w:val="000000" w:themeColor="text1"/>
                      <w14:textFill>
                        <w14:solidFill>
                          <w14:schemeClr w14:val="tx1"/>
                        </w14:solidFill>
                      </w14:textFill>
                    </w:rPr>
                    <w:t>原辅料为卡波姆以及薄荷醇溶液，</w:t>
                  </w:r>
                  <w:r>
                    <w:rPr>
                      <w:rFonts w:hint="eastAsia"/>
                      <w:color w:val="000000" w:themeColor="text1"/>
                      <w:lang w:val="en-US" w:eastAsia="zh-CN"/>
                      <w14:textFill>
                        <w14:solidFill>
                          <w14:schemeClr w14:val="tx1"/>
                        </w14:solidFill>
                      </w14:textFill>
                    </w:rPr>
                    <w:t>不属于涂料</w:t>
                  </w:r>
                  <w:r>
                    <w:rPr>
                      <w:color w:val="000000" w:themeColor="text1"/>
                      <w14:textFill>
                        <w14:solidFill>
                          <w14:schemeClr w14:val="tx1"/>
                        </w14:solidFill>
                      </w14:textFill>
                    </w:rPr>
                    <w:t>。</w:t>
                  </w:r>
                </w:p>
              </w:tc>
              <w:tc>
                <w:tcPr>
                  <w:tcW w:w="698" w:type="dxa"/>
                  <w:vAlign w:val="center"/>
                </w:tcPr>
                <w:p w14:paraId="7562916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21258E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vAlign w:val="center"/>
                </w:tcPr>
                <w:p w14:paraId="1045A1FE">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三、强化收集效果，减少无组织排放</w:t>
                  </w:r>
                </w:p>
              </w:tc>
              <w:tc>
                <w:tcPr>
                  <w:tcW w:w="3863" w:type="dxa"/>
                  <w:vAlign w:val="center"/>
                </w:tcPr>
                <w:p w14:paraId="113CE943">
                  <w:pPr>
                    <w:rPr>
                      <w:color w:val="000000" w:themeColor="text1"/>
                      <w14:textFill>
                        <w14:solidFill>
                          <w14:schemeClr w14:val="tx1"/>
                        </w14:solidFill>
                      </w14:textFill>
                    </w:rPr>
                  </w:pPr>
                  <w:r>
                    <w:rPr>
                      <w:color w:val="000000" w:themeColor="text1"/>
                      <w:szCs w:val="21"/>
                      <w14:textFill>
                        <w14:solidFill>
                          <w14:schemeClr w14:val="tx1"/>
                        </w14:solidFill>
                      </w14:textFill>
                    </w:rPr>
                    <w:t>各地要严格按照《挥发性有机物无组织排放控制标准》《重点行业挥发性有机物综合治理方案》《河南省2022年大气污染攻坚战实施方案》要求，对挥发性有机物无组织排放实施有效控制，提升废气收集率，做到“应收尽收”。产生VOCs的生产环节优先采用密闭设备、在密闭空间中操作等密闭收集方式，并保持负压运行；采用集气罩、侧吸风等措施收集无组织VOCs废气企业，距集气罩开口面最远处的VOCs无组织排放位置，控制风速不低于0.3米/秒；含VOCs物料输送应采用重力流或泵送方式，有机液体进料鼓励采用底部、浸入管给料方式。2022年5月底前，各地对辖区内采用集气罩、侧吸风等措施收集无组织 VOCs 废气企业的企业开展一轮风速实测，达不到要求的，一周内加装增压风机</w:t>
                  </w:r>
                  <w:r>
                    <w:rPr>
                      <w:rFonts w:hint="eastAsia"/>
                      <w:color w:val="000000" w:themeColor="text1"/>
                      <w:szCs w:val="21"/>
                      <w14:textFill>
                        <w14:solidFill>
                          <w14:schemeClr w14:val="tx1"/>
                        </w14:solidFill>
                      </w14:textFill>
                    </w:rPr>
                    <w:t>。</w:t>
                  </w:r>
                </w:p>
              </w:tc>
              <w:tc>
                <w:tcPr>
                  <w:tcW w:w="2775" w:type="dxa"/>
                  <w:vAlign w:val="center"/>
                </w:tcPr>
                <w:p w14:paraId="14EA35C0">
                  <w:pPr>
                    <w:rPr>
                      <w:color w:val="000000" w:themeColor="text1"/>
                      <w14:textFill>
                        <w14:solidFill>
                          <w14:schemeClr w14:val="tx1"/>
                        </w14:solidFill>
                      </w14:textFill>
                    </w:rPr>
                  </w:pPr>
                  <w:r>
                    <w:rPr>
                      <w:color w:val="000000" w:themeColor="text1"/>
                      <w:szCs w:val="21"/>
                      <w14:textFill>
                        <w14:solidFill>
                          <w14:schemeClr w14:val="tx1"/>
                        </w14:solidFill>
                      </w14:textFill>
                    </w:rPr>
                    <w:t>本项目严格按照《挥发性有机物无组织排放控制标准》《重点行业挥发性有机物综合治理方案》</w:t>
                  </w:r>
                  <w:r>
                    <w:rPr>
                      <w:rFonts w:hint="eastAsia"/>
                      <w:color w:val="000000" w:themeColor="text1"/>
                      <w:szCs w:val="21"/>
                      <w14:textFill>
                        <w14:solidFill>
                          <w14:schemeClr w14:val="tx1"/>
                        </w14:solidFill>
                      </w14:textFill>
                    </w:rPr>
                    <w:t>《南阳市202</w:t>
                  </w:r>
                  <w:r>
                    <w:rPr>
                      <w:rFonts w:hint="eastAsia"/>
                      <w:color w:val="000000" w:themeColor="text1"/>
                      <w:szCs w:val="21"/>
                      <w:lang w:val="en-US" w:eastAsia="zh-CN"/>
                      <w14:textFill>
                        <w14:solidFill>
                          <w14:schemeClr w14:val="tx1"/>
                        </w14:solidFill>
                      </w14:textFill>
                    </w:rPr>
                    <w:t>5</w:t>
                  </w:r>
                  <w:r>
                    <w:rPr>
                      <w:rFonts w:hint="eastAsia"/>
                      <w:color w:val="000000" w:themeColor="text1"/>
                      <w:szCs w:val="21"/>
                      <w14:textFill>
                        <w14:solidFill>
                          <w14:schemeClr w14:val="tx1"/>
                        </w14:solidFill>
                      </w14:textFill>
                    </w:rPr>
                    <w:t>年蓝天保卫战实施方案》</w:t>
                  </w:r>
                  <w:r>
                    <w:rPr>
                      <w:rFonts w:hint="eastAsia"/>
                      <w:color w:val="000000" w:themeColor="text1"/>
                      <w:szCs w:val="21"/>
                      <w14:textFill>
                        <w14:solidFill>
                          <w14:schemeClr w14:val="tx1"/>
                        </w14:solidFill>
                      </w14:textFill>
                    </w:rPr>
                    <w:t>（宛环委办【2025】5号）</w:t>
                  </w:r>
                  <w:r>
                    <w:rPr>
                      <w:color w:val="000000" w:themeColor="text1"/>
                      <w:szCs w:val="21"/>
                      <w14:textFill>
                        <w14:solidFill>
                          <w14:schemeClr w14:val="tx1"/>
                        </w14:solidFill>
                      </w14:textFill>
                    </w:rPr>
                    <w:t>要求；</w:t>
                  </w:r>
                  <w:r>
                    <w:rPr>
                      <w:rFonts w:hint="eastAsia"/>
                      <w:color w:val="000000" w:themeColor="text1"/>
                      <w:szCs w:val="21"/>
                      <w14:textFill>
                        <w14:solidFill>
                          <w14:schemeClr w14:val="tx1"/>
                        </w14:solidFill>
                      </w14:textFill>
                    </w:rPr>
                    <w:t>本项目为</w:t>
                  </w:r>
                  <w:r>
                    <w:rPr>
                      <w:color w:val="000000" w:themeColor="text1"/>
                      <w:szCs w:val="21"/>
                      <w14:textFill>
                        <w14:solidFill>
                          <w14:schemeClr w14:val="tx1"/>
                        </w14:solidFill>
                      </w14:textFill>
                    </w:rPr>
                    <w:t>酒、饮料制造业</w:t>
                  </w:r>
                  <w:r>
                    <w:rPr>
                      <w:rFonts w:hint="eastAsia"/>
                      <w:color w:val="000000" w:themeColor="text1"/>
                      <w:szCs w:val="21"/>
                      <w14:textFill>
                        <w14:solidFill>
                          <w14:schemeClr w14:val="tx1"/>
                        </w14:solidFill>
                      </w14:textFill>
                    </w:rPr>
                    <w:t>以及</w:t>
                  </w:r>
                  <w:r>
                    <w:rPr>
                      <w:color w:val="000000" w:themeColor="text1"/>
                      <w:szCs w:val="21"/>
                      <w14:textFill>
                        <w14:solidFill>
                          <w14:schemeClr w14:val="tx1"/>
                        </w14:solidFill>
                      </w14:textFill>
                    </w:rPr>
                    <w:t>医药制造业</w:t>
                  </w:r>
                  <w:r>
                    <w:rPr>
                      <w:rFonts w:hint="eastAsia"/>
                      <w:color w:val="000000" w:themeColor="text1"/>
                      <w:szCs w:val="21"/>
                      <w14:textFill>
                        <w14:solidFill>
                          <w14:schemeClr w14:val="tx1"/>
                        </w14:solidFill>
                      </w14:textFill>
                    </w:rPr>
                    <w:t>，项目生产工序位于密闭生产车间内，</w:t>
                  </w:r>
                  <w:r>
                    <w:rPr>
                      <w:rFonts w:hint="eastAsia" w:ascii="宋体" w:hAnsi="宋体" w:cs="宋体"/>
                      <w:color w:val="000000" w:themeColor="text1"/>
                      <w:kern w:val="0"/>
                      <w:szCs w:val="21"/>
                      <w14:textFill>
                        <w14:solidFill>
                          <w14:schemeClr w14:val="tx1"/>
                        </w14:solidFill>
                      </w14:textFill>
                    </w:rPr>
                    <w:t>项目乳化机组为密闭设备，乳化过程废气由顶部密闭集气管道收集，开口面控制风速不低于</w:t>
                  </w:r>
                  <w:r>
                    <w:rPr>
                      <w:color w:val="000000" w:themeColor="text1"/>
                      <w:kern w:val="0"/>
                      <w:szCs w:val="21"/>
                      <w14:textFill>
                        <w14:solidFill>
                          <w14:schemeClr w14:val="tx1"/>
                        </w14:solidFill>
                      </w14:textFill>
                    </w:rPr>
                    <w:t>0.3</w:t>
                  </w:r>
                  <w:r>
                    <w:rPr>
                      <w:rFonts w:hint="eastAsia" w:ascii="宋体" w:hAnsi="宋体" w:cs="宋体"/>
                      <w:color w:val="000000" w:themeColor="text1"/>
                      <w:kern w:val="0"/>
                      <w:szCs w:val="21"/>
                      <w14:textFill>
                        <w14:solidFill>
                          <w14:schemeClr w14:val="tx1"/>
                        </w14:solidFill>
                      </w14:textFill>
                    </w:rPr>
                    <w:t>米</w:t>
                  </w:r>
                  <w:r>
                    <w:rPr>
                      <w:color w:val="000000" w:themeColor="text1"/>
                      <w:kern w:val="0"/>
                      <w:szCs w:val="21"/>
                      <w14:textFill>
                        <w14:solidFill>
                          <w14:schemeClr w14:val="tx1"/>
                        </w14:solidFill>
                      </w14:textFill>
                    </w:rPr>
                    <w:t>/</w:t>
                  </w:r>
                  <w:r>
                    <w:rPr>
                      <w:rFonts w:hint="eastAsia" w:ascii="宋体" w:hAnsi="宋体" w:cs="宋体"/>
                      <w:color w:val="000000" w:themeColor="text1"/>
                      <w:kern w:val="0"/>
                      <w:szCs w:val="21"/>
                      <w14:textFill>
                        <w14:solidFill>
                          <w14:schemeClr w14:val="tx1"/>
                        </w14:solidFill>
                      </w14:textFill>
                    </w:rPr>
                    <w:t>秒。</w:t>
                  </w:r>
                </w:p>
              </w:tc>
              <w:tc>
                <w:tcPr>
                  <w:tcW w:w="698" w:type="dxa"/>
                  <w:vAlign w:val="center"/>
                </w:tcPr>
                <w:p w14:paraId="01A7442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16C57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77" w:type="dxa"/>
                  <w:shd w:val="clear" w:color="auto" w:fill="auto"/>
                  <w:vAlign w:val="center"/>
                </w:tcPr>
                <w:p w14:paraId="04F8C5A1">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四、提升治理水平，全面达标排放</w:t>
                  </w:r>
                </w:p>
              </w:tc>
              <w:tc>
                <w:tcPr>
                  <w:tcW w:w="3863" w:type="dxa"/>
                  <w:shd w:val="clear" w:color="auto" w:fill="auto"/>
                  <w:vAlign w:val="center"/>
                </w:tcPr>
                <w:p w14:paraId="4B52136C">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各地在2022年5月15日前全面梳理辖区内采用单一UV光氧催化、低温等离子、碱液喷淋等低效VOCs治理工艺企业，6月10日前在单一工艺基础上增加活性炭吸附工艺（颗粒状、柱状活性炭碘值不低于800毫克/克，蜂窝状活性炭碘值不低于650毫克/克），或建设RCO、RTO等高效处理工艺，确保废气污染</w:t>
                  </w:r>
                </w:p>
                <w:p w14:paraId="4820974D">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物稳定达标排放</w:t>
                  </w:r>
                </w:p>
              </w:tc>
              <w:tc>
                <w:tcPr>
                  <w:tcW w:w="2775" w:type="dxa"/>
                  <w:vAlign w:val="center"/>
                </w:tcPr>
                <w:p w14:paraId="5DCF459B">
                  <w:pPr>
                    <w:rPr>
                      <w:color w:val="000000" w:themeColor="text1"/>
                      <w:szCs w:val="21"/>
                      <w:u w:val="single"/>
                      <w14:textFill>
                        <w14:solidFill>
                          <w14:schemeClr w14:val="tx1"/>
                        </w14:solidFill>
                      </w14:textFill>
                    </w:rPr>
                  </w:pPr>
                  <w:r>
                    <w:rPr>
                      <w:rFonts w:hint="eastAsia"/>
                      <w:color w:val="000000" w:themeColor="text1"/>
                      <w:szCs w:val="21"/>
                      <w14:textFill>
                        <w14:solidFill>
                          <w14:schemeClr w14:val="tx1"/>
                        </w14:solidFill>
                      </w14:textFill>
                    </w:rPr>
                    <w:t>本项目乳化工序产生的非甲烷总烃采用</w:t>
                  </w:r>
                  <w:r>
                    <w:rPr>
                      <w:color w:val="000000" w:themeColor="text1"/>
                      <w14:textFill>
                        <w14:solidFill>
                          <w14:schemeClr w14:val="tx1"/>
                        </w14:solidFill>
                      </w14:textFill>
                    </w:rPr>
                    <w:t>二级活性炭吸附</w:t>
                  </w:r>
                  <w:r>
                    <w:rPr>
                      <w:rFonts w:hint="eastAsia"/>
                      <w:color w:val="000000" w:themeColor="text1"/>
                      <w:szCs w:val="21"/>
                      <w14:textFill>
                        <w14:solidFill>
                          <w14:schemeClr w14:val="tx1"/>
                        </w14:solidFill>
                      </w14:textFill>
                    </w:rPr>
                    <w:t>的治理工艺</w:t>
                  </w:r>
                  <w:r>
                    <w:rPr>
                      <w:rFonts w:hint="eastAsia"/>
                      <w:color w:val="000000" w:themeColor="text1"/>
                      <w:szCs w:val="21"/>
                      <w14:textFill>
                        <w14:solidFill>
                          <w14:schemeClr w14:val="tx1"/>
                        </w14:solidFill>
                      </w14:textFill>
                    </w:rPr>
                    <w:t>，本项目使用活性炭的为</w:t>
                  </w:r>
                  <w:r>
                    <w:rPr>
                      <w:color w:val="000000" w:themeColor="text1"/>
                      <w:szCs w:val="21"/>
                      <w14:textFill>
                        <w14:solidFill>
                          <w14:schemeClr w14:val="tx1"/>
                        </w14:solidFill>
                      </w14:textFill>
                    </w:rPr>
                    <w:t>蜂窝状活性炭</w:t>
                  </w:r>
                  <w:r>
                    <w:rPr>
                      <w:rFonts w:hint="eastAsia"/>
                      <w:color w:val="000000" w:themeColor="text1"/>
                      <w:szCs w:val="21"/>
                      <w14:textFill>
                        <w14:solidFill>
                          <w14:schemeClr w14:val="tx1"/>
                        </w14:solidFill>
                      </w14:textFill>
                    </w:rPr>
                    <w:t>，且</w:t>
                  </w:r>
                  <w:r>
                    <w:rPr>
                      <w:color w:val="000000" w:themeColor="text1"/>
                      <w:szCs w:val="21"/>
                      <w14:textFill>
                        <w14:solidFill>
                          <w14:schemeClr w14:val="tx1"/>
                        </w14:solidFill>
                      </w14:textFill>
                    </w:rPr>
                    <w:t>碘值</w:t>
                  </w:r>
                  <w:r>
                    <w:rPr>
                      <w:rFonts w:hint="eastAsia"/>
                      <w:color w:val="000000" w:themeColor="text1"/>
                      <w:szCs w:val="21"/>
                      <w14:textFill>
                        <w14:solidFill>
                          <w14:schemeClr w14:val="tx1"/>
                        </w14:solidFill>
                      </w14:textFill>
                    </w:rPr>
                    <w:t>为80</w:t>
                  </w:r>
                  <w:r>
                    <w:rPr>
                      <w:color w:val="000000" w:themeColor="text1"/>
                      <w:szCs w:val="21"/>
                      <w14:textFill>
                        <w14:solidFill>
                          <w14:schemeClr w14:val="tx1"/>
                        </w14:solidFill>
                      </w14:textFill>
                    </w:rPr>
                    <w:t>0毫克/克</w:t>
                  </w:r>
                  <w:r>
                    <w:rPr>
                      <w:rFonts w:hint="eastAsia"/>
                      <w:color w:val="000000" w:themeColor="text1"/>
                      <w:szCs w:val="21"/>
                      <w14:textFill>
                        <w14:solidFill>
                          <w14:schemeClr w14:val="tx1"/>
                        </w14:solidFill>
                      </w14:textFill>
                    </w:rPr>
                    <w:t>。</w:t>
                  </w:r>
                </w:p>
              </w:tc>
              <w:tc>
                <w:tcPr>
                  <w:tcW w:w="698" w:type="dxa"/>
                  <w:vAlign w:val="center"/>
                </w:tcPr>
                <w:p w14:paraId="112F8FB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bl>
          <w:p w14:paraId="4159D01C">
            <w:pPr>
              <w:adjustRightInd w:val="0"/>
              <w:snapToGrid w:val="0"/>
              <w:spacing w:line="360" w:lineRule="auto"/>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由上表分析可知，项目建设与河南省《关于全面加强</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"https://huanbao.bjx.com.cn/topics/huifaxingyoujiwu/" \t "_blank" </w:instrText>
            </w:r>
            <w:r>
              <w:rPr>
                <w:color w:val="000000" w:themeColor="text1"/>
                <w14:textFill>
                  <w14:solidFill>
                    <w14:schemeClr w14:val="tx1"/>
                  </w14:solidFill>
                </w14:textFill>
              </w:rPr>
              <w:fldChar w:fldCharType="separate"/>
            </w:r>
            <w:r>
              <w:rPr>
                <w:color w:val="000000" w:themeColor="text1"/>
                <w:sz w:val="24"/>
                <w14:textFill>
                  <w14:solidFill>
                    <w14:schemeClr w14:val="tx1"/>
                  </w14:solidFill>
                </w14:textFill>
              </w:rPr>
              <w:t>挥发性有机物</w:t>
            </w:r>
            <w:r>
              <w:rPr>
                <w:color w:val="000000" w:themeColor="text1"/>
                <w:sz w:val="24"/>
                <w14:textFill>
                  <w14:solidFill>
                    <w14:schemeClr w14:val="tx1"/>
                  </w14:solidFill>
                </w14:textFill>
              </w:rPr>
              <w:fldChar w:fldCharType="end"/>
            </w:r>
            <w:r>
              <w:rPr>
                <w:color w:val="000000" w:themeColor="text1"/>
                <w:sz w:val="24"/>
                <w14:textFill>
                  <w14:solidFill>
                    <w14:schemeClr w14:val="tx1"/>
                  </w14:solidFill>
                </w14:textFill>
              </w:rPr>
              <w:t>污染治理的通知》（豫环办【2022】24号）中相关要求相符。</w:t>
            </w:r>
          </w:p>
          <w:p w14:paraId="3D3228B4">
            <w:pPr>
              <w:adjustRightInd w:val="0"/>
              <w:snapToGrid w:val="0"/>
              <w:spacing w:line="360" w:lineRule="auto"/>
              <w:ind w:firstLine="482" w:firstLineChars="200"/>
              <w:textAlignment w:val="baseline"/>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3</w:t>
            </w:r>
            <w:r>
              <w:rPr>
                <w:b/>
                <w:color w:val="000000" w:themeColor="text1"/>
                <w:sz w:val="24"/>
                <w14:textFill>
                  <w14:solidFill>
                    <w14:schemeClr w14:val="tx1"/>
                  </w14:solidFill>
                </w14:textFill>
              </w:rPr>
              <w:t>.</w:t>
            </w:r>
            <w:r>
              <w:rPr>
                <w:rFonts w:hint="eastAsia"/>
                <w:b/>
                <w:color w:val="000000" w:themeColor="text1"/>
                <w:sz w:val="24"/>
                <w14:textFill>
                  <w14:solidFill>
                    <w14:schemeClr w14:val="tx1"/>
                  </w14:solidFill>
                </w14:textFill>
              </w:rPr>
              <w:t>7、</w:t>
            </w:r>
            <w:r>
              <w:rPr>
                <w:b/>
                <w:color w:val="000000" w:themeColor="text1"/>
                <w:sz w:val="24"/>
                <w14:textFill>
                  <w14:solidFill>
                    <w14:schemeClr w14:val="tx1"/>
                  </w14:solidFill>
                </w14:textFill>
              </w:rPr>
              <w:t>项目建设与《挥发性有机物无组织排放控制标准》（GB37822-2019）的相符性</w:t>
            </w:r>
          </w:p>
          <w:p w14:paraId="7AE6DBF0">
            <w:pPr>
              <w:adjustRightInd w:val="0"/>
              <w:snapToGrid w:val="0"/>
              <w:spacing w:line="360" w:lineRule="auto"/>
              <w:jc w:val="center"/>
              <w:textAlignment w:val="baseline"/>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14:textFill>
                  <w14:solidFill>
                    <w14:schemeClr w14:val="tx1"/>
                  </w14:solidFill>
                </w14:textFill>
              </w:rPr>
              <w:t xml:space="preserve">11  </w:t>
            </w:r>
            <w:r>
              <w:rPr>
                <w:b/>
                <w:color w:val="000000" w:themeColor="text1"/>
                <w:sz w:val="24"/>
                <w14:textFill>
                  <w14:solidFill>
                    <w14:schemeClr w14:val="tx1"/>
                  </w14:solidFill>
                </w14:textFill>
              </w:rPr>
              <w:t>项目与《挥发性有机物无组织排放控制标准》（GB37822-2019）的相符性分析一览表</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2"/>
              <w:gridCol w:w="3318"/>
              <w:gridCol w:w="2663"/>
              <w:gridCol w:w="861"/>
            </w:tblGrid>
            <w:tr w14:paraId="2C573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Align w:val="center"/>
                </w:tcPr>
                <w:p w14:paraId="39E3094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类别</w:t>
                  </w:r>
                </w:p>
              </w:tc>
              <w:tc>
                <w:tcPr>
                  <w:tcW w:w="1995" w:type="pct"/>
                  <w:vAlign w:val="center"/>
                </w:tcPr>
                <w:p w14:paraId="3DE6DC1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标准要求</w:t>
                  </w:r>
                </w:p>
              </w:tc>
              <w:tc>
                <w:tcPr>
                  <w:tcW w:w="1601" w:type="pct"/>
                  <w:vAlign w:val="center"/>
                </w:tcPr>
                <w:p w14:paraId="50AC126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c>
                <w:tcPr>
                  <w:tcW w:w="517" w:type="pct"/>
                  <w:vAlign w:val="center"/>
                </w:tcPr>
                <w:p w14:paraId="5722405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38CF6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restart"/>
                  <w:vAlign w:val="center"/>
                </w:tcPr>
                <w:p w14:paraId="22FB18C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5、VOCs物料储存无组织排放控制要求</w:t>
                  </w:r>
                </w:p>
              </w:tc>
              <w:tc>
                <w:tcPr>
                  <w:tcW w:w="1995" w:type="pct"/>
                  <w:vAlign w:val="center"/>
                </w:tcPr>
                <w:p w14:paraId="67AA5AA2">
                  <w:pPr>
                    <w:rPr>
                      <w:color w:val="000000" w:themeColor="text1"/>
                      <w:szCs w:val="21"/>
                      <w14:textFill>
                        <w14:solidFill>
                          <w14:schemeClr w14:val="tx1"/>
                        </w14:solidFill>
                      </w14:textFill>
                    </w:rPr>
                  </w:pPr>
                  <w:r>
                    <w:rPr>
                      <w:color w:val="000000" w:themeColor="text1"/>
                      <w:szCs w:val="21"/>
                      <w14:textFill>
                        <w14:solidFill>
                          <w14:schemeClr w14:val="tx1"/>
                        </w14:solidFill>
                      </w14:textFill>
                    </w:rPr>
                    <w:t>VOCs物料应储存于密闭的容器、包装袋、储罐、储库、料仓中。</w:t>
                  </w:r>
                </w:p>
              </w:tc>
              <w:tc>
                <w:tcPr>
                  <w:tcW w:w="1601" w:type="pct"/>
                  <w:vAlign w:val="center"/>
                </w:tcPr>
                <w:p w14:paraId="1F56E621">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本项目含VOCs</w:t>
                  </w:r>
                  <w:r>
                    <w:rPr>
                      <w:rFonts w:hint="eastAsia"/>
                      <w:color w:val="000000" w:themeColor="text1"/>
                      <w:szCs w:val="21"/>
                      <w:lang w:val="en-US" w:eastAsia="zh-CN"/>
                      <w14:textFill>
                        <w14:solidFill>
                          <w14:schemeClr w14:val="tx1"/>
                        </w14:solidFill>
                      </w14:textFill>
                    </w:rPr>
                    <w:t>物料为</w:t>
                  </w:r>
                  <w:r>
                    <w:rPr>
                      <w:rFonts w:hint="eastAsia"/>
                      <w:color w:val="000000" w:themeColor="text1"/>
                      <w14:textFill>
                        <w14:solidFill>
                          <w14:schemeClr w14:val="tx1"/>
                        </w14:solidFill>
                      </w14:textFill>
                    </w:rPr>
                    <w:t>卡波姆以及薄荷醇溶液</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其中卡波姆为固态，采用袋装储存，</w:t>
                  </w:r>
                  <w:r>
                    <w:rPr>
                      <w:rFonts w:hint="eastAsia"/>
                      <w:color w:val="000000" w:themeColor="text1"/>
                      <w14:textFill>
                        <w14:solidFill>
                          <w14:schemeClr w14:val="tx1"/>
                        </w14:solidFill>
                      </w14:textFill>
                    </w:rPr>
                    <w:t>薄荷醇溶液</w:t>
                  </w:r>
                  <w:r>
                    <w:rPr>
                      <w:rFonts w:hint="eastAsia"/>
                      <w:color w:val="000000" w:themeColor="text1"/>
                      <w:lang w:val="en-US" w:eastAsia="zh-CN"/>
                      <w14:textFill>
                        <w14:solidFill>
                          <w14:schemeClr w14:val="tx1"/>
                        </w14:solidFill>
                      </w14:textFill>
                    </w:rPr>
                    <w:t>为液态，采用密闭桶装储存。</w:t>
                  </w:r>
                </w:p>
              </w:tc>
              <w:tc>
                <w:tcPr>
                  <w:tcW w:w="517" w:type="pct"/>
                  <w:vAlign w:val="center"/>
                </w:tcPr>
                <w:p w14:paraId="407F1FD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14ADA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continue"/>
                  <w:vAlign w:val="center"/>
                </w:tcPr>
                <w:p w14:paraId="567C9CA8">
                  <w:pPr>
                    <w:jc w:val="center"/>
                    <w:rPr>
                      <w:color w:val="000000" w:themeColor="text1"/>
                      <w:szCs w:val="21"/>
                      <w14:textFill>
                        <w14:solidFill>
                          <w14:schemeClr w14:val="tx1"/>
                        </w14:solidFill>
                      </w14:textFill>
                    </w:rPr>
                  </w:pPr>
                </w:p>
              </w:tc>
              <w:tc>
                <w:tcPr>
                  <w:tcW w:w="1995" w:type="pct"/>
                  <w:vAlign w:val="center"/>
                </w:tcPr>
                <w:p w14:paraId="63B84A42">
                  <w:pPr>
                    <w:rPr>
                      <w:color w:val="000000" w:themeColor="text1"/>
                      <w:szCs w:val="21"/>
                      <w14:textFill>
                        <w14:solidFill>
                          <w14:schemeClr w14:val="tx1"/>
                        </w14:solidFill>
                      </w14:textFill>
                    </w:rPr>
                  </w:pPr>
                  <w:r>
                    <w:rPr>
                      <w:color w:val="000000" w:themeColor="text1"/>
                      <w:szCs w:val="21"/>
                      <w14:textFill>
                        <w14:solidFill>
                          <w14:schemeClr w14:val="tx1"/>
                        </w14:solidFill>
                      </w14:textFill>
                    </w:rPr>
                    <w:t>盛装VOCs物料的容器或包装袋应存放于室内，或存放于设置有雨棚、遮阳和防渗设施的专用场地。盛装VOCs物料的容器或包装袋在非取用状态时应加盖、封口，保持密闭。</w:t>
                  </w:r>
                </w:p>
              </w:tc>
              <w:tc>
                <w:tcPr>
                  <w:tcW w:w="1601" w:type="pct"/>
                  <w:vAlign w:val="center"/>
                </w:tcPr>
                <w:p w14:paraId="6611CF2C">
                  <w:pPr>
                    <w:jc w:val="both"/>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本项目袋装</w:t>
                  </w:r>
                  <w:r>
                    <w:rPr>
                      <w:rFonts w:hint="eastAsia"/>
                      <w:color w:val="000000" w:themeColor="text1"/>
                      <w:lang w:val="en-US" w:eastAsia="zh-CN"/>
                      <w14:textFill>
                        <w14:solidFill>
                          <w14:schemeClr w14:val="tx1"/>
                        </w14:solidFill>
                      </w14:textFill>
                    </w:rPr>
                    <w:t>卡波姆以及桶装</w:t>
                  </w:r>
                  <w:r>
                    <w:rPr>
                      <w:rFonts w:hint="eastAsia"/>
                      <w:color w:val="000000" w:themeColor="text1"/>
                      <w14:textFill>
                        <w14:solidFill>
                          <w14:schemeClr w14:val="tx1"/>
                        </w14:solidFill>
                      </w14:textFill>
                    </w:rPr>
                    <w:t>薄荷醇溶液</w:t>
                  </w:r>
                  <w:r>
                    <w:rPr>
                      <w:color w:val="000000" w:themeColor="text1"/>
                      <w:kern w:val="0"/>
                      <w:szCs w:val="21"/>
                      <w14:textFill>
                        <w14:solidFill>
                          <w14:schemeClr w14:val="tx1"/>
                        </w14:solidFill>
                      </w14:textFill>
                    </w:rPr>
                    <w:t>储存</w:t>
                  </w:r>
                  <w:r>
                    <w:rPr>
                      <w:rFonts w:hint="eastAsia"/>
                      <w:color w:val="000000" w:themeColor="text1"/>
                      <w:kern w:val="0"/>
                      <w:szCs w:val="21"/>
                      <w:lang w:val="en-US" w:eastAsia="zh-CN"/>
                      <w14:textFill>
                        <w14:solidFill>
                          <w14:schemeClr w14:val="tx1"/>
                        </w14:solidFill>
                      </w14:textFill>
                    </w:rPr>
                    <w:t>于</w:t>
                  </w:r>
                  <w:r>
                    <w:rPr>
                      <w:color w:val="000000" w:themeColor="text1"/>
                      <w:kern w:val="0"/>
                      <w:szCs w:val="21"/>
                      <w14:textFill>
                        <w14:solidFill>
                          <w14:schemeClr w14:val="tx1"/>
                        </w14:solidFill>
                      </w14:textFill>
                    </w:rPr>
                    <w:t>车间原料暂存区内，未使用时</w:t>
                  </w:r>
                  <w:r>
                    <w:rPr>
                      <w:rFonts w:hint="eastAsia"/>
                      <w:color w:val="000000" w:themeColor="text1"/>
                      <w:kern w:val="0"/>
                      <w:szCs w:val="21"/>
                      <w:lang w:eastAsia="zh-CN"/>
                      <w14:textFill>
                        <w14:solidFill>
                          <w14:schemeClr w14:val="tx1"/>
                        </w14:solidFill>
                      </w14:textFill>
                    </w:rPr>
                    <w:t>，</w:t>
                  </w:r>
                  <w:r>
                    <w:rPr>
                      <w:rFonts w:hint="eastAsia"/>
                      <w:color w:val="000000" w:themeColor="text1"/>
                      <w:kern w:val="0"/>
                      <w:szCs w:val="21"/>
                      <w:lang w:val="en-US" w:eastAsia="zh-CN"/>
                      <w14:textFill>
                        <w14:solidFill>
                          <w14:schemeClr w14:val="tx1"/>
                        </w14:solidFill>
                      </w14:textFill>
                    </w:rPr>
                    <w:t>桶装</w:t>
                  </w:r>
                  <w:r>
                    <w:rPr>
                      <w:rFonts w:hint="eastAsia"/>
                      <w:color w:val="000000" w:themeColor="text1"/>
                      <w14:textFill>
                        <w14:solidFill>
                          <w14:schemeClr w14:val="tx1"/>
                        </w14:solidFill>
                      </w14:textFill>
                    </w:rPr>
                    <w:t>薄荷醇溶液</w:t>
                  </w:r>
                  <w:r>
                    <w:rPr>
                      <w:color w:val="000000" w:themeColor="text1"/>
                      <w:kern w:val="0"/>
                      <w:szCs w:val="21"/>
                      <w14:textFill>
                        <w14:solidFill>
                          <w14:schemeClr w14:val="tx1"/>
                        </w14:solidFill>
                      </w14:textFill>
                    </w:rPr>
                    <w:t>加盖，</w:t>
                  </w:r>
                  <w:r>
                    <w:rPr>
                      <w:rFonts w:hint="eastAsia"/>
                      <w:color w:val="000000" w:themeColor="text1"/>
                      <w:szCs w:val="21"/>
                      <w:lang w:val="en-US" w:eastAsia="zh-CN"/>
                      <w14:textFill>
                        <w14:solidFill>
                          <w14:schemeClr w14:val="tx1"/>
                        </w14:solidFill>
                      </w14:textFill>
                    </w:rPr>
                    <w:t>袋装</w:t>
                  </w:r>
                  <w:r>
                    <w:rPr>
                      <w:rFonts w:hint="eastAsia"/>
                      <w:color w:val="000000" w:themeColor="text1"/>
                      <w:lang w:val="en-US" w:eastAsia="zh-CN"/>
                      <w14:textFill>
                        <w14:solidFill>
                          <w14:schemeClr w14:val="tx1"/>
                        </w14:solidFill>
                      </w14:textFill>
                    </w:rPr>
                    <w:t>卡波姆</w:t>
                  </w:r>
                  <w:r>
                    <w:rPr>
                      <w:color w:val="000000" w:themeColor="text1"/>
                      <w:szCs w:val="21"/>
                      <w14:textFill>
                        <w14:solidFill>
                          <w14:schemeClr w14:val="tx1"/>
                        </w14:solidFill>
                      </w14:textFill>
                    </w:rPr>
                    <w:t>封口</w:t>
                  </w:r>
                  <w:r>
                    <w:rPr>
                      <w:rFonts w:hint="eastAsia"/>
                      <w:color w:val="000000" w:themeColor="text1"/>
                      <w:szCs w:val="21"/>
                      <w:lang w:eastAsia="zh-CN"/>
                      <w14:textFill>
                        <w14:solidFill>
                          <w14:schemeClr w14:val="tx1"/>
                        </w14:solidFill>
                      </w14:textFill>
                    </w:rPr>
                    <w:t>，</w:t>
                  </w:r>
                  <w:r>
                    <w:rPr>
                      <w:color w:val="000000" w:themeColor="text1"/>
                      <w:kern w:val="0"/>
                      <w:szCs w:val="21"/>
                      <w14:textFill>
                        <w14:solidFill>
                          <w14:schemeClr w14:val="tx1"/>
                        </w14:solidFill>
                      </w14:textFill>
                    </w:rPr>
                    <w:t>保持密闭</w:t>
                  </w:r>
                  <w:r>
                    <w:rPr>
                      <w:rFonts w:hint="eastAsia"/>
                      <w:color w:val="000000" w:themeColor="text1"/>
                      <w:kern w:val="0"/>
                      <w:szCs w:val="21"/>
                      <w:lang w:eastAsia="zh-CN"/>
                      <w14:textFill>
                        <w14:solidFill>
                          <w14:schemeClr w14:val="tx1"/>
                        </w14:solidFill>
                      </w14:textFill>
                    </w:rPr>
                    <w:t>。</w:t>
                  </w:r>
                </w:p>
              </w:tc>
              <w:tc>
                <w:tcPr>
                  <w:tcW w:w="517" w:type="pct"/>
                  <w:vAlign w:val="center"/>
                </w:tcPr>
                <w:p w14:paraId="59FB601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62CC5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restart"/>
                  <w:vAlign w:val="center"/>
                </w:tcPr>
                <w:p w14:paraId="0A1F461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6、VOCs物料转移和输送无组织排放控制要求</w:t>
                  </w:r>
                </w:p>
              </w:tc>
              <w:tc>
                <w:tcPr>
                  <w:tcW w:w="1995" w:type="pct"/>
                  <w:vAlign w:val="center"/>
                </w:tcPr>
                <w:p w14:paraId="65B75175">
                  <w:pPr>
                    <w:rPr>
                      <w:color w:val="000000" w:themeColor="text1"/>
                      <w:szCs w:val="21"/>
                      <w14:textFill>
                        <w14:solidFill>
                          <w14:schemeClr w14:val="tx1"/>
                        </w14:solidFill>
                      </w14:textFill>
                    </w:rPr>
                  </w:pPr>
                  <w:r>
                    <w:rPr>
                      <w:color w:val="000000" w:themeColor="text1"/>
                      <w:szCs w:val="21"/>
                      <w14:textFill>
                        <w14:solidFill>
                          <w14:schemeClr w14:val="tx1"/>
                        </w14:solidFill>
                      </w14:textFill>
                    </w:rPr>
                    <w:t>液态VOCs物料应采用密闭管道输送。采用非管道输送方式转移液态VOCs物料时，应采用密闭容器、罐车。</w:t>
                  </w:r>
                </w:p>
              </w:tc>
              <w:tc>
                <w:tcPr>
                  <w:tcW w:w="1601" w:type="pct"/>
                  <w:vAlign w:val="center"/>
                </w:tcPr>
                <w:p w14:paraId="1140E779">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本项目含VOCs的液态物料均采用密闭容器输送</w:t>
                  </w:r>
                </w:p>
              </w:tc>
              <w:tc>
                <w:tcPr>
                  <w:tcW w:w="517" w:type="pct"/>
                  <w:vAlign w:val="center"/>
                </w:tcPr>
                <w:p w14:paraId="4A8E4BA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356B9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continue"/>
                  <w:vAlign w:val="center"/>
                </w:tcPr>
                <w:p w14:paraId="48B976A0">
                  <w:pPr>
                    <w:jc w:val="center"/>
                    <w:rPr>
                      <w:color w:val="000000" w:themeColor="text1"/>
                      <w:szCs w:val="21"/>
                      <w14:textFill>
                        <w14:solidFill>
                          <w14:schemeClr w14:val="tx1"/>
                        </w14:solidFill>
                      </w14:textFill>
                    </w:rPr>
                  </w:pPr>
                </w:p>
              </w:tc>
              <w:tc>
                <w:tcPr>
                  <w:tcW w:w="1995" w:type="pct"/>
                  <w:vAlign w:val="center"/>
                </w:tcPr>
                <w:p w14:paraId="0CDEEDB2">
                  <w:pPr>
                    <w:rPr>
                      <w:color w:val="000000" w:themeColor="text1"/>
                      <w:szCs w:val="21"/>
                      <w14:textFill>
                        <w14:solidFill>
                          <w14:schemeClr w14:val="tx1"/>
                        </w14:solidFill>
                      </w14:textFill>
                    </w:rPr>
                  </w:pPr>
                  <w:r>
                    <w:rPr>
                      <w:color w:val="000000" w:themeColor="text1"/>
                      <w:szCs w:val="21"/>
                      <w14:textFill>
                        <w14:solidFill>
                          <w14:schemeClr w14:val="tx1"/>
                        </w14:solidFill>
                      </w14:textFill>
                    </w:rPr>
                    <w:t>粉状、粒状VOCs物料应采用气力输送设备、管状带式输送机、螺旋输送机等密闭输送方式，或者采用密闭的包装袋、容器或罐车进行物料转移。</w:t>
                  </w:r>
                </w:p>
              </w:tc>
              <w:tc>
                <w:tcPr>
                  <w:tcW w:w="1601" w:type="pct"/>
                  <w:vAlign w:val="center"/>
                </w:tcPr>
                <w:p w14:paraId="757B7151">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本项目VOCs物料</w:t>
                  </w:r>
                  <w:r>
                    <w:rPr>
                      <w:rFonts w:hint="eastAsia"/>
                      <w:color w:val="000000" w:themeColor="text1"/>
                      <w14:textFill>
                        <w14:solidFill>
                          <w14:schemeClr w14:val="tx1"/>
                        </w14:solidFill>
                      </w14:textFill>
                    </w:rPr>
                    <w:t>薄荷醇溶液</w:t>
                  </w:r>
                  <w:r>
                    <w:rPr>
                      <w:rFonts w:hint="eastAsia"/>
                      <w:color w:val="000000" w:themeColor="text1"/>
                      <w:lang w:val="en-US" w:eastAsia="zh-CN"/>
                      <w14:textFill>
                        <w14:solidFill>
                          <w14:schemeClr w14:val="tx1"/>
                        </w14:solidFill>
                      </w14:textFill>
                    </w:rPr>
                    <w:t>为液态，</w:t>
                  </w:r>
                  <w:r>
                    <w:rPr>
                      <w:rFonts w:hint="eastAsia"/>
                      <w:color w:val="000000" w:themeColor="text1"/>
                      <w:szCs w:val="21"/>
                      <w:lang w:val="en-US" w:eastAsia="zh-CN"/>
                      <w14:textFill>
                        <w14:solidFill>
                          <w14:schemeClr w14:val="tx1"/>
                        </w14:solidFill>
                      </w14:textFill>
                    </w:rPr>
                    <w:t>卡波姆为固态，但卡波姆使用前需添加纯水配置为液态，因此项目不涉及粉状、粒状VOCs物料输送。</w:t>
                  </w:r>
                </w:p>
              </w:tc>
              <w:tc>
                <w:tcPr>
                  <w:tcW w:w="517" w:type="pct"/>
                  <w:vAlign w:val="center"/>
                </w:tcPr>
                <w:p w14:paraId="6C15E4D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7DD56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restart"/>
                  <w:vAlign w:val="center"/>
                </w:tcPr>
                <w:p w14:paraId="297B1D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7、工艺过程VOCs无组织排放控制要求</w:t>
                  </w:r>
                </w:p>
              </w:tc>
              <w:tc>
                <w:tcPr>
                  <w:tcW w:w="1995" w:type="pct"/>
                  <w:vAlign w:val="center"/>
                </w:tcPr>
                <w:p w14:paraId="55D88BB4">
                  <w:pPr>
                    <w:rPr>
                      <w:color w:val="000000" w:themeColor="text1"/>
                      <w:szCs w:val="21"/>
                      <w14:textFill>
                        <w14:solidFill>
                          <w14:schemeClr w14:val="tx1"/>
                        </w14:solidFill>
                      </w14:textFill>
                    </w:rPr>
                  </w:pPr>
                  <w:r>
                    <w:rPr>
                      <w:color w:val="000000" w:themeColor="text1"/>
                      <w:szCs w:val="21"/>
                      <w14:textFill>
                        <w14:solidFill>
                          <w14:schemeClr w14:val="tx1"/>
                        </w14:solidFill>
                      </w14:textFill>
                    </w:rPr>
                    <w:t>液态VOCs物料应采用密闭管道输送方式或采用高位槽（罐）、桶泵等给料方式密闭投加。无法密闭投加的，应在密闭空间内操作，或进行局部气体收集，废气应排至VOCs废气收集处理系统。</w:t>
                  </w:r>
                </w:p>
              </w:tc>
              <w:tc>
                <w:tcPr>
                  <w:tcW w:w="1601" w:type="pct"/>
                  <w:vAlign w:val="center"/>
                </w:tcPr>
                <w:p w14:paraId="115CF1EC">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本项目VOCs的液态物料采用采用密闭</w:t>
                  </w:r>
                  <w:r>
                    <w:rPr>
                      <w:rFonts w:hint="eastAsia"/>
                      <w:color w:val="000000" w:themeColor="text1"/>
                      <w:szCs w:val="21"/>
                      <w14:textFill>
                        <w14:solidFill>
                          <w14:schemeClr w14:val="tx1"/>
                        </w14:solidFill>
                      </w14:textFill>
                    </w:rPr>
                    <w:t>容器</w:t>
                  </w:r>
                  <w:r>
                    <w:rPr>
                      <w:color w:val="000000" w:themeColor="text1"/>
                      <w:szCs w:val="21"/>
                      <w14:textFill>
                        <w14:solidFill>
                          <w14:schemeClr w14:val="tx1"/>
                        </w14:solidFill>
                      </w14:textFill>
                    </w:rPr>
                    <w:t>输送</w:t>
                  </w:r>
                  <w:r>
                    <w:rPr>
                      <w:rFonts w:hint="eastAsia"/>
                      <w:color w:val="000000" w:themeColor="text1"/>
                      <w:szCs w:val="21"/>
                      <w14:textFill>
                        <w14:solidFill>
                          <w14:schemeClr w14:val="tx1"/>
                        </w14:solidFill>
                      </w14:textFill>
                    </w:rPr>
                    <w:t>，在密闭空间内进行操作，产生的废气经收集后采用“</w:t>
                  </w:r>
                  <w:r>
                    <w:rPr>
                      <w:color w:val="000000" w:themeColor="text1"/>
                      <w14:textFill>
                        <w14:solidFill>
                          <w14:schemeClr w14:val="tx1"/>
                        </w14:solidFill>
                      </w14:textFill>
                    </w:rPr>
                    <w:t>二级活性炭吸附</w:t>
                  </w:r>
                  <w:r>
                    <w:rPr>
                      <w:rFonts w:hint="eastAsia"/>
                      <w:color w:val="000000" w:themeColor="text1"/>
                      <w:szCs w:val="21"/>
                      <w14:textFill>
                        <w14:solidFill>
                          <w14:schemeClr w14:val="tx1"/>
                        </w14:solidFill>
                      </w14:textFill>
                    </w:rPr>
                    <w:t>”处理工艺。</w:t>
                  </w:r>
                </w:p>
              </w:tc>
              <w:tc>
                <w:tcPr>
                  <w:tcW w:w="517" w:type="pct"/>
                  <w:vAlign w:val="center"/>
                </w:tcPr>
                <w:p w14:paraId="1CD70DB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5908E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continue"/>
                  <w:vAlign w:val="center"/>
                </w:tcPr>
                <w:p w14:paraId="5BCB8A52">
                  <w:pPr>
                    <w:jc w:val="center"/>
                    <w:rPr>
                      <w:color w:val="000000" w:themeColor="text1"/>
                      <w:szCs w:val="21"/>
                      <w14:textFill>
                        <w14:solidFill>
                          <w14:schemeClr w14:val="tx1"/>
                        </w14:solidFill>
                      </w14:textFill>
                    </w:rPr>
                  </w:pPr>
                </w:p>
              </w:tc>
              <w:tc>
                <w:tcPr>
                  <w:tcW w:w="1995" w:type="pct"/>
                  <w:vAlign w:val="center"/>
                </w:tcPr>
                <w:p w14:paraId="54DE2E51">
                  <w:pPr>
                    <w:rPr>
                      <w:color w:val="000000" w:themeColor="text1"/>
                      <w:szCs w:val="21"/>
                      <w14:textFill>
                        <w14:solidFill>
                          <w14:schemeClr w14:val="tx1"/>
                        </w14:solidFill>
                      </w14:textFill>
                    </w:rPr>
                  </w:pPr>
                  <w:r>
                    <w:rPr>
                      <w:color w:val="000000" w:themeColor="text1"/>
                      <w:szCs w:val="21"/>
                      <w14:textFill>
                        <w14:solidFill>
                          <w14:schemeClr w14:val="tx1"/>
                        </w14:solidFill>
                      </w14:textFill>
                    </w:rPr>
                    <w:t>粉状、粒状VOCs物料应采用气力输送方式或采用密闭固体投料器等给料方式密闭投加。无法密闭投加的，应在密闭空间内操作，或进行局部气体收集，废气应排至除尘设施、VOCs废气收集处理系统。</w:t>
                  </w:r>
                </w:p>
              </w:tc>
              <w:tc>
                <w:tcPr>
                  <w:tcW w:w="1601" w:type="pct"/>
                  <w:vAlign w:val="center"/>
                </w:tcPr>
                <w:p w14:paraId="04831375">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本项目VOCs物料为液态物料</w:t>
                  </w:r>
                </w:p>
              </w:tc>
              <w:tc>
                <w:tcPr>
                  <w:tcW w:w="517" w:type="pct"/>
                  <w:vAlign w:val="center"/>
                </w:tcPr>
                <w:p w14:paraId="2C7339B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7B333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continue"/>
                  <w:vAlign w:val="center"/>
                </w:tcPr>
                <w:p w14:paraId="176699FD">
                  <w:pPr>
                    <w:jc w:val="center"/>
                    <w:rPr>
                      <w:color w:val="000000" w:themeColor="text1"/>
                      <w:szCs w:val="21"/>
                      <w14:textFill>
                        <w14:solidFill>
                          <w14:schemeClr w14:val="tx1"/>
                        </w14:solidFill>
                      </w14:textFill>
                    </w:rPr>
                  </w:pPr>
                </w:p>
              </w:tc>
              <w:tc>
                <w:tcPr>
                  <w:tcW w:w="1995" w:type="pct"/>
                  <w:vAlign w:val="center"/>
                </w:tcPr>
                <w:p w14:paraId="4A62D23E">
                  <w:pP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企业应建立台账，记录含VOCs原辅材料和含VOCs产品的名称、使用量、回收量、废弃量、去向以及VOCs含量等信息。台账保存期限不少于3年。</w:t>
                  </w:r>
                </w:p>
              </w:tc>
              <w:tc>
                <w:tcPr>
                  <w:tcW w:w="1601" w:type="pct"/>
                  <w:vAlign w:val="center"/>
                </w:tcPr>
                <w:p w14:paraId="4D0B6C23">
                  <w:pPr>
                    <w:rPr>
                      <w:color w:val="000000" w:themeColor="text1"/>
                      <w:szCs w:val="21"/>
                      <w14:textFill>
                        <w14:solidFill>
                          <w14:schemeClr w14:val="tx1"/>
                        </w14:solidFill>
                      </w14:textFill>
                    </w:rPr>
                  </w:pPr>
                  <w:r>
                    <w:rPr>
                      <w:color w:val="000000" w:themeColor="text1"/>
                      <w:szCs w:val="21"/>
                      <w14:textFill>
                        <w14:solidFill>
                          <w14:schemeClr w14:val="tx1"/>
                        </w14:solidFill>
                      </w14:textFill>
                    </w:rPr>
                    <w:t>评价要求企业应建立台账，记录含VOCs原辅材料的名称、使用量、回收量、废弃量、去向以及VOCs含量等信息。台账保存期限不少于3年。</w:t>
                  </w:r>
                </w:p>
              </w:tc>
              <w:tc>
                <w:tcPr>
                  <w:tcW w:w="517" w:type="pct"/>
                  <w:vAlign w:val="center"/>
                </w:tcPr>
                <w:p w14:paraId="21CC579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01EB8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continue"/>
                  <w:vAlign w:val="center"/>
                </w:tcPr>
                <w:p w14:paraId="79B42B40">
                  <w:pPr>
                    <w:jc w:val="center"/>
                    <w:rPr>
                      <w:color w:val="000000" w:themeColor="text1"/>
                      <w:szCs w:val="21"/>
                      <w14:textFill>
                        <w14:solidFill>
                          <w14:schemeClr w14:val="tx1"/>
                        </w14:solidFill>
                      </w14:textFill>
                    </w:rPr>
                  </w:pPr>
                </w:p>
              </w:tc>
              <w:tc>
                <w:tcPr>
                  <w:tcW w:w="1995" w:type="pct"/>
                  <w:vAlign w:val="center"/>
                </w:tcPr>
                <w:p w14:paraId="561AA37E">
                  <w:pPr>
                    <w:rPr>
                      <w:color w:val="000000" w:themeColor="text1"/>
                      <w:szCs w:val="21"/>
                      <w14:textFill>
                        <w14:solidFill>
                          <w14:schemeClr w14:val="tx1"/>
                        </w14:solidFill>
                      </w14:textFill>
                    </w:rPr>
                  </w:pPr>
                  <w:r>
                    <w:rPr>
                      <w:color w:val="000000" w:themeColor="text1"/>
                      <w:szCs w:val="21"/>
                      <w14:textFill>
                        <w14:solidFill>
                          <w14:schemeClr w14:val="tx1"/>
                        </w14:solidFill>
                      </w14:textFill>
                    </w:rPr>
                    <w:t>通风生产设备、操作工位、车间厂房等应在符合安全生产、职业卫生相关规定的前提下，根据行业作业规程与标准、工业建筑及洁净厂房通风设计规范等的要求，采用合理的通风量。</w:t>
                  </w:r>
                </w:p>
              </w:tc>
              <w:tc>
                <w:tcPr>
                  <w:tcW w:w="1601" w:type="pct"/>
                  <w:vAlign w:val="center"/>
                </w:tcPr>
                <w:p w14:paraId="440135FB">
                  <w:pPr>
                    <w:rPr>
                      <w:color w:val="000000" w:themeColor="text1"/>
                      <w:szCs w:val="21"/>
                      <w14:textFill>
                        <w14:solidFill>
                          <w14:schemeClr w14:val="tx1"/>
                        </w14:solidFill>
                      </w14:textFill>
                    </w:rPr>
                  </w:pPr>
                  <w:r>
                    <w:rPr>
                      <w:color w:val="000000" w:themeColor="text1"/>
                      <w:szCs w:val="21"/>
                      <w14:textFill>
                        <w14:solidFill>
                          <w14:schemeClr w14:val="tx1"/>
                        </w14:solidFill>
                      </w14:textFill>
                    </w:rPr>
                    <w:t>评价要求项目通风生产设备、操作工位、车间厂房等应在符合安全生产、职业卫生相关规定的前提下，并根据行业作业规程与标准、工业建筑及洁净厂房通风设计规范等的要求，采用合理的通风量。</w:t>
                  </w:r>
                </w:p>
              </w:tc>
              <w:tc>
                <w:tcPr>
                  <w:tcW w:w="517" w:type="pct"/>
                  <w:vAlign w:val="center"/>
                </w:tcPr>
                <w:p w14:paraId="7616F75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29716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continue"/>
                  <w:vAlign w:val="center"/>
                </w:tcPr>
                <w:p w14:paraId="39FF806B">
                  <w:pPr>
                    <w:jc w:val="center"/>
                    <w:rPr>
                      <w:color w:val="000000" w:themeColor="text1"/>
                      <w:szCs w:val="21"/>
                      <w14:textFill>
                        <w14:solidFill>
                          <w14:schemeClr w14:val="tx1"/>
                        </w14:solidFill>
                      </w14:textFill>
                    </w:rPr>
                  </w:pPr>
                </w:p>
              </w:tc>
              <w:tc>
                <w:tcPr>
                  <w:tcW w:w="1995" w:type="pct"/>
                  <w:vAlign w:val="center"/>
                </w:tcPr>
                <w:p w14:paraId="22E44D18">
                  <w:pPr>
                    <w:rPr>
                      <w:color w:val="000000" w:themeColor="text1"/>
                      <w:szCs w:val="21"/>
                      <w14:textFill>
                        <w14:solidFill>
                          <w14:schemeClr w14:val="tx1"/>
                        </w14:solidFill>
                      </w14:textFill>
                    </w:rPr>
                  </w:pPr>
                  <w:r>
                    <w:rPr>
                      <w:color w:val="000000" w:themeColor="text1"/>
                      <w:szCs w:val="21"/>
                      <w14:textFill>
                        <w14:solidFill>
                          <w14:schemeClr w14:val="tx1"/>
                        </w14:solidFill>
                      </w14:textFill>
                    </w:rPr>
                    <w:t>工艺过程产生的含VOCs废料（渣、液）应按照第5章、第6章的要求进行储存、转移和输送。盛装过VOCs物料的废包装容器应加盖密闭。</w:t>
                  </w:r>
                </w:p>
              </w:tc>
              <w:tc>
                <w:tcPr>
                  <w:tcW w:w="1601" w:type="pct"/>
                  <w:vAlign w:val="center"/>
                </w:tcPr>
                <w:p w14:paraId="0B9C0006">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项目工艺过程产生的含VOCs的废</w:t>
                  </w:r>
                  <w:r>
                    <w:rPr>
                      <w:color w:val="000000" w:themeColor="text1"/>
                      <w:kern w:val="0"/>
                      <w:szCs w:val="21"/>
                      <w14:textFill>
                        <w14:solidFill>
                          <w14:schemeClr w14:val="tx1"/>
                        </w14:solidFill>
                      </w14:textFill>
                    </w:rPr>
                    <w:t>包装桶、废弃活性炭等危废按照《危险废物贮存污染控制标准》（</w:t>
                  </w:r>
                  <w:r>
                    <w:rPr>
                      <w:color w:val="000000" w:themeColor="text1"/>
                      <w:szCs w:val="21"/>
                      <w:shd w:val="clear" w:color="auto" w:fill="FFFFFF"/>
                      <w14:textFill>
                        <w14:solidFill>
                          <w14:schemeClr w14:val="tx1"/>
                        </w14:solidFill>
                      </w14:textFill>
                    </w:rPr>
                    <w:t>GB18597-2023</w:t>
                  </w:r>
                  <w:r>
                    <w:rPr>
                      <w:color w:val="000000" w:themeColor="text1"/>
                      <w:kern w:val="0"/>
                      <w:szCs w:val="21"/>
                      <w14:textFill>
                        <w14:solidFill>
                          <w14:schemeClr w14:val="tx1"/>
                        </w14:solidFill>
                      </w14:textFill>
                    </w:rPr>
                    <w:t>）要求进行储存、转移和输送。同时包装桶应加盖密闭</w:t>
                  </w:r>
                </w:p>
              </w:tc>
              <w:tc>
                <w:tcPr>
                  <w:tcW w:w="517" w:type="pct"/>
                  <w:vAlign w:val="center"/>
                </w:tcPr>
                <w:p w14:paraId="6DEE87B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28E7F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restart"/>
                  <w:vAlign w:val="center"/>
                </w:tcPr>
                <w:p w14:paraId="0384060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10、VOCs无组织排放废气收集处理系统要求</w:t>
                  </w:r>
                </w:p>
              </w:tc>
              <w:tc>
                <w:tcPr>
                  <w:tcW w:w="1995" w:type="pct"/>
                  <w:vAlign w:val="center"/>
                </w:tcPr>
                <w:p w14:paraId="1A1CAAB4">
                  <w:pPr>
                    <w:rPr>
                      <w:color w:val="000000" w:themeColor="text1"/>
                      <w:szCs w:val="21"/>
                      <w14:textFill>
                        <w14:solidFill>
                          <w14:schemeClr w14:val="tx1"/>
                        </w14:solidFill>
                      </w14:textFill>
                    </w:rPr>
                  </w:pPr>
                  <w:r>
                    <w:rPr>
                      <w:color w:val="000000" w:themeColor="text1"/>
                      <w:szCs w:val="21"/>
                      <w14:textFill>
                        <w14:solidFill>
                          <w14:schemeClr w14:val="tx1"/>
                        </w14:solidFill>
                      </w14:textFill>
                    </w:rPr>
                    <w:t>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1601" w:type="pct"/>
                  <w:vAlign w:val="center"/>
                </w:tcPr>
                <w:p w14:paraId="62A58990">
                  <w:pP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评价要求项目VOCs废气收集处理系统发生故障或检修时，对应的生产工艺设备应停止运行，待检修完毕后同步投入使用。</w:t>
                  </w:r>
                </w:p>
              </w:tc>
              <w:tc>
                <w:tcPr>
                  <w:tcW w:w="517" w:type="pct"/>
                  <w:vAlign w:val="center"/>
                </w:tcPr>
                <w:p w14:paraId="00DC107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472CA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continue"/>
                  <w:vAlign w:val="center"/>
                </w:tcPr>
                <w:p w14:paraId="0F2DFCCD">
                  <w:pPr>
                    <w:jc w:val="center"/>
                    <w:rPr>
                      <w:color w:val="000000" w:themeColor="text1"/>
                      <w:szCs w:val="21"/>
                      <w14:textFill>
                        <w14:solidFill>
                          <w14:schemeClr w14:val="tx1"/>
                        </w14:solidFill>
                      </w14:textFill>
                    </w:rPr>
                  </w:pPr>
                </w:p>
              </w:tc>
              <w:tc>
                <w:tcPr>
                  <w:tcW w:w="1995" w:type="pct"/>
                  <w:vAlign w:val="center"/>
                </w:tcPr>
                <w:p w14:paraId="5D826517">
                  <w:pP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企业应考虑生产工艺、操作方式、废气性质、处理方法等因素，对VOCs废气进行分类收集。</w:t>
                  </w:r>
                </w:p>
              </w:tc>
              <w:tc>
                <w:tcPr>
                  <w:tcW w:w="1601" w:type="pct"/>
                  <w:vAlign w:val="center"/>
                </w:tcPr>
                <w:p w14:paraId="5F024CA0">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项目生产过程中产生有机废气单一，以非甲烷总烃计，根据生产工艺分别收集处理后达标排放</w:t>
                  </w:r>
                </w:p>
              </w:tc>
              <w:tc>
                <w:tcPr>
                  <w:tcW w:w="517" w:type="pct"/>
                  <w:vAlign w:val="center"/>
                </w:tcPr>
                <w:p w14:paraId="759E86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459F12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continue"/>
                  <w:vAlign w:val="center"/>
                </w:tcPr>
                <w:p w14:paraId="4CCC1576">
                  <w:pPr>
                    <w:jc w:val="center"/>
                    <w:rPr>
                      <w:color w:val="000000" w:themeColor="text1"/>
                      <w:szCs w:val="21"/>
                      <w14:textFill>
                        <w14:solidFill>
                          <w14:schemeClr w14:val="tx1"/>
                        </w14:solidFill>
                      </w14:textFill>
                    </w:rPr>
                  </w:pPr>
                </w:p>
              </w:tc>
              <w:tc>
                <w:tcPr>
                  <w:tcW w:w="1995" w:type="pct"/>
                  <w:vAlign w:val="center"/>
                </w:tcPr>
                <w:p w14:paraId="75F5A5C6">
                  <w:pPr>
                    <w:rPr>
                      <w:color w:val="000000" w:themeColor="text1"/>
                      <w:szCs w:val="21"/>
                      <w14:textFill>
                        <w14:solidFill>
                          <w14:schemeClr w14:val="tx1"/>
                        </w14:solidFill>
                      </w14:textFill>
                    </w:rPr>
                  </w:pPr>
                  <w:r>
                    <w:rPr>
                      <w:color w:val="000000" w:themeColor="text1"/>
                      <w:szCs w:val="21"/>
                      <w14:textFill>
                        <w14:solidFill>
                          <w14:schemeClr w14:val="tx1"/>
                        </w14:solidFill>
                      </w14:textFill>
                    </w:rPr>
                    <w:t>废气收集系统的输送管道应密闭。废气收集系统应在负压下运行，若处于正压状态，应对输送管道组件的密封点进行泄漏检测，泄漏检测值不应超过500mmol/mol，亦不应有感官可察觉泄漏。泄漏检测频次、修复与记录的要求按照第8章规定执行。</w:t>
                  </w:r>
                </w:p>
              </w:tc>
              <w:tc>
                <w:tcPr>
                  <w:tcW w:w="1601" w:type="pct"/>
                  <w:vAlign w:val="center"/>
                </w:tcPr>
                <w:p w14:paraId="4E6E7DB2">
                  <w:pP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项目有机废气收集系统采用密闭输送管道，废气收集系统在负压下运行。</w:t>
                  </w:r>
                </w:p>
              </w:tc>
              <w:tc>
                <w:tcPr>
                  <w:tcW w:w="517" w:type="pct"/>
                  <w:vAlign w:val="center"/>
                </w:tcPr>
                <w:p w14:paraId="56B66D2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7FFE4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continue"/>
                  <w:vAlign w:val="center"/>
                </w:tcPr>
                <w:p w14:paraId="4EC96F48">
                  <w:pPr>
                    <w:jc w:val="center"/>
                    <w:rPr>
                      <w:color w:val="000000" w:themeColor="text1"/>
                      <w:szCs w:val="21"/>
                      <w14:textFill>
                        <w14:solidFill>
                          <w14:schemeClr w14:val="tx1"/>
                        </w14:solidFill>
                      </w14:textFill>
                    </w:rPr>
                  </w:pPr>
                </w:p>
              </w:tc>
              <w:tc>
                <w:tcPr>
                  <w:tcW w:w="1995" w:type="pct"/>
                  <w:vAlign w:val="center"/>
                </w:tcPr>
                <w:p w14:paraId="6213E22F">
                  <w:pPr>
                    <w:rPr>
                      <w:color w:val="000000" w:themeColor="text1"/>
                      <w:szCs w:val="21"/>
                      <w14:textFill>
                        <w14:solidFill>
                          <w14:schemeClr w14:val="tx1"/>
                        </w14:solidFill>
                      </w14:textFill>
                    </w:rPr>
                  </w:pPr>
                  <w:r>
                    <w:rPr>
                      <w:color w:val="000000" w:themeColor="text1"/>
                      <w:szCs w:val="21"/>
                      <w14:textFill>
                        <w14:solidFill>
                          <w14:schemeClr w14:val="tx1"/>
                        </w14:solidFill>
                      </w14:textFill>
                    </w:rPr>
                    <w:t>排气筒高度不低于15m（因安全考虑或有特殊工艺要求的除外），具体高度以及与周围建筑物的相对高度关系应根据环境影响评价文件确定。10.3.5当执行不同排放控制要求的废气合并排气</w:t>
                  </w:r>
                </w:p>
              </w:tc>
              <w:tc>
                <w:tcPr>
                  <w:tcW w:w="1601" w:type="pct"/>
                  <w:vAlign w:val="center"/>
                </w:tcPr>
                <w:p w14:paraId="1AE8891B">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本项目排气筒高度设置为15m。</w:t>
                  </w:r>
                </w:p>
              </w:tc>
              <w:tc>
                <w:tcPr>
                  <w:tcW w:w="517" w:type="pct"/>
                  <w:vAlign w:val="center"/>
                </w:tcPr>
                <w:p w14:paraId="64F5F16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39B60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5" w:type="pct"/>
                  <w:vMerge w:val="continue"/>
                  <w:vAlign w:val="center"/>
                </w:tcPr>
                <w:p w14:paraId="7C6A843A">
                  <w:pPr>
                    <w:jc w:val="center"/>
                    <w:rPr>
                      <w:color w:val="000000" w:themeColor="text1"/>
                      <w:szCs w:val="21"/>
                      <w14:textFill>
                        <w14:solidFill>
                          <w14:schemeClr w14:val="tx1"/>
                        </w14:solidFill>
                      </w14:textFill>
                    </w:rPr>
                  </w:pPr>
                </w:p>
              </w:tc>
              <w:tc>
                <w:tcPr>
                  <w:tcW w:w="1995" w:type="pct"/>
                  <w:vAlign w:val="center"/>
                </w:tcPr>
                <w:p w14:paraId="50B23577">
                  <w:pP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企业应建立台账，记录废气收集系统、VOCs处理设施的主要运行和维护信息，如运行时间、废气处理量、操作温度、停留时间、吸附剂再生/更换周期和更换量、催化剂更换周期和更换量、吸收液 pH值等关键运行参数。台账保存期限不少于3年。</w:t>
                  </w:r>
                </w:p>
              </w:tc>
              <w:tc>
                <w:tcPr>
                  <w:tcW w:w="1601" w:type="pct"/>
                  <w:vAlign w:val="center"/>
                </w:tcPr>
                <w:p w14:paraId="49900B33">
                  <w:pPr>
                    <w:rPr>
                      <w:color w:val="000000" w:themeColor="text1"/>
                      <w:szCs w:val="21"/>
                      <w14:textFill>
                        <w14:solidFill>
                          <w14:schemeClr w14:val="tx1"/>
                        </w14:solidFill>
                      </w14:textFill>
                    </w:rPr>
                  </w:pPr>
                  <w:r>
                    <w:rPr>
                      <w:color w:val="000000" w:themeColor="text1"/>
                      <w:szCs w:val="21"/>
                      <w14:textFill>
                        <w14:solidFill>
                          <w14:schemeClr w14:val="tx1"/>
                        </w14:solidFill>
                      </w14:textFill>
                    </w:rPr>
                    <w:t>评价要求企业应建立台账，记录废气收集系统、VOCs处理设施的主要运行和维护信息，如运行时间、废气处理量、操作温度、停留时间、吸附剂再生/更换周期和更换量等关键运行参数。台账保存期限不少于</w:t>
                  </w:r>
                  <w:r>
                    <w:rPr>
                      <w:rFonts w:hint="eastAsia"/>
                      <w:color w:val="000000" w:themeColor="text1"/>
                      <w:szCs w:val="21"/>
                      <w:lang w:val="en-US" w:eastAsia="zh-CN"/>
                      <w14:textFill>
                        <w14:solidFill>
                          <w14:schemeClr w14:val="tx1"/>
                        </w14:solidFill>
                      </w14:textFill>
                    </w:rPr>
                    <w:t>3</w:t>
                  </w:r>
                  <w:r>
                    <w:rPr>
                      <w:color w:val="000000" w:themeColor="text1"/>
                      <w:szCs w:val="21"/>
                      <w14:textFill>
                        <w14:solidFill>
                          <w14:schemeClr w14:val="tx1"/>
                        </w14:solidFill>
                      </w14:textFill>
                    </w:rPr>
                    <w:t>年。</w:t>
                  </w:r>
                </w:p>
              </w:tc>
              <w:tc>
                <w:tcPr>
                  <w:tcW w:w="517" w:type="pct"/>
                  <w:vAlign w:val="center"/>
                </w:tcPr>
                <w:p w14:paraId="2B745AE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bl>
          <w:p w14:paraId="3210AB09">
            <w:pPr>
              <w:spacing w:line="360" w:lineRule="auto"/>
              <w:ind w:firstLine="480" w:firstLineChars="200"/>
              <w:rPr>
                <w:b/>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由上表分析可知</w:t>
            </w:r>
            <w:r>
              <w:rPr>
                <w:color w:val="000000" w:themeColor="text1"/>
                <w:sz w:val="24"/>
                <w14:textFill>
                  <w14:solidFill>
                    <w14:schemeClr w14:val="tx1"/>
                  </w14:solidFill>
                </w14:textFill>
              </w:rPr>
              <w:t>，项目建设与《挥发性有机物无组织排放控制标准》（GB37822-2019）</w:t>
            </w:r>
            <w:r>
              <w:rPr>
                <w:rFonts w:hint="eastAsia"/>
                <w:color w:val="000000" w:themeColor="text1"/>
                <w:sz w:val="24"/>
                <w14:textFill>
                  <w14:solidFill>
                    <w14:schemeClr w14:val="tx1"/>
                  </w14:solidFill>
                </w14:textFill>
              </w:rPr>
              <w:t>中的相关</w:t>
            </w:r>
            <w:r>
              <w:rPr>
                <w:color w:val="000000" w:themeColor="text1"/>
                <w:sz w:val="24"/>
                <w14:textFill>
                  <w14:solidFill>
                    <w14:schemeClr w14:val="tx1"/>
                  </w14:solidFill>
                </w14:textFill>
              </w:rPr>
              <w:t>要求</w:t>
            </w:r>
            <w:r>
              <w:rPr>
                <w:rFonts w:hint="eastAsia"/>
                <w:color w:val="000000" w:themeColor="text1"/>
                <w:sz w:val="24"/>
                <w14:textFill>
                  <w14:solidFill>
                    <w14:schemeClr w14:val="tx1"/>
                  </w14:solidFill>
                </w14:textFill>
              </w:rPr>
              <w:t>相符</w:t>
            </w:r>
            <w:r>
              <w:rPr>
                <w:color w:val="000000" w:themeColor="text1"/>
                <w:sz w:val="24"/>
                <w14:textFill>
                  <w14:solidFill>
                    <w14:schemeClr w14:val="tx1"/>
                  </w14:solidFill>
                </w14:textFill>
              </w:rPr>
              <w:t>。</w:t>
            </w:r>
          </w:p>
          <w:p w14:paraId="6C8CEE0C">
            <w:pPr>
              <w:adjustRightInd w:val="0"/>
              <w:snapToGrid w:val="0"/>
              <w:spacing w:line="360" w:lineRule="auto"/>
              <w:ind w:firstLine="482" w:firstLineChars="200"/>
              <w:textAlignment w:val="baseline"/>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3.8、</w:t>
            </w:r>
            <w:r>
              <w:rPr>
                <w:b/>
                <w:color w:val="000000" w:themeColor="text1"/>
                <w:sz w:val="24"/>
                <w14:textFill>
                  <w14:solidFill>
                    <w14:schemeClr w14:val="tx1"/>
                  </w14:solidFill>
                </w14:textFill>
              </w:rPr>
              <w:t>项目建设与《</w:t>
            </w:r>
            <w:r>
              <w:rPr>
                <w:rFonts w:hint="eastAsia"/>
                <w:b/>
                <w:color w:val="000000" w:themeColor="text1"/>
                <w:sz w:val="24"/>
                <w14:textFill>
                  <w14:solidFill>
                    <w14:schemeClr w14:val="tx1"/>
                  </w14:solidFill>
                </w14:textFill>
              </w:rPr>
              <w:t>河南省啤酒建设项目环境影响评价文件审查审批原则要求（试行）</w:t>
            </w:r>
            <w:r>
              <w:rPr>
                <w:b/>
                <w:color w:val="000000" w:themeColor="text1"/>
                <w:sz w:val="24"/>
                <w14:textFill>
                  <w14:solidFill>
                    <w14:schemeClr w14:val="tx1"/>
                  </w14:solidFill>
                </w14:textFill>
              </w:rPr>
              <w:t>》的相符性</w:t>
            </w:r>
          </w:p>
          <w:p w14:paraId="5F314428">
            <w:pPr>
              <w:adjustRightInd w:val="0"/>
              <w:snapToGrid w:val="0"/>
              <w:spacing w:line="360" w:lineRule="auto"/>
              <w:jc w:val="center"/>
              <w:textAlignment w:val="baseline"/>
              <w:rPr>
                <w:b/>
                <w:color w:val="000000" w:themeColor="text1"/>
                <w:sz w:val="24"/>
                <w14:textFill>
                  <w14:solidFill>
                    <w14:schemeClr w14:val="tx1"/>
                  </w14:solidFill>
                </w14:textFill>
              </w:rPr>
            </w:pPr>
            <w:r>
              <w:rPr>
                <w:b/>
                <w:color w:val="000000" w:themeColor="text1"/>
                <w:sz w:val="24"/>
                <w14:textFill>
                  <w14:solidFill>
                    <w14:schemeClr w14:val="tx1"/>
                  </w14:solidFill>
                </w14:textFill>
              </w:rPr>
              <w:t>表1-</w:t>
            </w:r>
            <w:r>
              <w:rPr>
                <w:rFonts w:hint="eastAsia"/>
                <w:b/>
                <w:color w:val="000000" w:themeColor="text1"/>
                <w:sz w:val="24"/>
                <w14:textFill>
                  <w14:solidFill>
                    <w14:schemeClr w14:val="tx1"/>
                  </w14:solidFill>
                </w14:textFill>
              </w:rPr>
              <w:t xml:space="preserve">12  </w:t>
            </w:r>
            <w:r>
              <w:rPr>
                <w:b/>
                <w:color w:val="000000" w:themeColor="text1"/>
                <w:sz w:val="24"/>
                <w14:textFill>
                  <w14:solidFill>
                    <w14:schemeClr w14:val="tx1"/>
                  </w14:solidFill>
                </w14:textFill>
              </w:rPr>
              <w:t>项目与《</w:t>
            </w:r>
            <w:r>
              <w:rPr>
                <w:rFonts w:hint="eastAsia"/>
                <w:b/>
                <w:color w:val="000000" w:themeColor="text1"/>
                <w:sz w:val="24"/>
                <w14:textFill>
                  <w14:solidFill>
                    <w14:schemeClr w14:val="tx1"/>
                  </w14:solidFill>
                </w14:textFill>
              </w:rPr>
              <w:t>河南省啤酒建设项目环境影响评价文件审查审批原则要求（试行）</w:t>
            </w:r>
            <w:r>
              <w:rPr>
                <w:b/>
                <w:color w:val="000000" w:themeColor="text1"/>
                <w:sz w:val="24"/>
                <w14:textFill>
                  <w14:solidFill>
                    <w14:schemeClr w14:val="tx1"/>
                  </w14:solidFill>
                </w14:textFill>
              </w:rPr>
              <w:t>》的相符性分析一览表</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8"/>
              <w:gridCol w:w="3778"/>
              <w:gridCol w:w="2844"/>
              <w:gridCol w:w="714"/>
            </w:tblGrid>
            <w:tr w14:paraId="06CEF7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59" w:type="pct"/>
                  <w:gridSpan w:val="2"/>
                  <w:shd w:val="clear" w:color="auto" w:fill="auto"/>
                  <w:vAlign w:val="center"/>
                </w:tcPr>
                <w:p w14:paraId="152132A4">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方案内容</w:t>
                  </w:r>
                </w:p>
              </w:tc>
              <w:tc>
                <w:tcPr>
                  <w:tcW w:w="1710" w:type="pct"/>
                  <w:shd w:val="clear" w:color="auto" w:fill="auto"/>
                  <w:vAlign w:val="center"/>
                </w:tcPr>
                <w:p w14:paraId="74D142FA">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本项目建设情况</w:t>
                  </w:r>
                </w:p>
              </w:tc>
              <w:tc>
                <w:tcPr>
                  <w:tcW w:w="429" w:type="pct"/>
                  <w:shd w:val="clear" w:color="auto" w:fill="auto"/>
                  <w:vAlign w:val="center"/>
                </w:tcPr>
                <w:p w14:paraId="09757A82">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76EFA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vAlign w:val="center"/>
                </w:tcPr>
                <w:p w14:paraId="6FADB04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一、总体要求</w:t>
                  </w:r>
                </w:p>
              </w:tc>
              <w:tc>
                <w:tcPr>
                  <w:tcW w:w="2270" w:type="pct"/>
                  <w:vAlign w:val="center"/>
                </w:tcPr>
                <w:p w14:paraId="47552160">
                  <w:pPr>
                    <w:rPr>
                      <w:color w:val="000000" w:themeColor="text1"/>
                      <w14:textFill>
                        <w14:solidFill>
                          <w14:schemeClr w14:val="tx1"/>
                        </w14:solidFill>
                      </w14:textFill>
                    </w:rPr>
                  </w:pPr>
                  <w:r>
                    <w:rPr>
                      <w:rFonts w:hint="eastAsia"/>
                      <w:color w:val="000000" w:themeColor="text1"/>
                      <w14:textFill>
                        <w14:solidFill>
                          <w14:schemeClr w14:val="tx1"/>
                        </w14:solidFill>
                      </w14:textFill>
                    </w:rPr>
                    <w:t>啤酒项目应严格执行《产业结构调整指导目录（2011年本）（修正）》及《啤酒工业水污染物排放标准》（DB41/681-2011）等相关要求。</w:t>
                  </w:r>
                </w:p>
              </w:tc>
              <w:tc>
                <w:tcPr>
                  <w:tcW w:w="1710" w:type="pct"/>
                  <w:vAlign w:val="center"/>
                </w:tcPr>
                <w:p w14:paraId="209E05B5">
                  <w:pPr>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本项目严格执行《产业结构调整指导目录（2024年本）（修正）》及《啤酒工业水污染物排放标准》（DB41/681-2011）等相关要求。</w:t>
                  </w:r>
                </w:p>
              </w:tc>
              <w:tc>
                <w:tcPr>
                  <w:tcW w:w="429" w:type="pct"/>
                  <w:vAlign w:val="center"/>
                </w:tcPr>
                <w:p w14:paraId="5D78A537">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相符</w:t>
                  </w:r>
                </w:p>
              </w:tc>
            </w:tr>
            <w:tr w14:paraId="00288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vAlign w:val="center"/>
                </w:tcPr>
                <w:p w14:paraId="4A40B83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二、环境质量要求</w:t>
                  </w:r>
                </w:p>
              </w:tc>
              <w:tc>
                <w:tcPr>
                  <w:tcW w:w="2270" w:type="pct"/>
                  <w:vAlign w:val="center"/>
                </w:tcPr>
                <w:p w14:paraId="3963A218">
                  <w:pPr>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区域环境质量现状满足环境功能区要求的，项目实施后环境质量仍应满足功能区要求；环境质量现状不能满足环境功能区要求的，通过强化项目污染防治措施，并提出有效的区域削减措施，改善区域环境质量。</w:t>
                  </w:r>
                </w:p>
              </w:tc>
              <w:tc>
                <w:tcPr>
                  <w:tcW w:w="1710" w:type="pct"/>
                  <w:vAlign w:val="center"/>
                </w:tcPr>
                <w:p w14:paraId="1D165A65">
                  <w:pPr>
                    <w:rPr>
                      <w:color w:val="000000" w:themeColor="text1"/>
                      <w14:textFill>
                        <w14:solidFill>
                          <w14:schemeClr w14:val="tx1"/>
                        </w14:solidFill>
                      </w14:textFill>
                    </w:rPr>
                  </w:pPr>
                  <w:r>
                    <w:rPr>
                      <w:rFonts w:hint="eastAsia"/>
                      <w:color w:val="000000" w:themeColor="text1"/>
                      <w14:textFill>
                        <w14:solidFill>
                          <w14:schemeClr w14:val="tx1"/>
                        </w14:solidFill>
                      </w14:textFill>
                    </w:rPr>
                    <w:t>1、项目所在区域为空气质量不达标区，项目啤酒生产工序产生的废气为颗粒物和发酵废气（二氧化碳），项目颗粒物产生量较小，且配备了覆膜袋式除尘器对颗粒物进行处理，经处理后的颗粒物浓度可以满足排放标准；</w:t>
                  </w:r>
                </w:p>
                <w:p w14:paraId="271358EE">
                  <w:pPr>
                    <w:rPr>
                      <w:color w:val="000000" w:themeColor="text1"/>
                      <w14:textFill>
                        <w14:solidFill>
                          <w14:schemeClr w14:val="tx1"/>
                        </w14:solidFill>
                      </w14:textFill>
                    </w:rPr>
                  </w:pPr>
                  <w:r>
                    <w:rPr>
                      <w:color w:val="000000" w:themeColor="text1"/>
                      <w14:textFill>
                        <w14:solidFill>
                          <w14:schemeClr w14:val="tx1"/>
                        </w14:solidFill>
                      </w14:textFill>
                    </w:rPr>
                    <w:t>2、项目区地表水能够满足《地表水环境质量标准》（GB3838-2002）中Ⅲ类水体</w:t>
                  </w:r>
                  <w:r>
                    <w:rPr>
                      <w:rFonts w:hint="eastAsia"/>
                      <w:color w:val="000000" w:themeColor="text1"/>
                      <w14:textFill>
                        <w14:solidFill>
                          <w14:schemeClr w14:val="tx1"/>
                        </w14:solidFill>
                      </w14:textFill>
                    </w:rPr>
                    <w:t>，且项目厂区生活污水及生产废水经污水处理站处理后可以满足《啤酒工业水污染物排放标准》（DB41/681-2011）中表2预处理A排放标准。</w:t>
                  </w:r>
                </w:p>
              </w:tc>
              <w:tc>
                <w:tcPr>
                  <w:tcW w:w="429" w:type="pct"/>
                  <w:vAlign w:val="center"/>
                </w:tcPr>
                <w:p w14:paraId="6EEE5E5D">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相符</w:t>
                  </w:r>
                </w:p>
              </w:tc>
            </w:tr>
            <w:tr w14:paraId="1625F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shd w:val="clear" w:color="auto" w:fill="auto"/>
                  <w:vAlign w:val="center"/>
                </w:tcPr>
                <w:p w14:paraId="45241E51">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三、建设布局要求</w:t>
                  </w:r>
                </w:p>
              </w:tc>
              <w:tc>
                <w:tcPr>
                  <w:tcW w:w="2270" w:type="pct"/>
                  <w:shd w:val="clear" w:color="auto" w:fill="auto"/>
                  <w:vAlign w:val="center"/>
                </w:tcPr>
                <w:p w14:paraId="2BE62118">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新建、扩建啤酒项目应建设在集中供热、集中供水、污水集中处理等基础设施齐备的产业集聚区或专业园区，并符合园区发展规划及规划环境影响评价要求。鼓励园区外现有啤酒生产企业搬迁入园。城市建成区内现有啤酒生产企业不允许扩建。</w:t>
                  </w:r>
                </w:p>
              </w:tc>
              <w:tc>
                <w:tcPr>
                  <w:tcW w:w="1710" w:type="pct"/>
                  <w:vAlign w:val="center"/>
                </w:tcPr>
                <w:p w14:paraId="50AA6A7E">
                  <w:pPr>
                    <w:rPr>
                      <w:color w:val="000000" w:themeColor="text1"/>
                      <w:szCs w:val="21"/>
                      <w:u w:val="single"/>
                      <w14:textFill>
                        <w14:solidFill>
                          <w14:schemeClr w14:val="tx1"/>
                        </w14:solidFill>
                      </w14:textFill>
                    </w:rPr>
                  </w:pPr>
                  <w:r>
                    <w:rPr>
                      <w:color w:val="000000" w:themeColor="text1"/>
                      <w:szCs w:val="21"/>
                      <w14:textFill>
                        <w14:solidFill>
                          <w14:schemeClr w14:val="tx1"/>
                        </w14:solidFill>
                      </w14:textFill>
                    </w:rPr>
                    <w:t>项目位于南阳市镇平县玉都工业园区新星路8号，经对照镇平县先进制造业开发区发展规划，项目选址属于规划中的优质提升产业园（食品制造、医药、纺织）</w:t>
                  </w:r>
                  <w:r>
                    <w:rPr>
                      <w:rFonts w:hint="eastAsia"/>
                      <w:color w:val="000000" w:themeColor="text1"/>
                      <w:szCs w:val="21"/>
                      <w14:textFill>
                        <w14:solidFill>
                          <w14:schemeClr w14:val="tx1"/>
                        </w14:solidFill>
                      </w14:textFill>
                    </w:rPr>
                    <w:t>（见附图5）</w:t>
                  </w:r>
                  <w:r>
                    <w:rPr>
                      <w:color w:val="000000" w:themeColor="text1"/>
                      <w:szCs w:val="21"/>
                      <w14:textFill>
                        <w14:solidFill>
                          <w14:schemeClr w14:val="tx1"/>
                        </w14:solidFill>
                      </w14:textFill>
                    </w:rPr>
                    <w:t>，用地性质为工业用地，项目属于园区主导产业，属于开发区规划范围，用地性质属于工业用地</w:t>
                  </w:r>
                  <w:r>
                    <w:rPr>
                      <w:rFonts w:hint="eastAsia"/>
                      <w:color w:val="000000" w:themeColor="text1"/>
                      <w:szCs w:val="21"/>
                      <w14:textFill>
                        <w14:solidFill>
                          <w14:schemeClr w14:val="tx1"/>
                        </w14:solidFill>
                      </w14:textFill>
                    </w:rPr>
                    <w:t>，且已取得</w:t>
                  </w:r>
                  <w:r>
                    <w:rPr>
                      <w:color w:val="000000" w:themeColor="text1"/>
                      <w:szCs w:val="21"/>
                      <w14:textFill>
                        <w14:solidFill>
                          <w14:schemeClr w14:val="tx1"/>
                        </w14:solidFill>
                      </w14:textFill>
                    </w:rPr>
                    <w:t>镇平县</w:t>
                  </w:r>
                  <w:r>
                    <w:rPr>
                      <w:rFonts w:hint="eastAsia"/>
                      <w:color w:val="000000" w:themeColor="text1"/>
                      <w:szCs w:val="21"/>
                      <w14:textFill>
                        <w14:solidFill>
                          <w14:schemeClr w14:val="tx1"/>
                        </w14:solidFill>
                      </w14:textFill>
                    </w:rPr>
                    <w:t>先进制造业开发区管理委员会出具的入驻证明，因此本项目建设符合镇平县先进制造业开发区规划要求。</w:t>
                  </w:r>
                </w:p>
              </w:tc>
              <w:tc>
                <w:tcPr>
                  <w:tcW w:w="429" w:type="pct"/>
                  <w:vAlign w:val="center"/>
                </w:tcPr>
                <w:p w14:paraId="056917BB">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相符</w:t>
                  </w:r>
                </w:p>
              </w:tc>
            </w:tr>
            <w:tr w14:paraId="1ECB26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shd w:val="clear" w:color="auto" w:fill="auto"/>
                  <w:vAlign w:val="center"/>
                </w:tcPr>
                <w:p w14:paraId="52AE1024">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四、工艺装备要求</w:t>
                  </w:r>
                </w:p>
              </w:tc>
              <w:tc>
                <w:tcPr>
                  <w:tcW w:w="2270" w:type="pct"/>
                  <w:shd w:val="clear" w:color="auto" w:fill="auto"/>
                  <w:vAlign w:val="center"/>
                </w:tcPr>
                <w:p w14:paraId="3C06B947">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糖化、发酵、过滤、灌装工段应分别采用CIP清洗系统。新建、改扩建的啤酒项目应达到《清洁生产标准啤酒制造业》（HJ/T183-2006）一级水平。</w:t>
                  </w:r>
                </w:p>
              </w:tc>
              <w:tc>
                <w:tcPr>
                  <w:tcW w:w="1710" w:type="pct"/>
                  <w:vAlign w:val="center"/>
                </w:tcPr>
                <w:p w14:paraId="4A3291F6">
                  <w:pPr>
                    <w:rPr>
                      <w:color w:val="000000" w:themeColor="text1"/>
                      <w:szCs w:val="21"/>
                      <w:u w:val="single"/>
                      <w14:textFill>
                        <w14:solidFill>
                          <w14:schemeClr w14:val="tx1"/>
                        </w14:solidFill>
                      </w14:textFill>
                    </w:rPr>
                  </w:pPr>
                  <w:r>
                    <w:rPr>
                      <w:rFonts w:hint="eastAsia"/>
                      <w:color w:val="000000" w:themeColor="text1"/>
                      <w:szCs w:val="21"/>
                      <w14:textFill>
                        <w14:solidFill>
                          <w14:schemeClr w14:val="tx1"/>
                        </w14:solidFill>
                      </w14:textFill>
                    </w:rPr>
                    <w:t>本项目啤酒生产线糖化、发酵、过滤、灌装工段采用CIP清洗系统，且项目建成后应达到《清洁生产标准啤酒制造业》（HJ/T183-2006）一级水平。</w:t>
                  </w:r>
                </w:p>
              </w:tc>
              <w:tc>
                <w:tcPr>
                  <w:tcW w:w="429" w:type="pct"/>
                  <w:vAlign w:val="center"/>
                </w:tcPr>
                <w:p w14:paraId="2D8A8B36">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相符</w:t>
                  </w:r>
                </w:p>
              </w:tc>
            </w:tr>
            <w:tr w14:paraId="4FDC3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shd w:val="clear" w:color="auto" w:fill="auto"/>
                  <w:vAlign w:val="center"/>
                </w:tcPr>
                <w:p w14:paraId="38DC6A94">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五、大气污染防治要求</w:t>
                  </w:r>
                </w:p>
              </w:tc>
              <w:tc>
                <w:tcPr>
                  <w:tcW w:w="2270" w:type="pct"/>
                  <w:shd w:val="clear" w:color="auto" w:fill="auto"/>
                  <w:vAlign w:val="center"/>
                </w:tcPr>
                <w:p w14:paraId="098F7082">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啤酒生产企业供热原则上采用区域集中供热，自备锅炉应采用天然气等清洁能源，锅炉废气排放应满足《锅炉大气污染物排放标准》（GB13271-2014）要求及我省大气污染防治的管理要求。啤酒企业原材料应密闭堆放，原料处理工段应配备粉尘收集处理措施。污水处理站调节池、污泥浓缩池及污泥脱水间等产生恶臭的构筑物应密闭，对恶臭气体收集处理，排放应满足《恶臭污染物排放标准》(GB14554-93)要求。污水处理站沼气应经脱硫处理，鼓励沼气综合利用。</w:t>
                  </w:r>
                </w:p>
              </w:tc>
              <w:tc>
                <w:tcPr>
                  <w:tcW w:w="1710" w:type="pct"/>
                  <w:vAlign w:val="center"/>
                </w:tcPr>
                <w:p w14:paraId="4A693BA1">
                  <w:pPr>
                    <w:rPr>
                      <w:color w:val="000000" w:themeColor="text1"/>
                      <w:szCs w:val="21"/>
                      <w:u w:val="single"/>
                      <w14:textFill>
                        <w14:solidFill>
                          <w14:schemeClr w14:val="tx1"/>
                        </w14:solidFill>
                      </w14:textFill>
                    </w:rPr>
                  </w:pPr>
                  <w:r>
                    <w:rPr>
                      <w:rFonts w:hint="eastAsia"/>
                      <w:color w:val="000000" w:themeColor="text1"/>
                      <w:szCs w:val="21"/>
                      <w14:textFill>
                        <w14:solidFill>
                          <w14:schemeClr w14:val="tx1"/>
                        </w14:solidFill>
                      </w14:textFill>
                    </w:rPr>
                    <w:t>本项目供热采用蒸汽发生器采用管道天然气，且蒸汽发生器废气排放浓度《河南省地方标准 锅炉大气污染物排放标准》（DB41/2089-2021）要求及我省大气污染防治的管理要求；项目原材料应密闭堆放，原料处理工段应配备覆膜袋式除尘器处理，项目</w:t>
                  </w:r>
                  <w:r>
                    <w:rPr>
                      <w:color w:val="000000" w:themeColor="text1"/>
                      <w:kern w:val="52"/>
                      <w14:textFill>
                        <w14:solidFill>
                          <w14:schemeClr w14:val="tx1"/>
                        </w14:solidFill>
                      </w14:textFill>
                    </w:rPr>
                    <w:t>污水处理站</w:t>
                  </w:r>
                  <w:r>
                    <w:rPr>
                      <w:rFonts w:hint="eastAsia"/>
                      <w:color w:val="000000" w:themeColor="text1"/>
                      <w:kern w:val="52"/>
                      <w14:textFill>
                        <w14:solidFill>
                          <w14:schemeClr w14:val="tx1"/>
                        </w14:solidFill>
                      </w14:textFill>
                    </w:rPr>
                    <w:t>及酒糟暂存恶臭气体</w:t>
                  </w:r>
                  <w:r>
                    <w:rPr>
                      <w:rFonts w:hint="eastAsia"/>
                      <w:color w:val="000000" w:themeColor="text1"/>
                      <w:szCs w:val="21"/>
                      <w14:textFill>
                        <w14:solidFill>
                          <w14:schemeClr w14:val="tx1"/>
                        </w14:solidFill>
                      </w14:textFill>
                    </w:rPr>
                    <w:t>经1套“UV光氧+活性炭吸附装置”（TA007）进行处理，处理达标后由1根15m高排气筒（DA007）排放，且排放满足《恶臭污染物排放标准》(GB14554-93)要求。</w:t>
                  </w:r>
                </w:p>
              </w:tc>
              <w:tc>
                <w:tcPr>
                  <w:tcW w:w="429" w:type="pct"/>
                  <w:vAlign w:val="center"/>
                </w:tcPr>
                <w:p w14:paraId="6C408399">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相符</w:t>
                  </w:r>
                </w:p>
              </w:tc>
            </w:tr>
            <w:tr w14:paraId="2027B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shd w:val="clear" w:color="auto" w:fill="auto"/>
                  <w:vAlign w:val="center"/>
                </w:tcPr>
                <w:p w14:paraId="73E3745F">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六、水污染防治要求</w:t>
                  </w:r>
                </w:p>
              </w:tc>
              <w:tc>
                <w:tcPr>
                  <w:tcW w:w="2270" w:type="pct"/>
                  <w:shd w:val="clear" w:color="auto" w:fill="auto"/>
                  <w:vAlign w:val="center"/>
                </w:tcPr>
                <w:p w14:paraId="32BD8321">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啤酒生产企业废水应实现“雨污分流、清污分流、分质处理”，糖化及发酵工段高浓度废水应采用厌氧、好氧生化处理工艺。新建、扩建啤酒项目废水经厂内预处理满足《啤酒工业水污染物排放标准》（DB41/681-2011）要求及相应污水处理厂接管标准要求后，进入区域集中污水处理厂进一步处理。现有啤酒企业改扩建且废水确不具备排入区域集中污水处理厂条件的，废水排放应满足《啤酒工业水污染物排放标准》（DB41/681-2011）、相关流域标准及纳污水体环境管理要求。啤酒企业应设置标准化排污口，安装流量、COD、氨氮在线监测监控设施并与环保部门联网。</w:t>
                  </w:r>
                </w:p>
              </w:tc>
              <w:tc>
                <w:tcPr>
                  <w:tcW w:w="1710" w:type="pct"/>
                  <w:vAlign w:val="center"/>
                </w:tcPr>
                <w:p w14:paraId="5687C057">
                  <w:pPr>
                    <w:rPr>
                      <w:color w:val="000000" w:themeColor="text1"/>
                      <w:szCs w:val="21"/>
                      <w:u w:val="single"/>
                      <w14:textFill>
                        <w14:solidFill>
                          <w14:schemeClr w14:val="tx1"/>
                        </w14:solidFill>
                      </w14:textFill>
                    </w:rPr>
                  </w:pPr>
                  <w:r>
                    <w:rPr>
                      <w:rFonts w:hint="eastAsia"/>
                      <w:color w:val="000000" w:themeColor="text1"/>
                      <w:szCs w:val="21"/>
                      <w14:textFill>
                        <w14:solidFill>
                          <w14:schemeClr w14:val="tx1"/>
                        </w14:solidFill>
                      </w14:textFill>
                    </w:rPr>
                    <w:t>本项目废水“雨污分流、清污分流、分质处理”，由于本项目产生的麦糟滤液、废酵母滤液、一次洗涤水等不易分别收集，混合入总体生产废水后对生产废水水质影响较小，混合后的生产废水不属于高浓度废水，本项目为新建项目，废水经厂内预处理满足《啤酒工业水污染物排放标准》（DB41/681-2011）要求及相应污水处理厂接管标准要求后，进入污水处理厂进一步处理达标后排放。</w:t>
                  </w:r>
                </w:p>
              </w:tc>
              <w:tc>
                <w:tcPr>
                  <w:tcW w:w="429" w:type="pct"/>
                  <w:vAlign w:val="center"/>
                </w:tcPr>
                <w:p w14:paraId="74D3522A">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相符</w:t>
                  </w:r>
                </w:p>
              </w:tc>
            </w:tr>
            <w:tr w14:paraId="350AE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shd w:val="clear" w:color="auto" w:fill="auto"/>
                  <w:vAlign w:val="center"/>
                </w:tcPr>
                <w:p w14:paraId="76FA8FE3">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七、固体废物污染防治要求</w:t>
                  </w:r>
                </w:p>
              </w:tc>
              <w:tc>
                <w:tcPr>
                  <w:tcW w:w="2270" w:type="pct"/>
                  <w:shd w:val="clear" w:color="auto" w:fill="auto"/>
                  <w:vAlign w:val="center"/>
                </w:tcPr>
                <w:p w14:paraId="0CD6DAD1">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啤酒生产企业应按照“减量化、资源化、无害化”的原则，对固体废弃物进行分类收集和处置。一般固废厂内密闭暂存应符合《一般工业固体废物贮存、处置场污染控制标准》（GB18599-2001）。酒糟、热凝固物、冷凝固物、废酵母等应综合利用，并备用啤酒糟、冷热凝固物干燥设备。</w:t>
                  </w:r>
                </w:p>
              </w:tc>
              <w:tc>
                <w:tcPr>
                  <w:tcW w:w="1710" w:type="pct"/>
                  <w:vAlign w:val="center"/>
                </w:tcPr>
                <w:p w14:paraId="39B334C7">
                  <w:pPr>
                    <w:rPr>
                      <w:color w:val="000000" w:themeColor="text1"/>
                      <w:szCs w:val="21"/>
                      <w:u w:val="single"/>
                      <w14:textFill>
                        <w14:solidFill>
                          <w14:schemeClr w14:val="tx1"/>
                        </w14:solidFill>
                      </w14:textFill>
                    </w:rPr>
                  </w:pPr>
                  <w:r>
                    <w:rPr>
                      <w:rFonts w:hint="eastAsia"/>
                      <w:color w:val="000000" w:themeColor="text1"/>
                      <w:szCs w:val="21"/>
                      <w14:textFill>
                        <w14:solidFill>
                          <w14:schemeClr w14:val="tx1"/>
                        </w14:solidFill>
                      </w14:textFill>
                    </w:rPr>
                    <w:t>本项目按照“减量化、资源化、无害化”的原则，对固体废弃物进行分类收集和处置。一般固废厂内密闭暂存应符合</w:t>
                  </w:r>
                  <w:r>
                    <w:rPr>
                      <w:rFonts w:hint="eastAsia"/>
                      <w:color w:val="000000" w:themeColor="text1"/>
                      <w:szCs w:val="21"/>
                      <w14:textFill>
                        <w14:solidFill>
                          <w14:schemeClr w14:val="tx1"/>
                        </w14:solidFill>
                      </w14:textFill>
                    </w:rPr>
                    <w:t>《一般工业固体废物贮存和填埋污染控制标准》（GB18599-20</w:t>
                  </w:r>
                  <w:r>
                    <w:rPr>
                      <w:rFonts w:hint="eastAsia"/>
                      <w:color w:val="000000" w:themeColor="text1"/>
                      <w:szCs w:val="21"/>
                      <w:lang w:val="en-US" w:eastAsia="zh-CN"/>
                      <w14:textFill>
                        <w14:solidFill>
                          <w14:schemeClr w14:val="tx1"/>
                        </w14:solidFill>
                      </w14:textFill>
                    </w:rPr>
                    <w:t>20</w:t>
                  </w:r>
                  <w:r>
                    <w:rPr>
                      <w:rFonts w:hint="eastAsia"/>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。酒糟、热凝固物、冷凝固物、废酵母等应综合利用，并备用啤酒糟、冷热凝固物干燥设备。</w:t>
                  </w:r>
                </w:p>
              </w:tc>
              <w:tc>
                <w:tcPr>
                  <w:tcW w:w="429" w:type="pct"/>
                  <w:vAlign w:val="center"/>
                </w:tcPr>
                <w:p w14:paraId="56BE5F0C">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相符</w:t>
                  </w:r>
                </w:p>
              </w:tc>
            </w:tr>
            <w:tr w14:paraId="30C25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8" w:type="pct"/>
                  <w:shd w:val="clear" w:color="auto" w:fill="auto"/>
                  <w:vAlign w:val="center"/>
                </w:tcPr>
                <w:p w14:paraId="57B92060">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八、公众参与要求</w:t>
                  </w:r>
                </w:p>
              </w:tc>
              <w:tc>
                <w:tcPr>
                  <w:tcW w:w="2270" w:type="pct"/>
                  <w:shd w:val="clear" w:color="auto" w:fill="auto"/>
                  <w:vAlign w:val="center"/>
                </w:tcPr>
                <w:p w14:paraId="17A9BB9B">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严格按照国家和河南省相关规定开展信息公开和公众参与。</w:t>
                  </w:r>
                </w:p>
              </w:tc>
              <w:tc>
                <w:tcPr>
                  <w:tcW w:w="1710" w:type="pct"/>
                  <w:vAlign w:val="center"/>
                </w:tcPr>
                <w:p w14:paraId="13479FD4">
                  <w:pPr>
                    <w:rPr>
                      <w:color w:val="000000" w:themeColor="text1"/>
                      <w:szCs w:val="21"/>
                      <w:u w:val="single"/>
                      <w14:textFill>
                        <w14:solidFill>
                          <w14:schemeClr w14:val="tx1"/>
                        </w14:solidFill>
                      </w14:textFill>
                    </w:rPr>
                  </w:pPr>
                  <w:r>
                    <w:rPr>
                      <w:rFonts w:hint="eastAsia"/>
                      <w:color w:val="000000" w:themeColor="text1"/>
                      <w:szCs w:val="21"/>
                      <w14:textFill>
                        <w14:solidFill>
                          <w14:schemeClr w14:val="tx1"/>
                        </w14:solidFill>
                      </w14:textFill>
                    </w:rPr>
                    <w:t>本项目严格按照国家和河南省相关规定开展信息公开和公众参与。</w:t>
                  </w:r>
                </w:p>
              </w:tc>
              <w:tc>
                <w:tcPr>
                  <w:tcW w:w="429" w:type="pct"/>
                  <w:vAlign w:val="center"/>
                </w:tcPr>
                <w:p w14:paraId="7FFDBC31">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相符</w:t>
                  </w:r>
                </w:p>
              </w:tc>
            </w:tr>
          </w:tbl>
          <w:p w14:paraId="4D2F85B6">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3.9、</w:t>
            </w:r>
            <w:r>
              <w:rPr>
                <w:b/>
                <w:bCs/>
                <w:color w:val="000000" w:themeColor="text1"/>
                <w:sz w:val="24"/>
                <w14:textFill>
                  <w14:solidFill>
                    <w14:schemeClr w14:val="tx1"/>
                  </w14:solidFill>
                </w14:textFill>
              </w:rPr>
              <w:t>项目与河南省</w:t>
            </w:r>
            <w:r>
              <w:rPr>
                <w:rFonts w:hint="eastAsia"/>
                <w:b/>
                <w:bCs/>
                <w:color w:val="000000" w:themeColor="text1"/>
                <w:sz w:val="24"/>
                <w14:textFill>
                  <w14:solidFill>
                    <w14:schemeClr w14:val="tx1"/>
                  </w14:solidFill>
                </w14:textFill>
              </w:rPr>
              <w:t>生态环境厅</w:t>
            </w:r>
            <w:r>
              <w:rPr>
                <w:b/>
                <w:bCs/>
                <w:color w:val="000000" w:themeColor="text1"/>
                <w:sz w:val="24"/>
                <w14:textFill>
                  <w14:solidFill>
                    <w14:schemeClr w14:val="tx1"/>
                  </w14:solidFill>
                </w14:textFill>
              </w:rPr>
              <w:t>《关于印发河南省低效失效大气污染治理设施排查整治实施方案的通知》（豫环文[2024]132号）的相符性</w:t>
            </w:r>
          </w:p>
          <w:p w14:paraId="0DC94B21">
            <w:pPr>
              <w:adjustRightInd w:val="0"/>
              <w:snapToGrid w:val="0"/>
              <w:spacing w:line="360" w:lineRule="auto"/>
              <w:jc w:val="center"/>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表1-</w:t>
            </w:r>
            <w:r>
              <w:rPr>
                <w:rFonts w:hint="eastAsia"/>
                <w:b/>
                <w:bCs/>
                <w:color w:val="000000" w:themeColor="text1"/>
                <w:sz w:val="24"/>
                <w14:textFill>
                  <w14:solidFill>
                    <w14:schemeClr w14:val="tx1"/>
                  </w14:solidFill>
                </w14:textFill>
              </w:rPr>
              <w:t>13</w:t>
            </w:r>
            <w:r>
              <w:rPr>
                <w:b/>
                <w:bCs/>
                <w:color w:val="000000" w:themeColor="text1"/>
                <w:sz w:val="24"/>
                <w14:textFill>
                  <w14:solidFill>
                    <w14:schemeClr w14:val="tx1"/>
                  </w14:solidFill>
                </w14:textFill>
              </w:rPr>
              <w:t xml:space="preserve">  项目与河南省</w:t>
            </w:r>
            <w:r>
              <w:rPr>
                <w:rFonts w:hint="eastAsia"/>
                <w:b/>
                <w:bCs/>
                <w:color w:val="000000" w:themeColor="text1"/>
                <w:sz w:val="24"/>
                <w14:textFill>
                  <w14:solidFill>
                    <w14:schemeClr w14:val="tx1"/>
                  </w14:solidFill>
                </w14:textFill>
              </w:rPr>
              <w:t>生态环境厅</w:t>
            </w:r>
            <w:r>
              <w:rPr>
                <w:b/>
                <w:bCs/>
                <w:color w:val="000000" w:themeColor="text1"/>
                <w:sz w:val="24"/>
                <w14:textFill>
                  <w14:solidFill>
                    <w14:schemeClr w14:val="tx1"/>
                  </w14:solidFill>
                </w14:textFill>
              </w:rPr>
              <w:t>《关于印发河南省低效失效大气污染治理设施排查整治实施方案的通知》（豫环文[2024]132号）节选内容相符性分析一览表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2"/>
              <w:gridCol w:w="3970"/>
              <w:gridCol w:w="2907"/>
              <w:gridCol w:w="695"/>
            </w:tblGrid>
            <w:tr w14:paraId="520AB1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09" w:type="pct"/>
                  <w:gridSpan w:val="2"/>
                  <w:vAlign w:val="center"/>
                </w:tcPr>
                <w:p w14:paraId="4E79E221">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方案内容</w:t>
                  </w:r>
                </w:p>
              </w:tc>
              <w:tc>
                <w:tcPr>
                  <w:tcW w:w="1761" w:type="pct"/>
                  <w:vAlign w:val="center"/>
                </w:tcPr>
                <w:p w14:paraId="72F7BEB4">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本项目建设情况</w:t>
                  </w:r>
                </w:p>
              </w:tc>
              <w:tc>
                <w:tcPr>
                  <w:tcW w:w="429" w:type="pct"/>
                  <w:vAlign w:val="center"/>
                </w:tcPr>
                <w:p w14:paraId="7EA7293C">
                  <w:pPr>
                    <w:widowControl/>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3BC45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restart"/>
                  <w:vAlign w:val="center"/>
                </w:tcPr>
                <w:p w14:paraId="0D49A36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二、排查整治要求</w:t>
                  </w:r>
                </w:p>
              </w:tc>
              <w:tc>
                <w:tcPr>
                  <w:tcW w:w="2399" w:type="pct"/>
                  <w:vAlign w:val="center"/>
                </w:tcPr>
                <w:p w14:paraId="6110C24C">
                  <w:pPr>
                    <w:rPr>
                      <w:color w:val="000000" w:themeColor="text1"/>
                      <w14:textFill>
                        <w14:solidFill>
                          <w14:schemeClr w14:val="tx1"/>
                        </w14:solidFill>
                      </w14:textFill>
                    </w:rPr>
                  </w:pPr>
                  <w:r>
                    <w:rPr>
                      <w:rFonts w:hint="eastAsia"/>
                      <w:color w:val="000000" w:themeColor="text1"/>
                      <w14:textFill>
                        <w14:solidFill>
                          <w14:schemeClr w14:val="tx1"/>
                        </w14:solidFill>
                      </w14:textFill>
                    </w:rPr>
                    <w:t>（一）大气污染治理设施低效失效的情形</w:t>
                  </w:r>
                </w:p>
                <w:p w14:paraId="59F7D77B">
                  <w:pPr>
                    <w:rPr>
                      <w:color w:val="000000" w:themeColor="text1"/>
                      <w14:textFill>
                        <w14:solidFill>
                          <w14:schemeClr w14:val="tx1"/>
                        </w14:solidFill>
                      </w14:textFill>
                    </w:rPr>
                  </w:pPr>
                  <w:r>
                    <w:rPr>
                      <w:rFonts w:hint="eastAsia"/>
                      <w:color w:val="000000" w:themeColor="text1"/>
                      <w14:textFill>
                        <w14:solidFill>
                          <w14:schemeClr w14:val="tx1"/>
                        </w14:solidFill>
                      </w14:textFill>
                    </w:rPr>
                    <w:t>1.治理工艺不适用，去除效率低或无去除效果、无稳定达标排放能力；</w:t>
                  </w:r>
                </w:p>
                <w:p w14:paraId="48C8063B">
                  <w:pPr>
                    <w:rPr>
                      <w:color w:val="000000" w:themeColor="text1"/>
                      <w14:textFill>
                        <w14:solidFill>
                          <w14:schemeClr w14:val="tx1"/>
                        </w14:solidFill>
                      </w14:textFill>
                    </w:rPr>
                  </w:pPr>
                  <w:r>
                    <w:rPr>
                      <w:rFonts w:hint="eastAsia"/>
                      <w:color w:val="000000" w:themeColor="text1"/>
                      <w14:textFill>
                        <w14:solidFill>
                          <w14:schemeClr w14:val="tx1"/>
                        </w14:solidFill>
                      </w14:textFill>
                    </w:rPr>
                    <w:t>2.治理设备简陋，必要组件未安装，未形成稳定可靠的副产物和消纳去向；建设质量低劣，关键组件达不到规范要求；管道或相关设施腐蚀、破损严重；自动化水平不高，无控制系统或功能缺失；</w:t>
                  </w:r>
                </w:p>
                <w:p w14:paraId="4B59C9F8">
                  <w:pPr>
                    <w:rPr>
                      <w:color w:val="000000" w:themeColor="text1"/>
                      <w14:textFill>
                        <w14:solidFill>
                          <w14:schemeClr w14:val="tx1"/>
                        </w14:solidFill>
                      </w14:textFill>
                    </w:rPr>
                  </w:pPr>
                  <w:r>
                    <w:rPr>
                      <w:rFonts w:hint="eastAsia"/>
                      <w:color w:val="000000" w:themeColor="text1"/>
                      <w14:textFill>
                        <w14:solidFill>
                          <w14:schemeClr w14:val="tx1"/>
                        </w14:solidFill>
                      </w14:textFill>
                    </w:rPr>
                    <w:t>3.治理设施运行维护不到位，关键组件、关键参数未按相关技术规范进行操作，污染物治理效果达不到设计要求；</w:t>
                  </w:r>
                </w:p>
                <w:p w14:paraId="039A4E22">
                  <w:pPr>
                    <w:rPr>
                      <w:color w:val="000000" w:themeColor="text1"/>
                      <w14:textFill>
                        <w14:solidFill>
                          <w14:schemeClr w14:val="tx1"/>
                        </w14:solidFill>
                      </w14:textFill>
                    </w:rPr>
                  </w:pPr>
                  <w:r>
                    <w:rPr>
                      <w:rFonts w:hint="eastAsia"/>
                      <w:color w:val="000000" w:themeColor="text1"/>
                      <w14:textFill>
                        <w14:solidFill>
                          <w14:schemeClr w14:val="tx1"/>
                        </w14:solidFill>
                      </w14:textFill>
                    </w:rPr>
                    <w:t>4.为掩盖治理设施低效失效等问题，不正常运维甚至干扰自动监测，篡改、伪造监测数据等。</w:t>
                  </w:r>
                </w:p>
              </w:tc>
              <w:tc>
                <w:tcPr>
                  <w:tcW w:w="1761" w:type="pct"/>
                  <w:vAlign w:val="center"/>
                </w:tcPr>
                <w:p w14:paraId="1D561FA3">
                  <w:pPr>
                    <w:rPr>
                      <w:color w:val="000000" w:themeColor="text1"/>
                      <w14:textFill>
                        <w14:solidFill>
                          <w14:schemeClr w14:val="tx1"/>
                        </w14:solidFill>
                      </w14:textFill>
                    </w:rPr>
                  </w:pPr>
                  <w:r>
                    <w:rPr>
                      <w:rFonts w:hint="eastAsia"/>
                      <w:color w:val="000000" w:themeColor="text1"/>
                      <w14:textFill>
                        <w14:solidFill>
                          <w14:schemeClr w14:val="tx1"/>
                        </w14:solidFill>
                      </w14:textFill>
                    </w:rPr>
                    <w:t>本项目为新建项目，本项目废气污染治理设施按照相关标准进行落实，因此项目建成后不存在治理工艺不适用，去除效率低等治理设施低效失效的情形。</w:t>
                  </w:r>
                </w:p>
              </w:tc>
              <w:tc>
                <w:tcPr>
                  <w:tcW w:w="429" w:type="pct"/>
                  <w:vAlign w:val="center"/>
                </w:tcPr>
                <w:p w14:paraId="661A05F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51E5D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continue"/>
                  <w:vAlign w:val="center"/>
                </w:tcPr>
                <w:p w14:paraId="522325C1">
                  <w:pPr>
                    <w:jc w:val="center"/>
                    <w:rPr>
                      <w:color w:val="000000" w:themeColor="text1"/>
                      <w14:textFill>
                        <w14:solidFill>
                          <w14:schemeClr w14:val="tx1"/>
                        </w14:solidFill>
                      </w14:textFill>
                    </w:rPr>
                  </w:pPr>
                </w:p>
              </w:tc>
              <w:tc>
                <w:tcPr>
                  <w:tcW w:w="2399" w:type="pct"/>
                  <w:vAlign w:val="center"/>
                </w:tcPr>
                <w:p w14:paraId="7548B1D3">
                  <w:pPr>
                    <w:rPr>
                      <w:color w:val="000000" w:themeColor="text1"/>
                      <w14:textFill>
                        <w14:solidFill>
                          <w14:schemeClr w14:val="tx1"/>
                        </w14:solidFill>
                      </w14:textFill>
                    </w:rPr>
                  </w:pPr>
                  <w:r>
                    <w:rPr>
                      <w:rFonts w:hint="eastAsia"/>
                      <w:color w:val="000000" w:themeColor="text1"/>
                      <w14:textFill>
                        <w14:solidFill>
                          <w14:schemeClr w14:val="tx1"/>
                        </w14:solidFill>
                      </w14:textFill>
                    </w:rPr>
                    <w:t>（二）排查整治的重点行业范围</w:t>
                  </w:r>
                </w:p>
                <w:p w14:paraId="3AA0E2EA">
                  <w:pPr>
                    <w:rPr>
                      <w:color w:val="000000" w:themeColor="text1"/>
                      <w14:textFill>
                        <w14:solidFill>
                          <w14:schemeClr w14:val="tx1"/>
                        </w14:solidFill>
                      </w14:textFill>
                    </w:rPr>
                  </w:pPr>
                  <w:r>
                    <w:rPr>
                      <w:rFonts w:hint="eastAsia"/>
                      <w:color w:val="000000" w:themeColor="text1"/>
                      <w14:textFill>
                        <w14:solidFill>
                          <w14:schemeClr w14:val="tx1"/>
                        </w14:solidFill>
                      </w14:textFill>
                    </w:rPr>
                    <w:t>1.水泥、焦化、玻璃、陶瓷、耐火材料、有色、铸造、石灰、砖瓦、炭素等涉工业炉窑的行业；</w:t>
                  </w:r>
                </w:p>
                <w:p w14:paraId="21F04C6A">
                  <w:pPr>
                    <w:rPr>
                      <w:color w:val="000000" w:themeColor="text1"/>
                      <w14:textFill>
                        <w14:solidFill>
                          <w14:schemeClr w14:val="tx1"/>
                        </w14:solidFill>
                      </w14:textFill>
                    </w:rPr>
                  </w:pPr>
                  <w:r>
                    <w:rPr>
                      <w:rFonts w:hint="eastAsia"/>
                      <w:color w:val="000000" w:themeColor="text1"/>
                      <w14:textFill>
                        <w14:solidFill>
                          <w14:schemeClr w14:val="tx1"/>
                        </w14:solidFill>
                      </w14:textFill>
                    </w:rPr>
                    <w:t>2.10万千瓦以下火电机组（燃气除外），燃煤、燃油、燃生物质锅炉；</w:t>
                  </w:r>
                </w:p>
                <w:p w14:paraId="52880485">
                  <w:pPr>
                    <w:rPr>
                      <w:color w:val="000000" w:themeColor="text1"/>
                      <w14:textFill>
                        <w14:solidFill>
                          <w14:schemeClr w14:val="tx1"/>
                        </w14:solidFill>
                      </w14:textFill>
                    </w:rPr>
                  </w:pPr>
                  <w:r>
                    <w:rPr>
                      <w:rFonts w:hint="eastAsia"/>
                      <w:color w:val="000000" w:themeColor="text1"/>
                      <w14:textFill>
                        <w14:solidFill>
                          <w14:schemeClr w14:val="tx1"/>
                        </w14:solidFill>
                      </w14:textFill>
                    </w:rPr>
                    <w:t>3.石油炼制、石油化工、化学原料药、化学农药原药制造、有机化工（仅涉及单纯混合或分装的除外）以及商用车、家具、工程机械、卷材、零部件生产等工业涂装行业、包装印刷、电子等涉VOCs排放企业（全部使用符合国家规定的低VOCs含量涂料、油墨、胶粘剂、清洗剂的除外）。各地可结合当地特色行业及空气质量改善需求，扩大排查整治的行业、企业范围。</w:t>
                  </w:r>
                </w:p>
              </w:tc>
              <w:tc>
                <w:tcPr>
                  <w:tcW w:w="1761" w:type="pct"/>
                  <w:vAlign w:val="center"/>
                </w:tcPr>
                <w:p w14:paraId="7E701FFD">
                  <w:pPr>
                    <w:rPr>
                      <w:color w:val="000000" w:themeColor="text1"/>
                      <w14:textFill>
                        <w14:solidFill>
                          <w14:schemeClr w14:val="tx1"/>
                        </w14:solidFill>
                      </w14:textFill>
                    </w:rPr>
                  </w:pPr>
                  <w:r>
                    <w:rPr>
                      <w:rFonts w:hint="eastAsia"/>
                      <w:color w:val="000000" w:themeColor="text1"/>
                      <w14:textFill>
                        <w14:solidFill>
                          <w14:schemeClr w14:val="tx1"/>
                        </w14:solidFill>
                      </w14:textFill>
                    </w:rPr>
                    <w:t>1、本项目不属于排查整治的重点行业范围中的铸造行业；</w:t>
                  </w:r>
                </w:p>
                <w:p w14:paraId="57DDF8EA">
                  <w:pPr>
                    <w:rPr>
                      <w:color w:val="000000" w:themeColor="text1"/>
                      <w14:textFill>
                        <w14:solidFill>
                          <w14:schemeClr w14:val="tx1"/>
                        </w14:solidFill>
                      </w14:textFill>
                    </w:rPr>
                  </w:pPr>
                  <w:r>
                    <w:rPr>
                      <w:rFonts w:hint="eastAsia"/>
                      <w:color w:val="000000" w:themeColor="text1"/>
                      <w14:textFill>
                        <w14:solidFill>
                          <w14:schemeClr w14:val="tx1"/>
                        </w14:solidFill>
                      </w14:textFill>
                    </w:rPr>
                    <w:t>2、本项目不涉及；</w:t>
                  </w:r>
                </w:p>
                <w:p w14:paraId="0A931300">
                  <w:pPr>
                    <w:rPr>
                      <w:color w:val="000000" w:themeColor="text1"/>
                      <w14:textFill>
                        <w14:solidFill>
                          <w14:schemeClr w14:val="tx1"/>
                        </w14:solidFill>
                      </w14:textFill>
                    </w:rPr>
                  </w:pPr>
                  <w:r>
                    <w:rPr>
                      <w:rFonts w:hint="eastAsia"/>
                      <w:color w:val="000000" w:themeColor="text1"/>
                      <w14:textFill>
                        <w14:solidFill>
                          <w14:schemeClr w14:val="tx1"/>
                        </w14:solidFill>
                      </w14:textFill>
                    </w:rPr>
                    <w:t>3、本项目不涉及。</w:t>
                  </w:r>
                </w:p>
              </w:tc>
              <w:tc>
                <w:tcPr>
                  <w:tcW w:w="429" w:type="pct"/>
                  <w:vAlign w:val="center"/>
                </w:tcPr>
                <w:p w14:paraId="5A701A1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1411B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continue"/>
                  <w:vAlign w:val="center"/>
                </w:tcPr>
                <w:p w14:paraId="2F2BCE42">
                  <w:pPr>
                    <w:widowControl/>
                    <w:adjustRightInd w:val="0"/>
                    <w:snapToGrid w:val="0"/>
                    <w:jc w:val="center"/>
                    <w:textAlignment w:val="baseline"/>
                    <w:rPr>
                      <w:color w:val="000000" w:themeColor="text1"/>
                      <w:szCs w:val="21"/>
                      <w14:textFill>
                        <w14:solidFill>
                          <w14:schemeClr w14:val="tx1"/>
                        </w14:solidFill>
                      </w14:textFill>
                    </w:rPr>
                  </w:pPr>
                </w:p>
              </w:tc>
              <w:tc>
                <w:tcPr>
                  <w:tcW w:w="2399" w:type="pct"/>
                  <w:vAlign w:val="center"/>
                </w:tcPr>
                <w:p w14:paraId="3AF584E8">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（三）不纳入排查整治的范围</w:t>
                  </w:r>
                </w:p>
                <w:p w14:paraId="0CAC698F">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1.已评为重污染天气重点行业绩效分级A级或绩效引领性企业；</w:t>
                  </w:r>
                </w:p>
                <w:p w14:paraId="62C15A29">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2.按照生态环境部和我省要求，完成超低排放改造和评估监测公示的水泥、焦化企业；</w:t>
                  </w:r>
                </w:p>
                <w:p w14:paraId="03EE06DE">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3.纳入2025年底前淘汰关停或搬迁计划的企业、生产设备。</w:t>
                  </w:r>
                </w:p>
              </w:tc>
              <w:tc>
                <w:tcPr>
                  <w:tcW w:w="1761" w:type="pct"/>
                  <w:vAlign w:val="center"/>
                </w:tcPr>
                <w:p w14:paraId="60395823">
                  <w:pPr>
                    <w:rPr>
                      <w:color w:val="000000" w:themeColor="text1"/>
                      <w:szCs w:val="21"/>
                      <w:u w:val="single"/>
                      <w14:textFill>
                        <w14:solidFill>
                          <w14:schemeClr w14:val="tx1"/>
                        </w14:solidFill>
                      </w14:textFill>
                    </w:rPr>
                  </w:pPr>
                  <w:r>
                    <w:rPr>
                      <w:rFonts w:hint="eastAsia"/>
                      <w:color w:val="000000" w:themeColor="text1"/>
                      <w:szCs w:val="21"/>
                      <w14:textFill>
                        <w14:solidFill>
                          <w14:schemeClr w14:val="tx1"/>
                        </w14:solidFill>
                      </w14:textFill>
                    </w:rPr>
                    <w:t>本项目</w:t>
                  </w:r>
                  <w:r>
                    <w:rPr>
                      <w:rFonts w:hint="eastAsia"/>
                      <w:color w:val="000000" w:themeColor="text1"/>
                      <w14:textFill>
                        <w14:solidFill>
                          <w14:schemeClr w14:val="tx1"/>
                        </w14:solidFill>
                      </w14:textFill>
                    </w:rPr>
                    <w:t>不涉及。</w:t>
                  </w:r>
                </w:p>
              </w:tc>
              <w:tc>
                <w:tcPr>
                  <w:tcW w:w="429" w:type="pct"/>
                  <w:vAlign w:val="center"/>
                </w:tcPr>
                <w:p w14:paraId="25DDFFF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0B22CF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4"/>
                  <w:vAlign w:val="center"/>
                </w:tcPr>
                <w:p w14:paraId="3AEDE21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附件1低效失效大气污染治理设施排查整治技术要点</w:t>
                  </w:r>
                </w:p>
              </w:tc>
            </w:tr>
            <w:tr w14:paraId="2FF43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restart"/>
                  <w:vAlign w:val="center"/>
                </w:tcPr>
                <w:p w14:paraId="1E04D105">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三、低效失效除尘设施排查整治技术要点</w:t>
                  </w:r>
                </w:p>
              </w:tc>
              <w:tc>
                <w:tcPr>
                  <w:tcW w:w="2399" w:type="pct"/>
                  <w:vAlign w:val="center"/>
                </w:tcPr>
                <w:p w14:paraId="4C57097A">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（二）排查重点范围</w:t>
                  </w:r>
                </w:p>
                <w:p w14:paraId="574BF1BA">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1.单一水膜（浴）除尘、湿法脱硫除尘一体化等除尘技术；</w:t>
                  </w:r>
                </w:p>
                <w:p w14:paraId="79651CD3">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2.将旋风除尘、多管除尘、重力沉降等简易除尘技术及其组合作为唯一或主要除尘工艺的；</w:t>
                  </w:r>
                </w:p>
                <w:p w14:paraId="313D045D">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3.存在可见烟粉尘外溢的除尘设施；</w:t>
                  </w:r>
                </w:p>
                <w:p w14:paraId="5CD73ADD">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4.长期未更换滤袋的袋式除尘设施；</w:t>
                  </w:r>
                </w:p>
                <w:p w14:paraId="1BEE5204">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5.极板积灰严重或未及时更换极板的静电除尘设施；</w:t>
                  </w:r>
                </w:p>
                <w:p w14:paraId="7A984CDE">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6.未及时补充新鲜水、处置沉淀物的湿式电除尘设施。</w:t>
                  </w:r>
                </w:p>
              </w:tc>
              <w:tc>
                <w:tcPr>
                  <w:tcW w:w="1761" w:type="pct"/>
                  <w:vAlign w:val="center"/>
                </w:tcPr>
                <w:p w14:paraId="6D0768FD">
                  <w:pPr>
                    <w:rPr>
                      <w:color w:val="000000" w:themeColor="text1"/>
                      <w:szCs w:val="21"/>
                      <w:u w:val="single"/>
                      <w14:textFill>
                        <w14:solidFill>
                          <w14:schemeClr w14:val="tx1"/>
                        </w14:solidFill>
                      </w14:textFill>
                    </w:rPr>
                  </w:pPr>
                  <w:r>
                    <w:rPr>
                      <w:rFonts w:hint="eastAsia"/>
                      <w:color w:val="000000" w:themeColor="text1"/>
                      <w:szCs w:val="21"/>
                      <w14:textFill>
                        <w14:solidFill>
                          <w14:schemeClr w14:val="tx1"/>
                        </w14:solidFill>
                      </w14:textFill>
                    </w:rPr>
                    <w:t>本项目为</w:t>
                  </w:r>
                  <w:r>
                    <w:rPr>
                      <w:rFonts w:hint="eastAsia"/>
                      <w:color w:val="000000" w:themeColor="text1"/>
                      <w14:textFill>
                        <w14:solidFill>
                          <w14:schemeClr w14:val="tx1"/>
                        </w14:solidFill>
                      </w14:textFill>
                    </w:rPr>
                    <w:t>新</w:t>
                  </w:r>
                  <w:r>
                    <w:rPr>
                      <w:rFonts w:hint="eastAsia"/>
                      <w:color w:val="000000" w:themeColor="text1"/>
                      <w:szCs w:val="21"/>
                      <w14:textFill>
                        <w14:solidFill>
                          <w14:schemeClr w14:val="tx1"/>
                        </w14:solidFill>
                      </w14:textFill>
                    </w:rPr>
                    <w:t>建项目，项目除尘设施采用覆膜袋式除尘器，不属于重点排查范围中的低效失效除尘设施，且项目建成后袋式除尘器定期更换滤袋，不会存在可见烟粉尘外溢的现象。</w:t>
                  </w:r>
                </w:p>
              </w:tc>
              <w:tc>
                <w:tcPr>
                  <w:tcW w:w="429" w:type="pct"/>
                  <w:vAlign w:val="center"/>
                </w:tcPr>
                <w:p w14:paraId="0497F83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055361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continue"/>
                  <w:vAlign w:val="center"/>
                </w:tcPr>
                <w:p w14:paraId="16CDC364">
                  <w:pPr>
                    <w:widowControl/>
                    <w:adjustRightInd w:val="0"/>
                    <w:snapToGrid w:val="0"/>
                    <w:jc w:val="center"/>
                    <w:textAlignment w:val="baseline"/>
                    <w:rPr>
                      <w:color w:val="000000" w:themeColor="text1"/>
                      <w:szCs w:val="21"/>
                      <w14:textFill>
                        <w14:solidFill>
                          <w14:schemeClr w14:val="tx1"/>
                        </w14:solidFill>
                      </w14:textFill>
                    </w:rPr>
                  </w:pPr>
                </w:p>
              </w:tc>
              <w:tc>
                <w:tcPr>
                  <w:tcW w:w="2399" w:type="pct"/>
                  <w:vAlign w:val="center"/>
                </w:tcPr>
                <w:p w14:paraId="63FC37F9">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（三）治理要点</w:t>
                  </w:r>
                </w:p>
                <w:p w14:paraId="31E144BD">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更新升级低效除尘工艺。依法依规淘汰不达标设备，推动将水膜（浴）除尘、湿法脱硫除尘一体化、旋风除尘、多管除尘、重力沉降等低效除尘技术及其组合作为唯一或主要除尘方式的加快淘汰更新。</w:t>
                  </w:r>
                </w:p>
                <w:p w14:paraId="6C01E403">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规范安装除尘设施。除尘设施应覆盖所有颗粒物无组织排放点位，做到无可见烟粉尘外逸。风机风压、风量应符合企业烟气特征，并与治理系统要求相匹配。对于入口颗粒物浓度超过100mg/m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的，湿式电除尘不应作为唯一或主要除尘设施。静电除尘电场数量、振打频率、静电发生器功率等，以及袋式除尘器滤袋数量、滤料、清灰方式和频率等，应与烟气特征、排放限值相匹配。</w:t>
                  </w:r>
                </w:p>
                <w:p w14:paraId="42FCDD89">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加强除尘设施运行维护。烟气进入除尘设施前应满足除尘设施的技术要求。当原烟气温度过高时，应采取降温措施；当原烟气粉尘浓度过高时，应采取预除尘措施。企业应定期维护，按时更换除尘设施及其耗材；卸、输灰应封闭，确保不落地或产生二次扬尘。使用袋式除尘工艺的，应自动、定期进行清灰等操作，并依据设计寿命、压差变化、破损情况等及时更换滤料；使用静电除尘工艺的，应避免极板等严重积灰，及时更换损坏的电极；使用湿式电除尘工艺的，应及时补充新鲜水、处置和清理沉淀物。企业应规范建立环境管理台账，记录除尘设施运行关键参数、故障和维修情况、耗材更换情况、湿式电除尘设施的新鲜水补充情况。</w:t>
                  </w:r>
                </w:p>
              </w:tc>
              <w:tc>
                <w:tcPr>
                  <w:tcW w:w="1761" w:type="pct"/>
                  <w:vAlign w:val="center"/>
                </w:tcPr>
                <w:p w14:paraId="37D0F086">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本项目为新建项目，项目除尘设施采用覆膜袋式除尘器，项目建成后严格控制袋式除尘器滤袋数量、滤料、清灰方式和频率，从而与与烟气特征、排放限值相匹配；</w:t>
                  </w:r>
                </w:p>
                <w:p w14:paraId="5EACBB3F">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项目建成后企业定期维护，按时更换除尘设施及其耗材，</w:t>
                  </w:r>
                  <w:r>
                    <w:rPr>
                      <w:bCs/>
                      <w:color w:val="000000" w:themeColor="text1"/>
                      <w:kern w:val="0"/>
                      <w:szCs w:val="21"/>
                      <w14:textFill>
                        <w14:solidFill>
                          <w14:schemeClr w14:val="tx1"/>
                        </w14:solidFill>
                      </w14:textFill>
                    </w:rPr>
                    <w:t>除尘灰通过袋子进行卸灰，</w:t>
                  </w:r>
                  <w:r>
                    <w:rPr>
                      <w:rFonts w:hint="eastAsia"/>
                      <w:bCs/>
                      <w:color w:val="000000" w:themeColor="text1"/>
                      <w:kern w:val="0"/>
                      <w:szCs w:val="21"/>
                      <w14:textFill>
                        <w14:solidFill>
                          <w14:schemeClr w14:val="tx1"/>
                        </w14:solidFill>
                      </w14:textFill>
                    </w:rPr>
                    <w:t>本项目使用袋式除尘器，项目建成后定期</w:t>
                  </w:r>
                  <w:r>
                    <w:rPr>
                      <w:rFonts w:hint="eastAsia"/>
                      <w:color w:val="000000" w:themeColor="text1"/>
                      <w:szCs w:val="21"/>
                      <w14:textFill>
                        <w14:solidFill>
                          <w14:schemeClr w14:val="tx1"/>
                        </w14:solidFill>
                      </w14:textFill>
                    </w:rPr>
                    <w:t>进行清灰等操作，并依据设计寿命、压差变化、破损情况等及时更换滤料；项目建成后企业应规范建立环境管理台账，记录除尘设施运行关键参数、故障和维修情况、耗材更换情况。</w:t>
                  </w:r>
                </w:p>
              </w:tc>
              <w:tc>
                <w:tcPr>
                  <w:tcW w:w="429" w:type="pct"/>
                  <w:vAlign w:val="center"/>
                </w:tcPr>
                <w:p w14:paraId="692A422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5A2FB2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restart"/>
                  <w:vAlign w:val="center"/>
                </w:tcPr>
                <w:p w14:paraId="19076FC9">
                  <w:pPr>
                    <w:widowControl/>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四、低效失效VOCs治理设施排查整治技术要点</w:t>
                  </w:r>
                </w:p>
              </w:tc>
              <w:tc>
                <w:tcPr>
                  <w:tcW w:w="2399" w:type="pct"/>
                  <w:vAlign w:val="center"/>
                </w:tcPr>
                <w:p w14:paraId="16301565">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（二）排查重点范围</w:t>
                  </w:r>
                </w:p>
                <w:p w14:paraId="1BA4C4D6">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1.单一低温等离子、光氧化、光催化、水喷淋吸收及上述技术的组合工艺；</w:t>
                  </w:r>
                </w:p>
                <w:p w14:paraId="441366CE">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2.一次性吸附（定期集中脱附的除外）工艺或采用吸附（脱附）+催化燃烧（CO）组合工艺的VOCs治理设施；无控制系统的吸附-脱附类治理设施；</w:t>
                  </w:r>
                </w:p>
                <w:p w14:paraId="16134F5C">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3.无控制系统或控制系统未对温度、辅助燃料流量等关键参数进行自动调节控制的燃烧装置；燃烧温度、有机废气停留时间不符合规范要求的燃烧装置；</w:t>
                  </w:r>
                </w:p>
                <w:p w14:paraId="21E47357">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4.冷凝和吸收工艺。</w:t>
                  </w:r>
                </w:p>
              </w:tc>
              <w:tc>
                <w:tcPr>
                  <w:tcW w:w="1761" w:type="pct"/>
                  <w:vAlign w:val="center"/>
                </w:tcPr>
                <w:p w14:paraId="08BF3161">
                  <w:pPr>
                    <w:rPr>
                      <w:color w:val="000000" w:themeColor="text1"/>
                      <w:szCs w:val="21"/>
                      <w:u w:val="single"/>
                      <w14:textFill>
                        <w14:solidFill>
                          <w14:schemeClr w14:val="tx1"/>
                        </w14:solidFill>
                      </w14:textFill>
                    </w:rPr>
                  </w:pPr>
                  <w:r>
                    <w:rPr>
                      <w:rFonts w:hint="eastAsia"/>
                      <w:color w:val="000000" w:themeColor="text1"/>
                      <w:szCs w:val="21"/>
                      <w14:textFill>
                        <w14:solidFill>
                          <w14:schemeClr w14:val="tx1"/>
                        </w14:solidFill>
                      </w14:textFill>
                    </w:rPr>
                    <w:t>本项目为</w:t>
                  </w:r>
                  <w:r>
                    <w:rPr>
                      <w:rFonts w:hint="eastAsia"/>
                      <w:color w:val="000000" w:themeColor="text1"/>
                      <w14:textFill>
                        <w14:solidFill>
                          <w14:schemeClr w14:val="tx1"/>
                        </w14:solidFill>
                      </w14:textFill>
                    </w:rPr>
                    <w:t>新</w:t>
                  </w:r>
                  <w:r>
                    <w:rPr>
                      <w:rFonts w:hint="eastAsia"/>
                      <w:color w:val="000000" w:themeColor="text1"/>
                      <w:szCs w:val="21"/>
                      <w14:textFill>
                        <w14:solidFill>
                          <w14:schemeClr w14:val="tx1"/>
                        </w14:solidFill>
                      </w14:textFill>
                    </w:rPr>
                    <w:t>建项目，项目VOCs治理设施采用二级活性炭吸附装置，</w:t>
                  </w:r>
                  <w:r>
                    <w:rPr>
                      <w:rFonts w:hint="eastAsia"/>
                      <w:color w:val="000000" w:themeColor="text1"/>
                      <w:szCs w:val="21"/>
                      <w:lang w:val="en-US" w:eastAsia="zh-CN"/>
                      <w14:textFill>
                        <w14:solidFill>
                          <w14:schemeClr w14:val="tx1"/>
                        </w14:solidFill>
                      </w14:textFill>
                    </w:rPr>
                    <w:t>污水处理站恶臭治理设施采用UV光氧+活性炭吸附装置，</w:t>
                  </w:r>
                  <w:r>
                    <w:rPr>
                      <w:rFonts w:hint="eastAsia"/>
                      <w:color w:val="000000" w:themeColor="text1"/>
                      <w:szCs w:val="21"/>
                      <w14:textFill>
                        <w14:solidFill>
                          <w14:schemeClr w14:val="tx1"/>
                        </w14:solidFill>
                      </w14:textFill>
                    </w:rPr>
                    <w:t>不属于排查重点范围2中的VOCs治理</w:t>
                  </w:r>
                  <w:r>
                    <w:rPr>
                      <w:rFonts w:hint="eastAsia"/>
                      <w:color w:val="000000" w:themeColor="text1"/>
                      <w:szCs w:val="21"/>
                      <w:lang w:val="en-US" w:eastAsia="zh-CN"/>
                      <w14:textFill>
                        <w14:solidFill>
                          <w14:schemeClr w14:val="tx1"/>
                        </w14:solidFill>
                      </w14:textFill>
                    </w:rPr>
                    <w:t>工艺</w:t>
                  </w:r>
                  <w:r>
                    <w:rPr>
                      <w:rFonts w:hint="eastAsia"/>
                      <w:color w:val="000000" w:themeColor="text1"/>
                      <w:szCs w:val="21"/>
                      <w14:textFill>
                        <w14:solidFill>
                          <w14:schemeClr w14:val="tx1"/>
                        </w14:solidFill>
                      </w14:textFill>
                    </w:rPr>
                    <w:t>。</w:t>
                  </w:r>
                </w:p>
              </w:tc>
              <w:tc>
                <w:tcPr>
                  <w:tcW w:w="429" w:type="pct"/>
                  <w:vAlign w:val="center"/>
                </w:tcPr>
                <w:p w14:paraId="3A8F526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47CE0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 w:type="pct"/>
                  <w:vMerge w:val="continue"/>
                  <w:vAlign w:val="center"/>
                </w:tcPr>
                <w:p w14:paraId="3085715B">
                  <w:pPr>
                    <w:widowControl/>
                    <w:adjustRightInd w:val="0"/>
                    <w:snapToGrid w:val="0"/>
                    <w:jc w:val="center"/>
                    <w:textAlignment w:val="baseline"/>
                    <w:rPr>
                      <w:color w:val="000000" w:themeColor="text1"/>
                      <w:szCs w:val="21"/>
                      <w14:textFill>
                        <w14:solidFill>
                          <w14:schemeClr w14:val="tx1"/>
                        </w14:solidFill>
                      </w14:textFill>
                    </w:rPr>
                  </w:pPr>
                </w:p>
              </w:tc>
              <w:tc>
                <w:tcPr>
                  <w:tcW w:w="2399" w:type="pct"/>
                  <w:vAlign w:val="center"/>
                </w:tcPr>
                <w:p w14:paraId="08A48F47">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（三）治理要点</w:t>
                  </w:r>
                </w:p>
                <w:p w14:paraId="66DA4463">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更新升级低效VOCs治理工艺。依法依规淘汰不达标设备，推动单一低温等离子、光氧化、光催化、非水溶性VOCs废气采用单一水喷淋吸收及上述技术的组合工艺（除异味治理外）加快淘汰更新。</w:t>
                  </w:r>
                </w:p>
                <w:p w14:paraId="1A3FA7A0">
                  <w:pPr>
                    <w:widowControl/>
                    <w:adjustRightInd w:val="0"/>
                    <w:snapToGrid w:val="0"/>
                    <w:textAlignment w:val="baseline"/>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提升含VOCs有机废气收集效率。企业应考虑废气性质、适宜的处理工艺和排放标准要求等因素，对VOCs废气进行分类收集。有机废气收集管道应合理布局，减少软管和法兰连接；软管连接长度不宜过长，不应缠绕、弯折；废气收集管道无破损，不应存在感官可察觉泄漏，正压管道应加强法兰、软管连接处的泄漏检测。采用车间整体换风收集的，车间厂房在确保安全的前提下应保持封闭状态，除人员、车辆、设备、物料进出时，以及依法设立的排气筒、通风口外，门窗及其他开口（孔）部位应随时保持关闭，鼓励使用双层门、自动门；涉VOCs环节的生产设施应保持微负压，鼓励安装负压计；采用集气罩、侧吸风等方式收集无组织废气的，距集气罩开口面最远处的控制风速不低于0.3米/秒或按相关行业要求规定执行。</w:t>
                  </w:r>
                </w:p>
                <w:p w14:paraId="4EF52EDB">
                  <w:pPr>
                    <w:widowControl/>
                    <w:adjustRightInd w:val="0"/>
                    <w:snapToGrid w:val="0"/>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规范建设VOCs治理设施。采用燃烧工艺的，有机废气在燃烧装置的停留时间不少于0.75s；采用催化燃烧的应使用合格的催化剂并足量添加，催化剂床层设计空速宜低于40000h</w:t>
                  </w:r>
                  <w:r>
                    <w:rPr>
                      <w:color w:val="000000" w:themeColor="text1"/>
                      <w:szCs w:val="21"/>
                      <w:vertAlign w:val="superscript"/>
                      <w14:textFill>
                        <w14:solidFill>
                          <w14:schemeClr w14:val="tx1"/>
                        </w14:solidFill>
                      </w14:textFill>
                    </w:rPr>
                    <w:t>-1</w:t>
                  </w:r>
                  <w:r>
                    <w:rPr>
                      <w:color w:val="000000" w:themeColor="text1"/>
                      <w:szCs w:val="21"/>
                      <w14:textFill>
                        <w14:solidFill>
                          <w14:schemeClr w14:val="tx1"/>
                        </w14:solidFill>
                      </w14:textFill>
                    </w:rPr>
                    <w:t>。采用吸附工艺的，应对有机废气进行必要的降温、除湿和除尘等预处理；根据废气处理量、污染物浓度以及吸附剂更换周期、动态吸附容量确定装填量。采用吸收工艺的，吸收剂宜选择低挥发性或者不挥发、对废气中有机组分具有高吸收能力的介质。治理设施的处理能力应根据满负荷运行、检维修、设备启停等多种情况下的最大废气产生量确定。鼓励采取减风增浓等措施，减少废气产生量，提高废气污染物浓度。</w:t>
                  </w:r>
                </w:p>
                <w:p w14:paraId="6804C26A">
                  <w:pPr>
                    <w:widowControl/>
                    <w:adjustRightInd w:val="0"/>
                    <w:snapToGrid w:val="0"/>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提高VOCs治理设施自动控制水平。推进燃烧、冷凝、吸附-脱附、吸收类VOCs治理设施安装控制系统。对燃烧工艺的辅助燃料用量、燃烧温度，吸附-脱附工艺的吸附床层吸附、脱附时间和温度，冷凝工艺的冷凝温度，吸收工艺的吸收剂循环量等关键参数进行自动调节与控制。</w:t>
                  </w:r>
                </w:p>
                <w:p w14:paraId="29A276E7">
                  <w:pPr>
                    <w:widowControl/>
                    <w:adjustRightInd w:val="0"/>
                    <w:snapToGrid w:val="0"/>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加强VOCs治理设施运行维护。除安全考虑和特殊工艺要求外，禁止开启稀释口、稀释风机。采用燃烧工艺的，有机废气浓度低或浓度波动大时需补充助燃燃料</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保证燃烧设施的运行温度在设计值范围内，RTO燃烧温度不低于760℃，催化燃烧装置燃烧温度不低于300℃</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对于采用将有机废气引入高温炉、窑进行焚烧的，有机废气应引入火焰区，并且同步运行。VOCs燃烧</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焚烧、氧化</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设备的废气排放浓度应按相关标准要求进行氧含量折算。</w:t>
                  </w:r>
                </w:p>
                <w:p w14:paraId="5B2BAA69">
                  <w:pPr>
                    <w:widowControl/>
                    <w:adjustRightInd w:val="0"/>
                    <w:snapToGrid w:val="0"/>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对于采用一次性活性炭吸附工艺的，应按设计要求定期更换活性炭，颗粒状、柱状活性炭碘值不应低于800毫克/克，蜂窝状活性炭碘值不应低于650毫克/克</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采用非连续吸附-脱附治理工艺的，应按设计要求及时解吸吸附的VOCs，解吸气体应采用高效处理工艺处理后达标排放，现场检查时应监测脱附期间VOCs排放浓度和去除效率达标情况。采用冷凝工艺的，不凝尾气的温度应低于尾气中主要污染物的液化温度，对于油气回收，采用单一冷凝回收工艺的，冷凝温度一般应控制在-75℃以下。对于VOCs治理产生的废吸附剂、废催化剂、废吸收剂等耗材，以及含VOCs废料、渣、液等，应密闭储存，并及时清运处置</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鼓励储存库设置VOCs废气收集和治理设施。</w:t>
                  </w:r>
                </w:p>
              </w:tc>
              <w:tc>
                <w:tcPr>
                  <w:tcW w:w="1761" w:type="pct"/>
                  <w:vAlign w:val="center"/>
                </w:tcPr>
                <w:p w14:paraId="08237136">
                  <w:pP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本项目污水处理站恶臭治理设施采用UV光氧+活性炭吸附装置，不属于单一低温等离子、光氧化、光催化、非水溶性VOCs废气采用单一水喷淋吸收及上述技术的组合工艺。</w:t>
                  </w:r>
                </w:p>
                <w:p w14:paraId="3A0FA3D7">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本项目VOCs治理设施采用二级活性炭吸附装置，项目废气治理工艺为吸附</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并</w:t>
                  </w:r>
                  <w:r>
                    <w:rPr>
                      <w:color w:val="000000" w:themeColor="text1"/>
                      <w:szCs w:val="21"/>
                      <w14:textFill>
                        <w14:solidFill>
                          <w14:schemeClr w14:val="tx1"/>
                        </w14:solidFill>
                      </w14:textFill>
                    </w:rPr>
                    <w:t>根据废气处理量、污染物浓度以及吸附剂更换周期、动态吸附容量确定装填量。</w:t>
                  </w:r>
                </w:p>
                <w:p w14:paraId="73697755">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项目VOCs治理设施采用二级活性炭吸附装置，项目使用活性炭的为蜂窝状活性炭，且碘值为800毫克/克，项目活性炭装填量、更换时间、废活性炭暂存转运情况、活性炭购买发票、活性炭碘值等按要求进行。</w:t>
                  </w:r>
                </w:p>
              </w:tc>
              <w:tc>
                <w:tcPr>
                  <w:tcW w:w="429" w:type="pct"/>
                  <w:vAlign w:val="center"/>
                </w:tcPr>
                <w:p w14:paraId="611D28C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bl>
          <w:p w14:paraId="244F6451">
            <w:pPr>
              <w:adjustRightInd w:val="0"/>
              <w:snapToGrid w:val="0"/>
              <w:spacing w:line="360" w:lineRule="auto"/>
              <w:ind w:firstLine="482" w:firstLineChars="200"/>
              <w:textAlignment w:val="baseline"/>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3.10、</w:t>
            </w:r>
            <w:r>
              <w:rPr>
                <w:b/>
                <w:bCs/>
                <w:color w:val="000000" w:themeColor="text1"/>
                <w:sz w:val="24"/>
                <w14:textFill>
                  <w14:solidFill>
                    <w14:schemeClr w14:val="tx1"/>
                  </w14:solidFill>
                </w14:textFill>
              </w:rPr>
              <w:t>项目与</w:t>
            </w:r>
            <w:r>
              <w:rPr>
                <w:rFonts w:hint="eastAsia"/>
                <w:b/>
                <w:bCs/>
                <w:color w:val="000000" w:themeColor="text1"/>
                <w:sz w:val="24"/>
                <w14:textFill>
                  <w14:solidFill>
                    <w14:schemeClr w14:val="tx1"/>
                  </w14:solidFill>
                </w14:textFill>
              </w:rPr>
              <w:t>生态环境部</w:t>
            </w:r>
            <w:r>
              <w:rPr>
                <w:b/>
                <w:bCs/>
                <w:color w:val="000000" w:themeColor="text1"/>
                <w:sz w:val="24"/>
                <w14:textFill>
                  <w14:solidFill>
                    <w14:schemeClr w14:val="tx1"/>
                  </w14:solidFill>
                </w14:textFill>
              </w:rPr>
              <w:t>关于《国家污染防治技术指导目录》的相符性</w:t>
            </w:r>
          </w:p>
          <w:p w14:paraId="6A8E4492">
            <w:pPr>
              <w:adjustRightInd w:val="0"/>
              <w:snapToGrid w:val="0"/>
              <w:spacing w:line="360" w:lineRule="auto"/>
              <w:jc w:val="center"/>
              <w:textAlignment w:val="baseline"/>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表1-</w:t>
            </w:r>
            <w:r>
              <w:rPr>
                <w:rFonts w:hint="eastAsia"/>
                <w:b/>
                <w:bCs/>
                <w:color w:val="000000" w:themeColor="text1"/>
                <w:sz w:val="24"/>
                <w14:textFill>
                  <w14:solidFill>
                    <w14:schemeClr w14:val="tx1"/>
                  </w14:solidFill>
                </w14:textFill>
              </w:rPr>
              <w:t>14</w:t>
            </w:r>
            <w:r>
              <w:rPr>
                <w:b/>
                <w:bCs/>
                <w:color w:val="000000" w:themeColor="text1"/>
                <w:sz w:val="24"/>
                <w14:textFill>
                  <w14:solidFill>
                    <w14:schemeClr w14:val="tx1"/>
                  </w14:solidFill>
                </w14:textFill>
              </w:rPr>
              <w:t xml:space="preserve">  项目与</w:t>
            </w:r>
            <w:r>
              <w:rPr>
                <w:rFonts w:hint="eastAsia"/>
                <w:b/>
                <w:bCs/>
                <w:color w:val="000000" w:themeColor="text1"/>
                <w:sz w:val="24"/>
                <w14:textFill>
                  <w14:solidFill>
                    <w14:schemeClr w14:val="tx1"/>
                  </w14:solidFill>
                </w14:textFill>
              </w:rPr>
              <w:t>生态环境部</w:t>
            </w:r>
            <w:r>
              <w:rPr>
                <w:b/>
                <w:bCs/>
                <w:color w:val="000000" w:themeColor="text1"/>
                <w:sz w:val="24"/>
                <w14:textFill>
                  <w14:solidFill>
                    <w14:schemeClr w14:val="tx1"/>
                  </w14:solidFill>
                </w14:textFill>
              </w:rPr>
              <w:t>关于《国家污染防治技术指导目录》（环办科财函〔2025〕197号）节选内容相符性分析一览表</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7"/>
              <w:gridCol w:w="2417"/>
              <w:gridCol w:w="1978"/>
              <w:gridCol w:w="3452"/>
            </w:tblGrid>
            <w:tr w14:paraId="3DC15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1" w:type="pct"/>
                  <w:vAlign w:val="center"/>
                </w:tcPr>
                <w:p w14:paraId="475B210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453" w:type="pct"/>
                  <w:vAlign w:val="center"/>
                </w:tcPr>
                <w:p w14:paraId="012ED8A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相关要求（节选）</w:t>
                  </w:r>
                  <w:r>
                    <w:rPr>
                      <w:rFonts w:hint="eastAsia"/>
                      <w:color w:val="000000" w:themeColor="text1"/>
                      <w:szCs w:val="21"/>
                      <w14:textFill>
                        <w14:solidFill>
                          <w14:schemeClr w14:val="tx1"/>
                        </w14:solidFill>
                      </w14:textFill>
                    </w:rPr>
                    <w:t>低效类技术</w:t>
                  </w:r>
                </w:p>
              </w:tc>
              <w:tc>
                <w:tcPr>
                  <w:tcW w:w="1189" w:type="pct"/>
                  <w:vAlign w:val="center"/>
                </w:tcPr>
                <w:p w14:paraId="2A0DF02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应用</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排除</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范围</w:t>
                  </w:r>
                </w:p>
              </w:tc>
              <w:tc>
                <w:tcPr>
                  <w:tcW w:w="2075" w:type="pct"/>
                  <w:vAlign w:val="center"/>
                </w:tcPr>
                <w:p w14:paraId="37CAFAE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本项目情况</w:t>
                  </w:r>
                </w:p>
              </w:tc>
            </w:tr>
            <w:tr w14:paraId="7D50C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1" w:type="pct"/>
                  <w:vAlign w:val="center"/>
                </w:tcPr>
                <w:p w14:paraId="0AFC655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1453" w:type="pct"/>
                  <w:vAlign w:val="center"/>
                </w:tcPr>
                <w:p w14:paraId="1D810C08">
                  <w:pPr>
                    <w:tabs>
                      <w:tab w:val="left" w:pos="1081"/>
                    </w:tabs>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VOCs（挥发性有机物）洗涤吸收净化技术。该技术仅采用水、酸液、碱液洗涤吸收工业废气中的VOCs。</w:t>
                  </w:r>
                </w:p>
              </w:tc>
              <w:tc>
                <w:tcPr>
                  <w:tcW w:w="1189" w:type="pct"/>
                  <w:vAlign w:val="center"/>
                </w:tcPr>
                <w:p w14:paraId="0C3225D2">
                  <w:pPr>
                    <w:tabs>
                      <w:tab w:val="left" w:pos="1081"/>
                    </w:tabs>
                    <w:adjustRightInd w:val="0"/>
                    <w:snapToGrid w:val="0"/>
                    <w:jc w:val="both"/>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排除范围</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水溶性或有酸碱反应性的VOCs处理。</w:t>
                  </w:r>
                </w:p>
              </w:tc>
              <w:tc>
                <w:tcPr>
                  <w:tcW w:w="2075" w:type="pct"/>
                  <w:vMerge w:val="restart"/>
                  <w:vAlign w:val="center"/>
                </w:tcPr>
                <w:p w14:paraId="277E3F72">
                  <w:pPr>
                    <w:tabs>
                      <w:tab w:val="left" w:pos="1081"/>
                    </w:tabs>
                    <w:adjustRightInd w:val="0"/>
                    <w:snapToGrid w:val="0"/>
                    <w:rPr>
                      <w:rFonts w:hint="eastAsia"/>
                      <w:color w:val="000000" w:themeColor="text1"/>
                      <w:szCs w:val="21"/>
                      <w14:textFill>
                        <w14:solidFill>
                          <w14:schemeClr w14:val="tx1"/>
                        </w14:solidFill>
                      </w14:textFill>
                    </w:rPr>
                  </w:pPr>
                  <w:r>
                    <w:rPr>
                      <w:color w:val="000000" w:themeColor="text1"/>
                      <w:szCs w:val="21"/>
                      <w14:textFill>
                        <w14:solidFill>
                          <w14:schemeClr w14:val="tx1"/>
                        </w14:solidFill>
                      </w14:textFill>
                    </w:rPr>
                    <w:t>本项目生产过程中产生的有机废气经收集后，通过</w:t>
                  </w:r>
                  <w:r>
                    <w:rPr>
                      <w:rFonts w:hint="eastAsia"/>
                      <w:color w:val="000000" w:themeColor="text1"/>
                      <w:szCs w:val="21"/>
                      <w14:textFill>
                        <w14:solidFill>
                          <w14:schemeClr w14:val="tx1"/>
                        </w14:solidFill>
                      </w14:textFill>
                    </w:rPr>
                    <w:t>二级活性炭吸附</w:t>
                  </w:r>
                  <w:r>
                    <w:rPr>
                      <w:color w:val="000000" w:themeColor="text1"/>
                      <w:szCs w:val="21"/>
                      <w14:textFill>
                        <w14:solidFill>
                          <w14:schemeClr w14:val="tx1"/>
                        </w14:solidFill>
                      </w14:textFill>
                    </w:rPr>
                    <w:t>装置处理后达标排放。采用的</w:t>
                  </w:r>
                  <w:r>
                    <w:rPr>
                      <w:rFonts w:hint="eastAsia"/>
                      <w:color w:val="000000" w:themeColor="text1"/>
                      <w:szCs w:val="21"/>
                      <w14:textFill>
                        <w14:solidFill>
                          <w14:schemeClr w14:val="tx1"/>
                        </w14:solidFill>
                      </w14:textFill>
                    </w:rPr>
                    <w:t>二级活性炭吸附</w:t>
                  </w:r>
                  <w:r>
                    <w:rPr>
                      <w:color w:val="000000" w:themeColor="text1"/>
                      <w:szCs w:val="21"/>
                      <w14:textFill>
                        <w14:solidFill>
                          <w14:schemeClr w14:val="tx1"/>
                        </w14:solidFill>
                      </w14:textFill>
                    </w:rPr>
                    <w:t>装置不属于</w:t>
                  </w:r>
                  <w:r>
                    <w:rPr>
                      <w:rFonts w:hint="eastAsia"/>
                      <w:color w:val="000000" w:themeColor="text1"/>
                      <w:szCs w:val="21"/>
                      <w14:textFill>
                        <w14:solidFill>
                          <w14:schemeClr w14:val="tx1"/>
                        </w14:solidFill>
                      </w14:textFill>
                    </w:rPr>
                    <w:t>“洗涤吸收净化技术</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光催化及其组合净化技术</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低温等离子体及其组合净化技术、光解（光氧化）及其组合净化技术”；故本项目使用技术为非低效类技术。</w:t>
                  </w:r>
                </w:p>
                <w:p w14:paraId="6C34AA0A">
                  <w:pPr>
                    <w:tabs>
                      <w:tab w:val="left" w:pos="1081"/>
                    </w:tabs>
                    <w:adjustRightInd w:val="0"/>
                    <w:snapToGrid w:val="0"/>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本项目污水处理站恶臭气体采用UV光氧+活性炭吸附装置</w:t>
                  </w:r>
                  <w:r>
                    <w:rPr>
                      <w:color w:val="000000" w:themeColor="text1"/>
                      <w:szCs w:val="21"/>
                      <w14:textFill>
                        <w14:solidFill>
                          <w14:schemeClr w14:val="tx1"/>
                        </w14:solidFill>
                      </w14:textFill>
                    </w:rPr>
                    <w:t>处理后达标排放</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采用的UV光氧+活性炭吸附装置属于VOCs光解（光氧化）及其组合净化技术中的排除范围（恶臭异味治理），故本项目污水处理站恶臭气体治理技术为非低效类技术。</w:t>
                  </w:r>
                </w:p>
              </w:tc>
            </w:tr>
            <w:tr w14:paraId="561BF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1" w:type="pct"/>
                  <w:vAlign w:val="center"/>
                </w:tcPr>
                <w:p w14:paraId="176DFF3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1453" w:type="pct"/>
                  <w:vAlign w:val="center"/>
                </w:tcPr>
                <w:p w14:paraId="347F6B9C">
                  <w:pPr>
                    <w:tabs>
                      <w:tab w:val="left" w:pos="1081"/>
                    </w:tabs>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VOCs光催化及其组合净化技术。该技术利用二氧化钛等光催化剂，通过紫外光、可见光激</w:t>
                  </w:r>
                </w:p>
                <w:p w14:paraId="0C4B9533">
                  <w:pPr>
                    <w:tabs>
                      <w:tab w:val="left" w:pos="1081"/>
                    </w:tabs>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活并氧化VOCs。</w:t>
                  </w:r>
                </w:p>
              </w:tc>
              <w:tc>
                <w:tcPr>
                  <w:tcW w:w="1189" w:type="pct"/>
                  <w:vAlign w:val="center"/>
                </w:tcPr>
                <w:p w14:paraId="6C7FD0D5">
                  <w:pPr>
                    <w:tabs>
                      <w:tab w:val="left" w:pos="1081"/>
                    </w:tabs>
                    <w:adjustRightInd w:val="0"/>
                    <w:snapToGrid w:val="0"/>
                    <w:jc w:val="both"/>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应用范围</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有组织排放的VOCs治理。</w:t>
                  </w:r>
                </w:p>
                <w:p w14:paraId="717EB9C0">
                  <w:pPr>
                    <w:tabs>
                      <w:tab w:val="left" w:pos="1081"/>
                    </w:tabs>
                    <w:adjustRightInd w:val="0"/>
                    <w:snapToGrid w:val="0"/>
                    <w:jc w:val="both"/>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排除范围</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恶臭异味治理</w:t>
                  </w:r>
                </w:p>
              </w:tc>
              <w:tc>
                <w:tcPr>
                  <w:tcW w:w="2075" w:type="pct"/>
                  <w:vMerge w:val="continue"/>
                  <w:vAlign w:val="center"/>
                </w:tcPr>
                <w:p w14:paraId="69735608">
                  <w:pPr>
                    <w:tabs>
                      <w:tab w:val="left" w:pos="1081"/>
                    </w:tabs>
                    <w:adjustRightInd w:val="0"/>
                    <w:snapToGrid w:val="0"/>
                    <w:jc w:val="center"/>
                    <w:rPr>
                      <w:color w:val="000000" w:themeColor="text1"/>
                      <w:szCs w:val="21"/>
                      <w14:textFill>
                        <w14:solidFill>
                          <w14:schemeClr w14:val="tx1"/>
                        </w14:solidFill>
                      </w14:textFill>
                    </w:rPr>
                  </w:pPr>
                </w:p>
              </w:tc>
            </w:tr>
            <w:tr w14:paraId="151BE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1" w:type="pct"/>
                  <w:vAlign w:val="center"/>
                </w:tcPr>
                <w:p w14:paraId="5B9B471F">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1453" w:type="pct"/>
                  <w:vAlign w:val="center"/>
                </w:tcPr>
                <w:p w14:paraId="0536BA4C">
                  <w:pPr>
                    <w:tabs>
                      <w:tab w:val="left" w:pos="1081"/>
                    </w:tabs>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VOCs低温等离子体及其组合净化技术。</w:t>
                  </w:r>
                </w:p>
                <w:p w14:paraId="5C06F69F">
                  <w:pPr>
                    <w:tabs>
                      <w:tab w:val="left" w:pos="1081"/>
                    </w:tabs>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该技术利用气体分子在电场作用下产生的激发态分子、电子、离子、原子和自由基等活性物种，降解废气中有机污染物分子。</w:t>
                  </w:r>
                </w:p>
              </w:tc>
              <w:tc>
                <w:tcPr>
                  <w:tcW w:w="1189" w:type="pct"/>
                  <w:vAlign w:val="center"/>
                </w:tcPr>
                <w:p w14:paraId="0B57BD77">
                  <w:pPr>
                    <w:tabs>
                      <w:tab w:val="left" w:pos="1081"/>
                    </w:tabs>
                    <w:adjustRightInd w:val="0"/>
                    <w:snapToGrid w:val="0"/>
                    <w:jc w:val="both"/>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应用范围</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全行业VOCs治理。</w:t>
                  </w:r>
                </w:p>
                <w:p w14:paraId="5ED47DDE">
                  <w:pPr>
                    <w:tabs>
                      <w:tab w:val="left" w:pos="1081"/>
                    </w:tabs>
                    <w:adjustRightInd w:val="0"/>
                    <w:snapToGrid w:val="0"/>
                    <w:jc w:val="both"/>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排除范围</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恶臭异味治理。</w:t>
                  </w:r>
                </w:p>
              </w:tc>
              <w:tc>
                <w:tcPr>
                  <w:tcW w:w="2075" w:type="pct"/>
                  <w:vMerge w:val="continue"/>
                  <w:vAlign w:val="center"/>
                </w:tcPr>
                <w:p w14:paraId="2AA89D67">
                  <w:pPr>
                    <w:tabs>
                      <w:tab w:val="left" w:pos="1081"/>
                    </w:tabs>
                    <w:adjustRightInd w:val="0"/>
                    <w:snapToGrid w:val="0"/>
                    <w:jc w:val="center"/>
                    <w:rPr>
                      <w:color w:val="000000" w:themeColor="text1"/>
                      <w:szCs w:val="21"/>
                      <w14:textFill>
                        <w14:solidFill>
                          <w14:schemeClr w14:val="tx1"/>
                        </w14:solidFill>
                      </w14:textFill>
                    </w:rPr>
                  </w:pPr>
                </w:p>
              </w:tc>
            </w:tr>
            <w:tr w14:paraId="007ED0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1" w:type="pct"/>
                  <w:vAlign w:val="center"/>
                </w:tcPr>
                <w:p w14:paraId="0ADD18B1">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1453" w:type="pct"/>
                  <w:vAlign w:val="center"/>
                </w:tcPr>
                <w:p w14:paraId="30057B83">
                  <w:pPr>
                    <w:tabs>
                      <w:tab w:val="left" w:pos="1081"/>
                    </w:tabs>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VOCs光解（光氧化）及其组合净化技术。</w:t>
                  </w:r>
                </w:p>
                <w:p w14:paraId="5791DF75">
                  <w:pPr>
                    <w:tabs>
                      <w:tab w:val="left" w:pos="1081"/>
                    </w:tabs>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该技术利用污染物分子吸收短波长紫外光，引发污染物分子化学键断裂，同时废气中的氧气或水分子吸收短波长紫外光后，产生包括臭氧和羟基自由基等在内的活性物种与 污染物分子发生降解反应。</w:t>
                  </w:r>
                </w:p>
                <w:p w14:paraId="71AD4829">
                  <w:pPr>
                    <w:tabs>
                      <w:tab w:val="left" w:pos="1081"/>
                    </w:tabs>
                    <w:adjustRightInd w:val="0"/>
                    <w:snapToGrid w:val="0"/>
                    <w:rPr>
                      <w:color w:val="000000" w:themeColor="text1"/>
                      <w:szCs w:val="21"/>
                      <w14:textFill>
                        <w14:solidFill>
                          <w14:schemeClr w14:val="tx1"/>
                        </w14:solidFill>
                      </w14:textFill>
                    </w:rPr>
                  </w:pPr>
                </w:p>
              </w:tc>
              <w:tc>
                <w:tcPr>
                  <w:tcW w:w="1189" w:type="pct"/>
                  <w:vAlign w:val="center"/>
                </w:tcPr>
                <w:p w14:paraId="4B3BB347">
                  <w:pPr>
                    <w:tabs>
                      <w:tab w:val="left" w:pos="1081"/>
                    </w:tabs>
                    <w:adjustRightInd w:val="0"/>
                    <w:snapToGrid w:val="0"/>
                    <w:jc w:val="both"/>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应用范围</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全行业VOCs治理。</w:t>
                  </w:r>
                </w:p>
                <w:p w14:paraId="03C72C02">
                  <w:pPr>
                    <w:tabs>
                      <w:tab w:val="left" w:pos="1081"/>
                    </w:tabs>
                    <w:adjustRightInd w:val="0"/>
                    <w:snapToGrid w:val="0"/>
                    <w:jc w:val="both"/>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排除范围</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恶臭异味治理。</w:t>
                  </w:r>
                </w:p>
              </w:tc>
              <w:tc>
                <w:tcPr>
                  <w:tcW w:w="2075" w:type="pct"/>
                  <w:vMerge w:val="continue"/>
                  <w:vAlign w:val="center"/>
                </w:tcPr>
                <w:p w14:paraId="4AB16AC3">
                  <w:pPr>
                    <w:tabs>
                      <w:tab w:val="left" w:pos="1081"/>
                    </w:tabs>
                    <w:adjustRightInd w:val="0"/>
                    <w:snapToGrid w:val="0"/>
                    <w:jc w:val="center"/>
                    <w:rPr>
                      <w:color w:val="000000" w:themeColor="text1"/>
                      <w:szCs w:val="21"/>
                      <w14:textFill>
                        <w14:solidFill>
                          <w14:schemeClr w14:val="tx1"/>
                        </w14:solidFill>
                      </w14:textFill>
                    </w:rPr>
                  </w:pPr>
                </w:p>
              </w:tc>
            </w:tr>
          </w:tbl>
          <w:p w14:paraId="19FBC2DB">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4</w:t>
            </w:r>
            <w:r>
              <w:rPr>
                <w:b/>
                <w:color w:val="000000" w:themeColor="text1"/>
                <w:sz w:val="24"/>
                <w14:textFill>
                  <w14:solidFill>
                    <w14:schemeClr w14:val="tx1"/>
                  </w14:solidFill>
                </w14:textFill>
              </w:rPr>
              <w:t>、项目建设与“三线一单”的相符性</w:t>
            </w:r>
          </w:p>
          <w:p w14:paraId="7ACD8EFD">
            <w:pPr>
              <w:tabs>
                <w:tab w:val="left" w:pos="1081"/>
              </w:tabs>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根据环保部发布的《关于以改善环境质量为核心加强环境影响评价管理的通知》（以下简称《通知》），《通知》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p>
          <w:p w14:paraId="48394B87">
            <w:pPr>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（1）生态红线</w:t>
            </w:r>
          </w:p>
          <w:p w14:paraId="7D51439F">
            <w:pPr>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生态保护红线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是</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生态空间范围内具有特殊重要生态功能必须实行强制性严格保护的区域</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需依法在重点生态功能区、生态环境敏感区和脆弱区等区域划定的严格管控边界，是国家和区域生态安全的底线，对于维护生态安全格局、保障生态服务功能、支撑经济社会可持续发展具有重要作用。</w:t>
            </w:r>
          </w:p>
          <w:p w14:paraId="5CCA467D">
            <w:pPr>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本项目位于</w:t>
            </w:r>
            <w:r>
              <w:rPr>
                <w:rFonts w:hint="eastAsia"/>
                <w:bCs/>
                <w:color w:val="000000" w:themeColor="text1"/>
                <w:kern w:val="0"/>
                <w:sz w:val="24"/>
                <w14:textFill>
                  <w14:solidFill>
                    <w14:schemeClr w14:val="tx1"/>
                  </w14:solidFill>
                </w14:textFill>
              </w:rPr>
              <w:t>南阳市镇平县玉都工业园区新星路8号</w:t>
            </w:r>
            <w:r>
              <w:rPr>
                <w:bCs/>
                <w:color w:val="000000" w:themeColor="text1"/>
                <w:kern w:val="0"/>
                <w:sz w:val="24"/>
                <w14:textFill>
                  <w14:solidFill>
                    <w14:schemeClr w14:val="tx1"/>
                  </w14:solidFill>
                </w14:textFill>
              </w:rPr>
              <w:t>，项目选址不在自然保护区、镇平县饮用水源保护区、南水北调中线工程总干渠两侧水源保护区等生态保护目标范围内，距离自然保护区、水源保护区等生态保护目标较远，不在区域生态红线范围内，因此项目建设符合区域生态保护红线要求。</w:t>
            </w:r>
          </w:p>
          <w:p w14:paraId="60A52FD0">
            <w:pPr>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（2）环境质量底线</w:t>
            </w:r>
          </w:p>
          <w:p w14:paraId="6C064646">
            <w:pPr>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环境质量底线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p w14:paraId="2F371846">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项目选址区域环境空气功能为二类区，执行《环境空气质量标准》（GB3095-2012）二级标准。根据《202</w:t>
            </w:r>
            <w:r>
              <w:rPr>
                <w:rFonts w:hint="eastAsia"/>
                <w:bCs/>
                <w:color w:val="000000" w:themeColor="text1"/>
                <w:sz w:val="24"/>
                <w:lang w:val="en-US" w:eastAsia="zh-CN"/>
                <w14:textFill>
                  <w14:solidFill>
                    <w14:schemeClr w14:val="tx1"/>
                  </w14:solidFill>
                </w14:textFill>
              </w:rPr>
              <w:t>4</w:t>
            </w:r>
            <w:r>
              <w:rPr>
                <w:bCs/>
                <w:color w:val="000000" w:themeColor="text1"/>
                <w:sz w:val="24"/>
                <w14:textFill>
                  <w14:solidFill>
                    <w14:schemeClr w14:val="tx1"/>
                  </w14:solidFill>
                </w14:textFill>
              </w:rPr>
              <w:t>年河南省南阳市生态环境质量报告》中</w:t>
            </w:r>
            <w:r>
              <w:rPr>
                <w:rFonts w:hint="eastAsia"/>
                <w:bCs/>
                <w:color w:val="000000" w:themeColor="text1"/>
                <w:sz w:val="24"/>
                <w:lang w:eastAsia="zh-CN"/>
                <w14:textFill>
                  <w14:solidFill>
                    <w14:schemeClr w14:val="tx1"/>
                  </w14:solidFill>
                </w14:textFill>
              </w:rPr>
              <w:t>“</w:t>
            </w:r>
            <w:r>
              <w:rPr>
                <w:bCs/>
                <w:color w:val="000000" w:themeColor="text1"/>
                <w:sz w:val="24"/>
                <w14:textFill>
                  <w14:solidFill>
                    <w14:schemeClr w14:val="tx1"/>
                  </w14:solidFill>
                </w14:textFill>
              </w:rPr>
              <w:t>202</w:t>
            </w:r>
            <w:r>
              <w:rPr>
                <w:rFonts w:hint="eastAsia"/>
                <w:bCs/>
                <w:color w:val="000000" w:themeColor="text1"/>
                <w:sz w:val="24"/>
                <w:lang w:val="en-US" w:eastAsia="zh-CN"/>
                <w14:textFill>
                  <w14:solidFill>
                    <w14:schemeClr w14:val="tx1"/>
                  </w14:solidFill>
                </w14:textFill>
              </w:rPr>
              <w:t>4</w:t>
            </w:r>
            <w:r>
              <w:rPr>
                <w:bCs/>
                <w:color w:val="000000" w:themeColor="text1"/>
                <w:sz w:val="24"/>
                <w14:textFill>
                  <w14:solidFill>
                    <w14:schemeClr w14:val="tx1"/>
                  </w14:solidFill>
                </w14:textFill>
              </w:rPr>
              <w:t>年南阳市各县（市、区）环境空气主要项目监测结果统计</w:t>
            </w:r>
            <w:r>
              <w:rPr>
                <w:rFonts w:hint="eastAsia"/>
                <w:bCs/>
                <w:color w:val="000000" w:themeColor="text1"/>
                <w:sz w:val="24"/>
                <w:lang w:eastAsia="zh-CN"/>
                <w14:textFill>
                  <w14:solidFill>
                    <w14:schemeClr w14:val="tx1"/>
                  </w14:solidFill>
                </w14:textFill>
              </w:rPr>
              <w:t>”</w:t>
            </w:r>
            <w:r>
              <w:rPr>
                <w:bCs/>
                <w:color w:val="000000" w:themeColor="text1"/>
                <w:sz w:val="24"/>
                <w14:textFill>
                  <w14:solidFill>
                    <w14:schemeClr w14:val="tx1"/>
                  </w14:solidFill>
                </w14:textFill>
              </w:rPr>
              <w:t>中镇平县的数据，区域环境质量状况一般，属于不达标区域。</w:t>
            </w:r>
          </w:p>
          <w:p w14:paraId="6999D436">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为此，南阳市生态环境保护委员会已经制定了《南阳市202</w:t>
            </w:r>
            <w:r>
              <w:rPr>
                <w:rFonts w:hint="eastAsia"/>
                <w:bCs/>
                <w:color w:val="000000" w:themeColor="text1"/>
                <w:sz w:val="24"/>
                <w14:textFill>
                  <w14:solidFill>
                    <w14:schemeClr w14:val="tx1"/>
                  </w14:solidFill>
                </w14:textFill>
              </w:rPr>
              <w:t>5</w:t>
            </w:r>
            <w:r>
              <w:rPr>
                <w:bCs/>
                <w:color w:val="000000" w:themeColor="text1"/>
                <w:sz w:val="24"/>
                <w14:textFill>
                  <w14:solidFill>
                    <w14:schemeClr w14:val="tx1"/>
                  </w14:solidFill>
                </w14:textFill>
              </w:rPr>
              <w:t>年蓝天保卫战实施方案》（</w:t>
            </w:r>
            <w:r>
              <w:rPr>
                <w:rFonts w:hint="eastAsia"/>
                <w:bCs/>
                <w:color w:val="000000" w:themeColor="text1"/>
                <w:sz w:val="24"/>
                <w14:textFill>
                  <w14:solidFill>
                    <w14:schemeClr w14:val="tx1"/>
                  </w14:solidFill>
                </w14:textFill>
              </w:rPr>
              <w:t>宛环委办〔2025〕5号</w:t>
            </w:r>
            <w:r>
              <w:rPr>
                <w:bCs/>
                <w:color w:val="000000" w:themeColor="text1"/>
                <w:sz w:val="24"/>
                <w14:textFill>
                  <w14:solidFill>
                    <w14:schemeClr w14:val="tx1"/>
                  </w14:solidFill>
                </w14:textFill>
              </w:rPr>
              <w:t>），南阳市将坚持稳中求进工作总基调，以改善环境空气质量为核心，以降低细颗粒物（PM</w:t>
            </w:r>
            <w:r>
              <w:rPr>
                <w:bCs/>
                <w:color w:val="000000" w:themeColor="text1"/>
                <w:sz w:val="24"/>
                <w:vertAlign w:val="subscript"/>
                <w14:textFill>
                  <w14:solidFill>
                    <w14:schemeClr w14:val="tx1"/>
                  </w14:solidFill>
                </w14:textFill>
              </w:rPr>
              <w:t>2.5</w:t>
            </w:r>
            <w:r>
              <w:rPr>
                <w:bCs/>
                <w:color w:val="000000" w:themeColor="text1"/>
                <w:sz w:val="24"/>
                <w14:textFill>
                  <w14:solidFill>
                    <w14:schemeClr w14:val="tx1"/>
                  </w14:solidFill>
                </w14:textFill>
              </w:rPr>
              <w:t>）浓度为主线，协同推进降碳、减污、扩绿、增长，以更高标准打好秋冬季重污染天气消除、夏季臭氧污染防治和柴油货车污染治理攻坚战，扎实抓好减污降碳协同增效、工业污染治理减排、移动源污染控制、面源污染综合治理、重污染天气联合应对、科技支撑能力建设六个攻坚行动，加快推动发展方式绿色低碳转型，完成省定年度空气质量改善目标任务，为推进美丽南阳建设贡献力量,为高水平建强省域副中心城市提供生态保障。</w:t>
            </w:r>
          </w:p>
          <w:p w14:paraId="439B2222">
            <w:pPr>
              <w:widowControl/>
              <w:adjustRightInd w:val="0"/>
              <w:snapToGrid w:val="0"/>
              <w:spacing w:line="360" w:lineRule="auto"/>
              <w:ind w:firstLine="480" w:firstLineChars="200"/>
              <w:rPr>
                <w:bCs/>
                <w:color w:val="000000" w:themeColor="text1"/>
                <w:sz w:val="24"/>
                <w:highlight w:val="yellow"/>
                <w14:textFill>
                  <w14:solidFill>
                    <w14:schemeClr w14:val="tx1"/>
                  </w14:solidFill>
                </w14:textFill>
              </w:rPr>
            </w:pPr>
            <w:r>
              <w:rPr>
                <w:bCs/>
                <w:color w:val="000000" w:themeColor="text1"/>
                <w:kern w:val="0"/>
                <w:sz w:val="24"/>
                <w14:textFill>
                  <w14:solidFill>
                    <w14:schemeClr w14:val="tx1"/>
                  </w14:solidFill>
                </w14:textFill>
              </w:rPr>
              <w:t>项目区附近主要地表水体</w:t>
            </w: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东</w:t>
            </w:r>
            <w:r>
              <w:rPr>
                <w:color w:val="000000" w:themeColor="text1"/>
                <w:sz w:val="24"/>
                <w14:textFill>
                  <w14:solidFill>
                    <w14:schemeClr w14:val="tx1"/>
                  </w14:solidFill>
                </w14:textFill>
              </w:rPr>
              <w:t>侧</w:t>
            </w:r>
            <w:r>
              <w:rPr>
                <w:rFonts w:hint="eastAsia"/>
                <w:color w:val="000000" w:themeColor="text1"/>
                <w:sz w:val="24"/>
                <w14:textFill>
                  <w14:solidFill>
                    <w14:schemeClr w14:val="tx1"/>
                  </w14:solidFill>
                </w14:textFill>
              </w:rPr>
              <w:t>513m处的西三里河、西侧935m的九曲河</w:t>
            </w:r>
            <w:r>
              <w:rPr>
                <w:bCs/>
                <w:color w:val="000000" w:themeColor="text1"/>
                <w:kern w:val="0"/>
                <w:sz w:val="24"/>
                <w14:textFill>
                  <w14:solidFill>
                    <w14:schemeClr w14:val="tx1"/>
                  </w14:solidFill>
                </w14:textFill>
              </w:rPr>
              <w:t>，</w:t>
            </w:r>
            <w:r>
              <w:rPr>
                <w:color w:val="000000" w:themeColor="text1"/>
                <w:sz w:val="24"/>
                <w:highlight w:val="none"/>
                <w14:textFill>
                  <w14:solidFill>
                    <w14:schemeClr w14:val="tx1"/>
                  </w14:solidFill>
                </w14:textFill>
              </w:rPr>
              <w:t>项目区雨水经厂区雨水排放口依地势排入</w:t>
            </w:r>
            <w:r>
              <w:rPr>
                <w:rFonts w:hint="eastAsia"/>
                <w:color w:val="000000" w:themeColor="text1"/>
                <w:sz w:val="24"/>
                <w:highlight w:val="none"/>
                <w14:textFill>
                  <w14:solidFill>
                    <w14:schemeClr w14:val="tx1"/>
                  </w14:solidFill>
                </w14:textFill>
              </w:rPr>
              <w:t>西侧935m的九曲河</w:t>
            </w:r>
            <w:r>
              <w:rPr>
                <w:color w:val="000000" w:themeColor="text1"/>
                <w:sz w:val="24"/>
                <w:highlight w:val="none"/>
                <w14:textFill>
                  <w14:solidFill>
                    <w14:schemeClr w14:val="tx1"/>
                  </w14:solidFill>
                </w14:textFill>
              </w:rPr>
              <w:t>，</w:t>
            </w:r>
            <w:r>
              <w:rPr>
                <w:color w:val="000000" w:themeColor="text1"/>
                <w:sz w:val="24"/>
                <w14:textFill>
                  <w14:solidFill>
                    <w14:schemeClr w14:val="tx1"/>
                  </w14:solidFill>
                </w14:textFill>
              </w:rPr>
              <w:t>向南汇入赵河</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经化粪池处理后的生活污水和生产废水一并经厂区污水处理站处理后由厂区总排口排入市政污水管网，</w:t>
            </w:r>
            <w:r>
              <w:rPr>
                <w:color w:val="000000" w:themeColor="text1"/>
                <w:kern w:val="0"/>
                <w:sz w:val="24"/>
                <w14:textFill>
                  <w14:solidFill>
                    <w14:schemeClr w14:val="tx1"/>
                  </w14:solidFill>
                </w14:textFill>
              </w:rPr>
              <w:t>经市政污水管网进入镇平县第二污水处理厂进一步处理达到《城镇污水处理厂污染物排放标准》（GB18918-2002）一级A标准后排入赵河</w:t>
            </w:r>
            <w:r>
              <w:rPr>
                <w:rFonts w:hint="eastAsia"/>
                <w:color w:val="000000" w:themeColor="text1"/>
                <w:kern w:val="0"/>
                <w:sz w:val="24"/>
                <w14:textFill>
                  <w14:solidFill>
                    <w14:schemeClr w14:val="tx1"/>
                  </w14:solidFill>
                </w14:textFill>
              </w:rPr>
              <w:t>。</w:t>
            </w:r>
            <w:r>
              <w:rPr>
                <w:color w:val="000000" w:themeColor="text1"/>
                <w:sz w:val="24"/>
                <w14:textFill>
                  <w14:solidFill>
                    <w14:schemeClr w14:val="tx1"/>
                  </w14:solidFill>
                </w14:textFill>
              </w:rPr>
              <w:t>根据《南阳市地表水环境功能区划分报告》，九曲河水质功能区划参照赵河评价河段执行《地表水环境质量标准》中Ⅲ类水体标准。</w:t>
            </w:r>
            <w:r>
              <w:rPr>
                <w:bCs/>
                <w:color w:val="000000" w:themeColor="text1"/>
                <w:sz w:val="24"/>
                <w14:textFill>
                  <w14:solidFill>
                    <w14:schemeClr w14:val="tx1"/>
                  </w14:solidFill>
                </w14:textFill>
              </w:rPr>
              <w:t>因此项目建成后不会对区域地表水体的环境质量造成不良影响。</w:t>
            </w:r>
          </w:p>
          <w:p w14:paraId="71D1E4F1">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本项目所在区域为2类声环境功能区，项目区域目前能够满足《声环境质量标准》2类标准要求，本项目建成后经采取隔声、减振等降噪措施后，经距离衰减，预计四周厂界</w:t>
            </w:r>
            <w:r>
              <w:rPr>
                <w:color w:val="000000" w:themeColor="text1"/>
                <w:sz w:val="24"/>
                <w14:textFill>
                  <w14:solidFill>
                    <w14:schemeClr w14:val="tx1"/>
                  </w14:solidFill>
                </w14:textFill>
              </w:rPr>
              <w:t>噪声影响值可达到《工业企业厂界环境噪声排放标准》（GB12348-2008）中2类标准</w:t>
            </w:r>
            <w:r>
              <w:rPr>
                <w:rFonts w:hint="eastAsia"/>
                <w:color w:val="000000" w:themeColor="text1"/>
                <w:sz w:val="24"/>
                <w14:textFill>
                  <w14:solidFill>
                    <w14:schemeClr w14:val="tx1"/>
                  </w14:solidFill>
                </w14:textFill>
              </w:rPr>
              <w:t>，周围声环境保护目标处的噪声预测值能够满足《声环境质量标准》</w:t>
            </w:r>
            <w:r>
              <w:rPr>
                <w:color w:val="000000" w:themeColor="text1"/>
                <w:sz w:val="24"/>
                <w14:textFill>
                  <w14:solidFill>
                    <w14:schemeClr w14:val="tx1"/>
                  </w14:solidFill>
                </w14:textFill>
              </w:rPr>
              <w:t>（GB 3096-2008）</w:t>
            </w:r>
            <w:r>
              <w:rPr>
                <w:rFonts w:hint="eastAsia"/>
                <w:color w:val="000000" w:themeColor="text1"/>
                <w:sz w:val="24"/>
                <w14:textFill>
                  <w14:solidFill>
                    <w14:schemeClr w14:val="tx1"/>
                  </w14:solidFill>
                </w14:textFill>
              </w:rPr>
              <w:t>2类区标准限值。</w:t>
            </w:r>
            <w:r>
              <w:rPr>
                <w:bCs/>
                <w:color w:val="000000" w:themeColor="text1"/>
                <w:kern w:val="0"/>
                <w:sz w:val="24"/>
                <w14:textFill>
                  <w14:solidFill>
                    <w14:schemeClr w14:val="tx1"/>
                  </w14:solidFill>
                </w14:textFill>
              </w:rPr>
              <w:t>本项目建设运营不会改变项目所在区域的声环境功能，因此项目建设声环境质量是符合要求的。</w:t>
            </w:r>
          </w:p>
          <w:p w14:paraId="68720B70">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（3）资源利用上线</w:t>
            </w:r>
          </w:p>
          <w:p w14:paraId="0E7E5AB7">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资源是环境的载体，</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资源利用上线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地区能源、水、土地等资源消耗不得突破的</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天花板</w:t>
            </w:r>
            <w:r>
              <w:rPr>
                <w:rFonts w:hint="eastAsia"/>
                <w:bCs/>
                <w:color w:val="000000" w:themeColor="text1"/>
                <w:kern w:val="0"/>
                <w:sz w:val="24"/>
                <w:lang w:eastAsia="zh-CN"/>
                <w14:textFill>
                  <w14:solidFill>
                    <w14:schemeClr w14:val="tx1"/>
                  </w14:solidFill>
                </w14:textFill>
              </w:rPr>
              <w:t>”</w:t>
            </w:r>
            <w:r>
              <w:rPr>
                <w:bCs/>
                <w:color w:val="000000" w:themeColor="text1"/>
                <w:kern w:val="0"/>
                <w:sz w:val="24"/>
                <w14:textFill>
                  <w14:solidFill>
                    <w14:schemeClr w14:val="tx1"/>
                  </w14:solidFill>
                </w14:textFill>
              </w:rPr>
              <w:t>。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p w14:paraId="1FBF65E5">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项目用水由市政供水管网供给，可以满足项目用水需求；能源主要依托市政供电系统供电；根据镇平县先进制造业开发区管理委员会出具的入驻证明，项目建设符合镇平县先进制造业开发区规划要求，因此，项目资源利用满足要求。</w:t>
            </w:r>
          </w:p>
          <w:p w14:paraId="303630F1">
            <w:pPr>
              <w:adjustRightInd w:val="0"/>
              <w:snapToGrid w:val="0"/>
              <w:spacing w:line="360" w:lineRule="auto"/>
              <w:ind w:firstLine="480" w:firstLineChars="200"/>
              <w:textAlignment w:val="baseline"/>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（4）环境准入负面清单</w:t>
            </w:r>
          </w:p>
          <w:p w14:paraId="63AD3CA1">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14:textFill>
                  <w14:solidFill>
                    <w14:schemeClr w14:val="tx1"/>
                  </w14:solidFill>
                </w14:textFill>
              </w:rPr>
              <w:t>南阳市镇平县玉都工业园区新星路8号</w:t>
            </w:r>
            <w:r>
              <w:rPr>
                <w:color w:val="000000" w:themeColor="text1"/>
                <w:sz w:val="24"/>
                <w14:textFill>
                  <w14:solidFill>
                    <w14:schemeClr w14:val="tx1"/>
                  </w14:solidFill>
                </w14:textFill>
              </w:rPr>
              <w:t>，经比对南阳市生态环境局《南阳市“三线一单”生态环境分局管控准入清单（试行）》的函（宛环函〔2021〕37号）</w:t>
            </w:r>
            <w:r>
              <w:rPr>
                <w:rFonts w:hint="eastAsia"/>
                <w:color w:val="000000" w:themeColor="text1"/>
                <w:sz w:val="24"/>
                <w14:textFill>
                  <w14:solidFill>
                    <w14:schemeClr w14:val="tx1"/>
                  </w14:solidFill>
                </w14:textFill>
              </w:rPr>
              <w:t>、《南阳市“三线一单”生态环境准入清单（2023年更新）》</w:t>
            </w:r>
            <w:r>
              <w:rPr>
                <w:color w:val="000000" w:themeColor="text1"/>
                <w:sz w:val="24"/>
                <w14:textFill>
                  <w14:solidFill>
                    <w14:schemeClr w14:val="tx1"/>
                  </w14:solidFill>
                </w14:textFill>
              </w:rPr>
              <w:t>及河南省生态环境厅三线一单综合信息应用平台，</w:t>
            </w:r>
            <w:r>
              <w:rPr>
                <w:rFonts w:hint="eastAsia"/>
                <w:color w:val="000000" w:themeColor="text1"/>
                <w:sz w:val="24"/>
                <w14:textFill>
                  <w14:solidFill>
                    <w14:schemeClr w14:val="tx1"/>
                  </w14:solidFill>
                </w14:textFill>
              </w:rPr>
              <w:t>项目位于镇平县先进制造业开发区，单元编号ZH41132420001，根据</w:t>
            </w:r>
            <w:r>
              <w:rPr>
                <w:color w:val="000000" w:themeColor="text1"/>
                <w:sz w:val="24"/>
                <w14:textFill>
                  <w14:solidFill>
                    <w14:schemeClr w14:val="tx1"/>
                  </w14:solidFill>
                </w14:textFill>
              </w:rPr>
              <w:t>研判分析及对比结果如下。</w:t>
            </w:r>
          </w:p>
          <w:p w14:paraId="6679A434">
            <w:pPr>
              <w:tabs>
                <w:tab w:val="left" w:pos="1081"/>
              </w:tabs>
              <w:adjustRightInd w:val="0"/>
              <w:snapToGrid w:val="0"/>
              <w:spacing w:line="360" w:lineRule="auto"/>
              <w:ind w:firstLine="480" w:firstLineChars="200"/>
              <w:rPr>
                <w:bCs/>
                <w:color w:val="000000" w:themeColor="text1"/>
                <w:kern w:val="0"/>
                <w:sz w:val="24"/>
                <w14:textFill>
                  <w14:solidFill>
                    <w14:schemeClr w14:val="tx1"/>
                  </w14:solidFill>
                </w14:textFill>
              </w:rPr>
            </w:pPr>
            <w:r>
              <w:rPr>
                <w:color w:val="000000" w:themeColor="text1"/>
                <w:sz w:val="24"/>
                <w14:textFill>
                  <w14:solidFill>
                    <w14:schemeClr w14:val="tx1"/>
                  </w14:solidFill>
                </w14:textFill>
              </w:rPr>
              <w:t>经比对，项目涉及1个河南省环境管控单元，其中优先保护单元0个,重点管控单元1个,一般管控单元0个，详见下表。</w:t>
            </w:r>
          </w:p>
        </w:tc>
      </w:tr>
    </w:tbl>
    <w:p w14:paraId="2E5BEE5B">
      <w:pPr>
        <w:rPr>
          <w:color w:val="000000" w:themeColor="text1"/>
          <w14:textFill>
            <w14:solidFill>
              <w14:schemeClr w14:val="tx1"/>
            </w14:solidFill>
          </w14:textFill>
        </w:rPr>
        <w:sectPr>
          <w:footerReference r:id="rId6" w:type="default"/>
          <w:pgSz w:w="11906" w:h="16838"/>
          <w:pgMar w:top="1440" w:right="1083" w:bottom="1440" w:left="1083" w:header="851" w:footer="992" w:gutter="0"/>
          <w:pgNumType w:fmt="decimal" w:start="1"/>
          <w:cols w:space="0" w:num="1"/>
          <w:docGrid w:type="lines" w:linePitch="312" w:charSpace="0"/>
        </w:sectPr>
      </w:pPr>
    </w:p>
    <w:p w14:paraId="3CE56779">
      <w:pPr>
        <w:tabs>
          <w:tab w:val="left" w:pos="1081"/>
        </w:tabs>
        <w:adjustRightInd w:val="0"/>
        <w:snapToGrid w:val="0"/>
        <w:spacing w:line="360" w:lineRule="auto"/>
        <w:ind w:firstLine="482" w:firstLineChars="200"/>
        <w:jc w:val="center"/>
        <w:rPr>
          <w:b/>
          <w:bCs/>
          <w:color w:val="000000" w:themeColor="text1"/>
          <w:spacing w:val="-2"/>
          <w:sz w:val="24"/>
          <w14:textFill>
            <w14:solidFill>
              <w14:schemeClr w14:val="tx1"/>
            </w14:solidFill>
          </w14:textFill>
        </w:rPr>
      </w:pPr>
      <w:r>
        <w:rPr>
          <w:b/>
          <w:bCs/>
          <w:color w:val="000000" w:themeColor="text1"/>
          <w:sz w:val="24"/>
          <w14:textFill>
            <w14:solidFill>
              <w14:schemeClr w14:val="tx1"/>
            </w14:solidFill>
          </w14:textFill>
        </w:rPr>
        <w:t>表</w:t>
      </w:r>
      <w:r>
        <w:rPr>
          <w:rFonts w:hint="eastAsia"/>
          <w:b/>
          <w:bCs/>
          <w:color w:val="000000" w:themeColor="text1"/>
          <w:sz w:val="24"/>
          <w14:textFill>
            <w14:solidFill>
              <w14:schemeClr w14:val="tx1"/>
            </w14:solidFill>
          </w14:textFill>
        </w:rPr>
        <w:t>1-15</w:t>
      </w:r>
      <w:r>
        <w:rPr>
          <w:b/>
          <w:bCs/>
          <w:color w:val="000000" w:themeColor="text1"/>
          <w:sz w:val="24"/>
          <w14:textFill>
            <w14:solidFill>
              <w14:schemeClr w14:val="tx1"/>
            </w14:solidFill>
          </w14:textFill>
        </w:rPr>
        <w:t xml:space="preserve">  </w:t>
      </w:r>
      <w:r>
        <w:rPr>
          <w:b/>
          <w:bCs/>
          <w:color w:val="000000" w:themeColor="text1"/>
          <w:spacing w:val="-2"/>
          <w:sz w:val="24"/>
          <w14:textFill>
            <w14:solidFill>
              <w14:schemeClr w14:val="tx1"/>
            </w14:solidFill>
          </w14:textFill>
        </w:rPr>
        <w:t>项目</w:t>
      </w:r>
      <w:r>
        <w:rPr>
          <w:b/>
          <w:bCs/>
          <w:color w:val="000000" w:themeColor="text1"/>
          <w:kern w:val="0"/>
          <w:sz w:val="24"/>
          <w14:textFill>
            <w14:solidFill>
              <w14:schemeClr w14:val="tx1"/>
            </w14:solidFill>
          </w14:textFill>
        </w:rPr>
        <w:t>河南省生态环境厅三线一单综合信息应用平台比对分析</w:t>
      </w:r>
    </w:p>
    <w:tbl>
      <w:tblPr>
        <w:tblStyle w:val="25"/>
        <w:tblW w:w="4996"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837"/>
        <w:gridCol w:w="636"/>
        <w:gridCol w:w="425"/>
        <w:gridCol w:w="433"/>
        <w:gridCol w:w="433"/>
        <w:gridCol w:w="448"/>
        <w:gridCol w:w="728"/>
        <w:gridCol w:w="637"/>
        <w:gridCol w:w="4878"/>
        <w:gridCol w:w="3031"/>
        <w:gridCol w:w="677"/>
      </w:tblGrid>
      <w:tr w14:paraId="03018BE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restart"/>
            <w:vAlign w:val="center"/>
          </w:tcPr>
          <w:p w14:paraId="7DB6899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环境管控单元编码</w:t>
            </w:r>
          </w:p>
        </w:tc>
        <w:tc>
          <w:tcPr>
            <w:tcW w:w="224" w:type="pct"/>
            <w:vMerge w:val="restart"/>
            <w:vAlign w:val="center"/>
          </w:tcPr>
          <w:p w14:paraId="3852062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环境管控单元名称</w:t>
            </w:r>
          </w:p>
        </w:tc>
        <w:tc>
          <w:tcPr>
            <w:tcW w:w="614" w:type="pct"/>
            <w:gridSpan w:val="4"/>
            <w:vAlign w:val="center"/>
          </w:tcPr>
          <w:p w14:paraId="4BD8CC9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行政区划</w:t>
            </w:r>
          </w:p>
        </w:tc>
        <w:tc>
          <w:tcPr>
            <w:tcW w:w="257" w:type="pct"/>
            <w:vMerge w:val="restart"/>
            <w:vAlign w:val="center"/>
          </w:tcPr>
          <w:p w14:paraId="565CC05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管控单元分类</w:t>
            </w:r>
          </w:p>
        </w:tc>
        <w:tc>
          <w:tcPr>
            <w:tcW w:w="1946" w:type="pct"/>
            <w:gridSpan w:val="2"/>
            <w:vMerge w:val="restart"/>
            <w:vAlign w:val="center"/>
          </w:tcPr>
          <w:p w14:paraId="6A05181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管控要求</w:t>
            </w:r>
          </w:p>
        </w:tc>
        <w:tc>
          <w:tcPr>
            <w:tcW w:w="1069" w:type="pct"/>
            <w:vMerge w:val="restart"/>
            <w:vAlign w:val="center"/>
          </w:tcPr>
          <w:p w14:paraId="3A5C9D9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本项目情况</w:t>
            </w:r>
          </w:p>
        </w:tc>
        <w:tc>
          <w:tcPr>
            <w:tcW w:w="239" w:type="pct"/>
            <w:vMerge w:val="restart"/>
            <w:vAlign w:val="center"/>
          </w:tcPr>
          <w:p w14:paraId="34AA229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相符性</w:t>
            </w:r>
          </w:p>
        </w:tc>
      </w:tr>
      <w:tr w14:paraId="3C49B7E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7235192B">
            <w:pPr>
              <w:jc w:val="center"/>
              <w:rPr>
                <w:color w:val="000000" w:themeColor="text1"/>
                <w14:textFill>
                  <w14:solidFill>
                    <w14:schemeClr w14:val="tx1"/>
                  </w14:solidFill>
                </w14:textFill>
              </w:rPr>
            </w:pPr>
          </w:p>
        </w:tc>
        <w:tc>
          <w:tcPr>
            <w:tcW w:w="224" w:type="pct"/>
            <w:vMerge w:val="continue"/>
            <w:vAlign w:val="center"/>
          </w:tcPr>
          <w:p w14:paraId="3950BAA0">
            <w:pPr>
              <w:jc w:val="center"/>
              <w:rPr>
                <w:color w:val="000000" w:themeColor="text1"/>
                <w14:textFill>
                  <w14:solidFill>
                    <w14:schemeClr w14:val="tx1"/>
                  </w14:solidFill>
                </w14:textFill>
              </w:rPr>
            </w:pPr>
          </w:p>
        </w:tc>
        <w:tc>
          <w:tcPr>
            <w:tcW w:w="150" w:type="pct"/>
            <w:vAlign w:val="center"/>
          </w:tcPr>
          <w:p w14:paraId="51DE1C1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省</w:t>
            </w:r>
          </w:p>
        </w:tc>
        <w:tc>
          <w:tcPr>
            <w:tcW w:w="153" w:type="pct"/>
            <w:vAlign w:val="center"/>
          </w:tcPr>
          <w:p w14:paraId="016CFC0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市</w:t>
            </w:r>
          </w:p>
        </w:tc>
        <w:tc>
          <w:tcPr>
            <w:tcW w:w="153" w:type="pct"/>
            <w:vAlign w:val="center"/>
          </w:tcPr>
          <w:p w14:paraId="408AB15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区县</w:t>
            </w:r>
          </w:p>
        </w:tc>
        <w:tc>
          <w:tcPr>
            <w:tcW w:w="158" w:type="pct"/>
            <w:vAlign w:val="center"/>
          </w:tcPr>
          <w:p w14:paraId="6119335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乡镇</w:t>
            </w:r>
          </w:p>
        </w:tc>
        <w:tc>
          <w:tcPr>
            <w:tcW w:w="257" w:type="pct"/>
            <w:vMerge w:val="continue"/>
            <w:vAlign w:val="center"/>
          </w:tcPr>
          <w:p w14:paraId="60F6ED46">
            <w:pPr>
              <w:jc w:val="center"/>
              <w:rPr>
                <w:color w:val="000000" w:themeColor="text1"/>
                <w14:textFill>
                  <w14:solidFill>
                    <w14:schemeClr w14:val="tx1"/>
                  </w14:solidFill>
                </w14:textFill>
              </w:rPr>
            </w:pPr>
          </w:p>
        </w:tc>
        <w:tc>
          <w:tcPr>
            <w:tcW w:w="1946" w:type="pct"/>
            <w:gridSpan w:val="2"/>
            <w:vMerge w:val="continue"/>
            <w:vAlign w:val="center"/>
          </w:tcPr>
          <w:p w14:paraId="7FD7B0C9">
            <w:pPr>
              <w:jc w:val="center"/>
              <w:rPr>
                <w:color w:val="000000" w:themeColor="text1"/>
                <w14:textFill>
                  <w14:solidFill>
                    <w14:schemeClr w14:val="tx1"/>
                  </w14:solidFill>
                </w14:textFill>
              </w:rPr>
            </w:pPr>
          </w:p>
        </w:tc>
        <w:tc>
          <w:tcPr>
            <w:tcW w:w="1069" w:type="pct"/>
            <w:vMerge w:val="continue"/>
          </w:tcPr>
          <w:p w14:paraId="46032435">
            <w:pPr>
              <w:jc w:val="center"/>
              <w:rPr>
                <w:color w:val="000000" w:themeColor="text1"/>
                <w14:textFill>
                  <w14:solidFill>
                    <w14:schemeClr w14:val="tx1"/>
                  </w14:solidFill>
                </w14:textFill>
              </w:rPr>
            </w:pPr>
          </w:p>
        </w:tc>
        <w:tc>
          <w:tcPr>
            <w:tcW w:w="239" w:type="pct"/>
            <w:vMerge w:val="continue"/>
          </w:tcPr>
          <w:p w14:paraId="7490DDDA">
            <w:pPr>
              <w:jc w:val="center"/>
              <w:rPr>
                <w:color w:val="000000" w:themeColor="text1"/>
                <w14:textFill>
                  <w14:solidFill>
                    <w14:schemeClr w14:val="tx1"/>
                  </w14:solidFill>
                </w14:textFill>
              </w:rPr>
            </w:pPr>
          </w:p>
        </w:tc>
      </w:tr>
      <w:tr w14:paraId="74EEB2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restart"/>
            <w:shd w:val="clear" w:color="auto" w:fill="auto"/>
            <w:vAlign w:val="center"/>
          </w:tcPr>
          <w:p w14:paraId="03E1ACB4">
            <w:pPr>
              <w:pStyle w:val="4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ZH41132420001</w:t>
            </w:r>
          </w:p>
        </w:tc>
        <w:tc>
          <w:tcPr>
            <w:tcW w:w="224" w:type="pct"/>
            <w:vMerge w:val="restart"/>
            <w:shd w:val="clear" w:color="auto" w:fill="auto"/>
            <w:vAlign w:val="center"/>
          </w:tcPr>
          <w:p w14:paraId="2B26EB5E">
            <w:pPr>
              <w:pStyle w:val="40"/>
              <w:jc w:val="center"/>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4"/>
                <w:lang w:eastAsia="zh-CN"/>
                <w14:textFill>
                  <w14:solidFill>
                    <w14:schemeClr w14:val="tx1"/>
                  </w14:solidFill>
                </w14:textFill>
              </w:rPr>
              <w:t>镇平县</w:t>
            </w:r>
            <w:r>
              <w:rPr>
                <w:rFonts w:ascii="Times New Roman" w:hAnsi="Times New Roman" w:cs="Times New Roman"/>
                <w:color w:val="000000" w:themeColor="text1"/>
                <w:spacing w:val="-5"/>
                <w:lang w:eastAsia="zh-CN"/>
                <w14:textFill>
                  <w14:solidFill>
                    <w14:schemeClr w14:val="tx1"/>
                  </w14:solidFill>
                </w14:textFill>
              </w:rPr>
              <w:t>先进制</w:t>
            </w:r>
          </w:p>
          <w:p w14:paraId="7177CACC">
            <w:pPr>
              <w:pStyle w:val="40"/>
              <w:jc w:val="center"/>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造业开</w:t>
            </w:r>
            <w:r>
              <w:rPr>
                <w:rFonts w:ascii="Times New Roman" w:hAnsi="Times New Roman" w:cs="Times New Roman"/>
                <w:color w:val="000000" w:themeColor="text1"/>
                <w:spacing w:val="-7"/>
                <w:lang w:eastAsia="zh-CN"/>
                <w14:textFill>
                  <w14:solidFill>
                    <w14:schemeClr w14:val="tx1"/>
                  </w14:solidFill>
                </w14:textFill>
              </w:rPr>
              <w:t>发区</w:t>
            </w:r>
          </w:p>
        </w:tc>
        <w:tc>
          <w:tcPr>
            <w:tcW w:w="150" w:type="pct"/>
            <w:vMerge w:val="restart"/>
            <w:vAlign w:val="center"/>
          </w:tcPr>
          <w:p w14:paraId="4D71C31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河南省</w:t>
            </w:r>
          </w:p>
        </w:tc>
        <w:tc>
          <w:tcPr>
            <w:tcW w:w="153" w:type="pct"/>
            <w:vMerge w:val="restart"/>
            <w:vAlign w:val="center"/>
          </w:tcPr>
          <w:p w14:paraId="3D77AC2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南阳市</w:t>
            </w:r>
          </w:p>
        </w:tc>
        <w:tc>
          <w:tcPr>
            <w:tcW w:w="153" w:type="pct"/>
            <w:vMerge w:val="restart"/>
            <w:vAlign w:val="center"/>
          </w:tcPr>
          <w:p w14:paraId="4B659627">
            <w:pPr>
              <w:jc w:val="center"/>
              <w:rPr>
                <w:color w:val="000000" w:themeColor="text1"/>
                <w14:textFill>
                  <w14:solidFill>
                    <w14:schemeClr w14:val="tx1"/>
                  </w14:solidFill>
                </w14:textFill>
              </w:rPr>
            </w:pPr>
            <w:r>
              <w:rPr>
                <w:color w:val="000000" w:themeColor="text1"/>
                <w:spacing w:val="-4"/>
                <w:szCs w:val="21"/>
                <w14:textFill>
                  <w14:solidFill>
                    <w14:schemeClr w14:val="tx1"/>
                  </w14:solidFill>
                </w14:textFill>
              </w:rPr>
              <w:t>镇平县</w:t>
            </w:r>
          </w:p>
        </w:tc>
        <w:tc>
          <w:tcPr>
            <w:tcW w:w="158" w:type="pct"/>
            <w:vMerge w:val="restart"/>
            <w:vAlign w:val="center"/>
          </w:tcPr>
          <w:p w14:paraId="407D98E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7" w:type="pct"/>
            <w:vMerge w:val="restart"/>
            <w:vAlign w:val="center"/>
          </w:tcPr>
          <w:p w14:paraId="25C3783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重点</w:t>
            </w:r>
            <w:r>
              <w:rPr>
                <w:color w:val="000000" w:themeColor="text1"/>
                <w14:textFill>
                  <w14:solidFill>
                    <w14:schemeClr w14:val="tx1"/>
                  </w14:solidFill>
                </w14:textFill>
              </w:rPr>
              <w:t>管控单元</w:t>
            </w:r>
          </w:p>
        </w:tc>
        <w:tc>
          <w:tcPr>
            <w:tcW w:w="225" w:type="pct"/>
            <w:shd w:val="clear" w:color="auto" w:fill="auto"/>
            <w:vAlign w:val="center"/>
          </w:tcPr>
          <w:p w14:paraId="1F2953CE">
            <w:pPr>
              <w:rPr>
                <w:color w:val="000000" w:themeColor="text1"/>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1721" w:type="pct"/>
            <w:shd w:val="clear" w:color="auto" w:fill="auto"/>
            <w:vAlign w:val="center"/>
          </w:tcPr>
          <w:p w14:paraId="6EF91D35">
            <w:pPr>
              <w:pStyle w:val="39"/>
              <w:rPr>
                <w:color w:val="000000" w:themeColor="text1"/>
                <w:szCs w:val="21"/>
                <w14:textFill>
                  <w14:solidFill>
                    <w14:schemeClr w14:val="tx1"/>
                  </w14:solidFill>
                </w14:textFill>
              </w:rPr>
            </w:pPr>
            <w:r>
              <w:rPr>
                <w:color w:val="000000" w:themeColor="text1"/>
                <w:szCs w:val="21"/>
                <w14:textFill>
                  <w14:solidFill>
                    <w14:schemeClr w14:val="tx1"/>
                  </w14:solidFill>
                </w14:textFill>
              </w:rPr>
              <w:t>1、重点发展非金屋制品、高端装备制造、健康医药、绿色食品行业，禁止新建石化、有化学反应的化工、化学合成原料药、煤化工、制浆造纸项目入驻开发区禁止不符合园区规划或规划环评的项目入驻。</w:t>
            </w:r>
          </w:p>
          <w:p w14:paraId="58A1FFBA">
            <w:pPr>
              <w:pStyle w:val="39"/>
              <w:rPr>
                <w:color w:val="000000" w:themeColor="text1"/>
                <w:szCs w:val="21"/>
                <w14:textFill>
                  <w14:solidFill>
                    <w14:schemeClr w14:val="tx1"/>
                  </w14:solidFill>
                </w14:textFill>
              </w:rPr>
            </w:pPr>
            <w:r>
              <w:rPr>
                <w:color w:val="000000" w:themeColor="text1"/>
                <w:szCs w:val="21"/>
                <w14:textFill>
                  <w14:solidFill>
                    <w14:schemeClr w14:val="tx1"/>
                  </w14:solidFill>
                </w14:textFill>
              </w:rPr>
              <w:t>2、入驻项目应遵循循环经济理念，实施清洁生产，延长产业链</w:t>
            </w:r>
          </w:p>
          <w:p w14:paraId="6153A404">
            <w:pPr>
              <w:pStyle w:val="39"/>
              <w:rPr>
                <w:color w:val="000000" w:themeColor="text1"/>
                <w:szCs w:val="21"/>
                <w14:textFill>
                  <w14:solidFill>
                    <w14:schemeClr w14:val="tx1"/>
                  </w14:solidFill>
                </w14:textFill>
              </w:rPr>
            </w:pPr>
            <w:r>
              <w:rPr>
                <w:color w:val="000000" w:themeColor="text1"/>
                <w:szCs w:val="21"/>
                <w14:textFill>
                  <w14:solidFill>
                    <w14:schemeClr w14:val="tx1"/>
                  </w14:solidFill>
                </w14:textFill>
              </w:rPr>
              <w:t>3、完善副产品和废物的综合利用产业链，减少废物的产生和排放。</w:t>
            </w:r>
          </w:p>
          <w:p w14:paraId="6E918EE2">
            <w:pPr>
              <w:pStyle w:val="39"/>
              <w:rPr>
                <w:color w:val="000000" w:themeColor="text1"/>
                <w:szCs w:val="21"/>
                <w14:textFill>
                  <w14:solidFill>
                    <w14:schemeClr w14:val="tx1"/>
                  </w14:solidFill>
                </w14:textFill>
              </w:rPr>
            </w:pPr>
            <w:r>
              <w:rPr>
                <w:color w:val="000000" w:themeColor="text1"/>
                <w:szCs w:val="21"/>
                <w14:textFill>
                  <w14:solidFill>
                    <w14:schemeClr w14:val="tx1"/>
                  </w14:solidFill>
                </w14:textFill>
              </w:rPr>
              <w:t>4、严格落实规划环评及批复文件要求，规划调整修编时应同步开展规划环评。</w:t>
            </w:r>
          </w:p>
          <w:p w14:paraId="3726E671">
            <w:pPr>
              <w:pStyle w:val="39"/>
              <w:rPr>
                <w:color w:val="000000" w:themeColor="text1"/>
                <w:spacing w:val="-4"/>
                <w:szCs w:val="21"/>
                <w14:textFill>
                  <w14:solidFill>
                    <w14:schemeClr w14:val="tx1"/>
                  </w14:solidFill>
                </w14:textFill>
              </w:rPr>
            </w:pPr>
            <w:r>
              <w:rPr>
                <w:color w:val="000000" w:themeColor="text1"/>
                <w:szCs w:val="21"/>
                <w14:textFill>
                  <w14:solidFill>
                    <w14:schemeClr w14:val="tx1"/>
                  </w14:solidFill>
                </w14:textFill>
              </w:rPr>
              <w:t>5、新建、改建、扩建“两高”项目须符合生态环境保护法律法规和相关法定规划，满足重点污然物排放总量控制、碳排放达峰目标、生态环境准入清单、相关规划环评和相应行业建设项目环境准入条件、环评文件审批原则要求。</w:t>
            </w:r>
          </w:p>
        </w:tc>
        <w:tc>
          <w:tcPr>
            <w:tcW w:w="1069" w:type="pct"/>
            <w:vAlign w:val="center"/>
          </w:tcPr>
          <w:p w14:paraId="2E96F976">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1、本项目属于新建项目，属于</w:t>
            </w:r>
            <w:r>
              <w:rPr>
                <w:rFonts w:hint="eastAsia"/>
                <w:color w:val="000000" w:themeColor="text1"/>
                <w:szCs w:val="21"/>
                <w14:textFill>
                  <w14:solidFill>
                    <w14:schemeClr w14:val="tx1"/>
                  </w14:solidFill>
                </w14:textFill>
              </w:rPr>
              <w:t>酒、饮料</w:t>
            </w:r>
            <w:r>
              <w:rPr>
                <w:color w:val="000000" w:themeColor="text1"/>
                <w:szCs w:val="21"/>
                <w14:textFill>
                  <w14:solidFill>
                    <w14:schemeClr w14:val="tx1"/>
                  </w14:solidFill>
                </w14:textFill>
              </w:rPr>
              <w:t>和</w:t>
            </w:r>
            <w:r>
              <w:rPr>
                <w:rFonts w:hint="eastAsia"/>
                <w:color w:val="000000" w:themeColor="text1"/>
                <w:szCs w:val="21"/>
                <w14:textFill>
                  <w14:solidFill>
                    <w14:schemeClr w14:val="tx1"/>
                  </w14:solidFill>
                </w14:textFill>
              </w:rPr>
              <w:t>医药用品</w:t>
            </w:r>
            <w:r>
              <w:rPr>
                <w:color w:val="000000" w:themeColor="text1"/>
                <w:szCs w:val="21"/>
                <w14:textFill>
                  <w14:solidFill>
                    <w14:schemeClr w14:val="tx1"/>
                  </w14:solidFill>
                </w14:textFill>
              </w:rPr>
              <w:t>制造业，</w:t>
            </w:r>
            <w:r>
              <w:rPr>
                <w:rFonts w:hint="eastAsia"/>
                <w:color w:val="000000" w:themeColor="text1"/>
                <w:szCs w:val="21"/>
                <w14:textFill>
                  <w14:solidFill>
                    <w14:schemeClr w14:val="tx1"/>
                  </w14:solidFill>
                </w14:textFill>
              </w:rPr>
              <w:t>不属于</w:t>
            </w:r>
            <w:r>
              <w:rPr>
                <w:color w:val="000000" w:themeColor="text1"/>
                <w:szCs w:val="21"/>
                <w14:textFill>
                  <w14:solidFill>
                    <w14:schemeClr w14:val="tx1"/>
                  </w14:solidFill>
                </w14:textFill>
              </w:rPr>
              <w:t>新建石化、有化学反应的化工、化学合成原料药、煤化工、制浆造纸项目；</w:t>
            </w:r>
          </w:p>
          <w:p w14:paraId="3FA38FC2">
            <w:pPr>
              <w:rPr>
                <w:color w:val="000000" w:themeColor="text1"/>
                <w:szCs w:val="21"/>
                <w14:textFill>
                  <w14:solidFill>
                    <w14:schemeClr w14:val="tx1"/>
                  </w14:solidFill>
                </w14:textFill>
              </w:rPr>
            </w:pPr>
            <w:r>
              <w:rPr>
                <w:color w:val="000000" w:themeColor="text1"/>
                <w:szCs w:val="21"/>
                <w14:textFill>
                  <w14:solidFill>
                    <w14:schemeClr w14:val="tx1"/>
                  </w14:solidFill>
                </w14:textFill>
              </w:rPr>
              <w:t>2、项目清洁生产预计能够达到国内先进水平；</w:t>
            </w:r>
          </w:p>
          <w:p w14:paraId="04B8E103">
            <w:pPr>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3、本项目不涉及；</w:t>
            </w:r>
          </w:p>
          <w:p w14:paraId="58C7368F">
            <w:pPr>
              <w:rPr>
                <w:color w:val="000000" w:themeColor="text1"/>
                <w:szCs w:val="21"/>
                <w14:textFill>
                  <w14:solidFill>
                    <w14:schemeClr w14:val="tx1"/>
                  </w14:solidFill>
                </w14:textFill>
              </w:rPr>
            </w:pPr>
            <w:r>
              <w:rPr>
                <w:color w:val="000000" w:themeColor="text1"/>
                <w:szCs w:val="21"/>
                <w14:textFill>
                  <w14:solidFill>
                    <w14:schemeClr w14:val="tx1"/>
                  </w14:solidFill>
                </w14:textFill>
              </w:rPr>
              <w:t>4、本项目不涉及；</w:t>
            </w:r>
          </w:p>
          <w:p w14:paraId="4D3A08E4">
            <w:pPr>
              <w:rPr>
                <w:color w:val="000000" w:themeColor="text1"/>
                <w14:textFill>
                  <w14:solidFill>
                    <w14:schemeClr w14:val="tx1"/>
                  </w14:solidFill>
                </w14:textFill>
              </w:rPr>
            </w:pPr>
            <w:r>
              <w:rPr>
                <w:color w:val="000000" w:themeColor="text1"/>
                <w:szCs w:val="21"/>
                <w14:textFill>
                  <w14:solidFill>
                    <w14:schemeClr w14:val="tx1"/>
                  </w14:solidFill>
                </w14:textFill>
              </w:rPr>
              <w:t>5、本项目不属于新建、改建、扩建“两高”项目；</w:t>
            </w:r>
          </w:p>
        </w:tc>
        <w:tc>
          <w:tcPr>
            <w:tcW w:w="239" w:type="pct"/>
            <w:vAlign w:val="center"/>
          </w:tcPr>
          <w:p w14:paraId="105130A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7EF1B5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59AD1A70">
            <w:pPr>
              <w:pStyle w:val="39"/>
              <w:jc w:val="center"/>
              <w:rPr>
                <w:rFonts w:ascii="Times New Roman" w:hAnsi="Times New Roman"/>
                <w:color w:val="000000" w:themeColor="text1"/>
                <w:szCs w:val="21"/>
                <w14:textFill>
                  <w14:solidFill>
                    <w14:schemeClr w14:val="tx1"/>
                  </w14:solidFill>
                </w14:textFill>
              </w:rPr>
            </w:pPr>
          </w:p>
        </w:tc>
        <w:tc>
          <w:tcPr>
            <w:tcW w:w="224" w:type="pct"/>
            <w:vMerge w:val="continue"/>
            <w:vAlign w:val="center"/>
          </w:tcPr>
          <w:p w14:paraId="0C93BAB2">
            <w:pPr>
              <w:pStyle w:val="39"/>
              <w:jc w:val="center"/>
              <w:rPr>
                <w:rFonts w:ascii="Times New Roman" w:hAnsi="Times New Roman"/>
                <w:color w:val="000000" w:themeColor="text1"/>
                <w:szCs w:val="21"/>
                <w14:textFill>
                  <w14:solidFill>
                    <w14:schemeClr w14:val="tx1"/>
                  </w14:solidFill>
                </w14:textFill>
              </w:rPr>
            </w:pPr>
          </w:p>
        </w:tc>
        <w:tc>
          <w:tcPr>
            <w:tcW w:w="150" w:type="pct"/>
            <w:vMerge w:val="continue"/>
            <w:vAlign w:val="center"/>
          </w:tcPr>
          <w:p w14:paraId="0B6FC6CA">
            <w:pPr>
              <w:jc w:val="center"/>
              <w:rPr>
                <w:color w:val="000000" w:themeColor="text1"/>
                <w14:textFill>
                  <w14:solidFill>
                    <w14:schemeClr w14:val="tx1"/>
                  </w14:solidFill>
                </w14:textFill>
              </w:rPr>
            </w:pPr>
          </w:p>
        </w:tc>
        <w:tc>
          <w:tcPr>
            <w:tcW w:w="153" w:type="pct"/>
            <w:vMerge w:val="continue"/>
            <w:vAlign w:val="center"/>
          </w:tcPr>
          <w:p w14:paraId="34ECEBB2">
            <w:pPr>
              <w:jc w:val="center"/>
              <w:rPr>
                <w:color w:val="000000" w:themeColor="text1"/>
                <w14:textFill>
                  <w14:solidFill>
                    <w14:schemeClr w14:val="tx1"/>
                  </w14:solidFill>
                </w14:textFill>
              </w:rPr>
            </w:pPr>
          </w:p>
        </w:tc>
        <w:tc>
          <w:tcPr>
            <w:tcW w:w="153" w:type="pct"/>
            <w:vMerge w:val="continue"/>
            <w:vAlign w:val="center"/>
          </w:tcPr>
          <w:p w14:paraId="3EF76669">
            <w:pPr>
              <w:jc w:val="center"/>
              <w:rPr>
                <w:color w:val="000000" w:themeColor="text1"/>
                <w14:textFill>
                  <w14:solidFill>
                    <w14:schemeClr w14:val="tx1"/>
                  </w14:solidFill>
                </w14:textFill>
              </w:rPr>
            </w:pPr>
          </w:p>
        </w:tc>
        <w:tc>
          <w:tcPr>
            <w:tcW w:w="158" w:type="pct"/>
            <w:vMerge w:val="continue"/>
            <w:vAlign w:val="center"/>
          </w:tcPr>
          <w:p w14:paraId="676BD71A">
            <w:pPr>
              <w:jc w:val="center"/>
              <w:rPr>
                <w:color w:val="000000" w:themeColor="text1"/>
                <w14:textFill>
                  <w14:solidFill>
                    <w14:schemeClr w14:val="tx1"/>
                  </w14:solidFill>
                </w14:textFill>
              </w:rPr>
            </w:pPr>
          </w:p>
        </w:tc>
        <w:tc>
          <w:tcPr>
            <w:tcW w:w="257" w:type="pct"/>
            <w:vMerge w:val="continue"/>
            <w:vAlign w:val="center"/>
          </w:tcPr>
          <w:p w14:paraId="676B2AD5">
            <w:pPr>
              <w:jc w:val="center"/>
              <w:rPr>
                <w:color w:val="000000" w:themeColor="text1"/>
                <w14:textFill>
                  <w14:solidFill>
                    <w14:schemeClr w14:val="tx1"/>
                  </w14:solidFill>
                </w14:textFill>
              </w:rPr>
            </w:pPr>
          </w:p>
        </w:tc>
        <w:tc>
          <w:tcPr>
            <w:tcW w:w="225" w:type="pct"/>
            <w:shd w:val="clear" w:color="auto" w:fill="auto"/>
            <w:vAlign w:val="center"/>
          </w:tcPr>
          <w:p w14:paraId="4F7EA113">
            <w:pP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1721" w:type="pct"/>
            <w:shd w:val="clear" w:color="auto" w:fill="auto"/>
            <w:vAlign w:val="center"/>
          </w:tcPr>
          <w:p w14:paraId="4CF4C66B">
            <w:pPr>
              <w:pStyle w:val="39"/>
              <w:rPr>
                <w:color w:val="000000" w:themeColor="text1"/>
                <w:szCs w:val="21"/>
                <w14:textFill>
                  <w14:solidFill>
                    <w14:schemeClr w14:val="tx1"/>
                  </w14:solidFill>
                </w14:textFill>
              </w:rPr>
            </w:pPr>
            <w:r>
              <w:rPr>
                <w:color w:val="000000" w:themeColor="text1"/>
                <w:szCs w:val="21"/>
                <w14:textFill>
                  <w14:solidFill>
                    <w14:schemeClr w14:val="tx1"/>
                  </w14:solidFill>
                </w14:textFill>
              </w:rPr>
              <w:t>1、继续推进集中供热、供气，新建项目不得建设燃煤锅炉，关闭集中供热范围内自备燃煤锅炉。</w:t>
            </w:r>
          </w:p>
          <w:p w14:paraId="1574B3A2">
            <w:pPr>
              <w:pStyle w:val="39"/>
              <w:rPr>
                <w:color w:val="000000" w:themeColor="text1"/>
                <w:szCs w:val="21"/>
                <w14:textFill>
                  <w14:solidFill>
                    <w14:schemeClr w14:val="tx1"/>
                  </w14:solidFill>
                </w14:textFill>
              </w:rPr>
            </w:pPr>
            <w:r>
              <w:rPr>
                <w:color w:val="000000" w:themeColor="text1"/>
                <w:szCs w:val="21"/>
                <w14:textFill>
                  <w14:solidFill>
                    <w14:schemeClr w14:val="tx1"/>
                  </w14:solidFill>
                </w14:textFill>
              </w:rPr>
              <w:t>2、新改扩建设项目主要污染物排放应满足总量减排要求。</w:t>
            </w:r>
          </w:p>
          <w:p w14:paraId="66067782">
            <w:pPr>
              <w:pStyle w:val="39"/>
              <w:rPr>
                <w:color w:val="000000" w:themeColor="text1"/>
                <w:szCs w:val="21"/>
                <w14:textFill>
                  <w14:solidFill>
                    <w14:schemeClr w14:val="tx1"/>
                  </w14:solidFill>
                </w14:textFill>
              </w:rPr>
            </w:pPr>
            <w:r>
              <w:rPr>
                <w:color w:val="000000" w:themeColor="text1"/>
                <w:szCs w:val="21"/>
                <w14:textFill>
                  <w14:solidFill>
                    <w14:schemeClr w14:val="tx1"/>
                  </w14:solidFill>
                </w14:textFill>
              </w:rPr>
              <w:t>3、新建、改建、扩建涉VOCs排放项目应加强废气收集，完善废气收集治理措施，严格VOCs无组织排放治理。</w:t>
            </w:r>
          </w:p>
          <w:p w14:paraId="18A16581">
            <w:pPr>
              <w:pStyle w:val="39"/>
              <w:rPr>
                <w:color w:val="000000" w:themeColor="text1"/>
                <w:szCs w:val="21"/>
                <w14:textFill>
                  <w14:solidFill>
                    <w14:schemeClr w14:val="tx1"/>
                  </w14:solidFill>
                </w14:textFill>
              </w:rPr>
            </w:pPr>
            <w:r>
              <w:rPr>
                <w:color w:val="000000" w:themeColor="text1"/>
                <w:szCs w:val="21"/>
                <w14:textFill>
                  <w14:solidFill>
                    <w14:schemeClr w14:val="tx1"/>
                  </w14:solidFill>
                </w14:textFill>
              </w:rPr>
              <w:t>4、按照“清污分流、雨污分流、中水回用”的要求，完善配套污水管网，确保入区企业外排废水全部经管网收集后进入污水处理厂处理，出水执行《城镇污水处理厂污染物排放标准》（GB18918)一级A标准。</w:t>
            </w:r>
          </w:p>
          <w:p w14:paraId="6AE87E8C">
            <w:pPr>
              <w:pStyle w:val="39"/>
              <w:rPr>
                <w:color w:val="000000" w:themeColor="text1"/>
                <w:szCs w:val="21"/>
                <w14:textFill>
                  <w14:solidFill>
                    <w14:schemeClr w14:val="tx1"/>
                  </w14:solidFill>
                </w14:textFill>
              </w:rPr>
            </w:pPr>
            <w:r>
              <w:rPr>
                <w:color w:val="000000" w:themeColor="text1"/>
                <w:szCs w:val="21"/>
                <w14:textFill>
                  <w14:solidFill>
                    <w14:schemeClr w14:val="tx1"/>
                  </w14:solidFill>
                </w14:textFill>
              </w:rPr>
              <w:t>5、新建</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两高</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项目应按照《关于加强重点行业建设项目区域削减措施监督管理的通知》要求，依据区域环境质量改善目标，制定配套区域污染物削减方案，采取有效的污染物区域削减措施，腾出足够的环境容量。</w:t>
            </w:r>
          </w:p>
          <w:p w14:paraId="79653A11">
            <w:pPr>
              <w:pStyle w:val="39"/>
              <w:rPr>
                <w:color w:val="000000" w:themeColor="text1"/>
                <w:szCs w:val="21"/>
                <w14:textFill>
                  <w14:solidFill>
                    <w14:schemeClr w14:val="tx1"/>
                  </w14:solidFill>
                </w14:textFill>
              </w:rPr>
            </w:pPr>
            <w:r>
              <w:rPr>
                <w:color w:val="000000" w:themeColor="text1"/>
                <w:szCs w:val="21"/>
                <w14:textFill>
                  <w14:solidFill>
                    <w14:schemeClr w14:val="tx1"/>
                  </w14:solidFill>
                </w14:textFill>
              </w:rPr>
              <w:t>6、新建耗煤项目还应严格按规定采取煤炭消费减量替代措施，不得使用高污染燃料作为煤炭减量替代措施。</w:t>
            </w:r>
          </w:p>
          <w:p w14:paraId="37506177">
            <w:pPr>
              <w:pStyle w:val="39"/>
              <w:rPr>
                <w:color w:val="000000" w:themeColor="text1"/>
                <w:spacing w:val="-4"/>
                <w:szCs w:val="21"/>
                <w14:textFill>
                  <w14:solidFill>
                    <w14:schemeClr w14:val="tx1"/>
                  </w14:solidFill>
                </w14:textFill>
              </w:rPr>
            </w:pPr>
            <w:r>
              <w:rPr>
                <w:color w:val="000000" w:themeColor="text1"/>
                <w:szCs w:val="21"/>
                <w14:textFill>
                  <w14:solidFill>
                    <w14:schemeClr w14:val="tx1"/>
                  </w14:solidFill>
                </w14:textFill>
              </w:rPr>
              <w:t>7、已出台超低排放要求的两高“行业建设项目须满足超低排放要求。</w:t>
            </w:r>
          </w:p>
        </w:tc>
        <w:tc>
          <w:tcPr>
            <w:tcW w:w="1069" w:type="pct"/>
            <w:vAlign w:val="center"/>
          </w:tcPr>
          <w:p w14:paraId="5342EF9A">
            <w:pPr>
              <w:spacing w:line="240" w:lineRule="exact"/>
              <w:rPr>
                <w:color w:val="000000" w:themeColor="text1"/>
                <w:spacing w:val="-16"/>
                <w:szCs w:val="21"/>
                <w14:textFill>
                  <w14:solidFill>
                    <w14:schemeClr w14:val="tx1"/>
                  </w14:solidFill>
                </w14:textFill>
              </w:rPr>
            </w:pPr>
            <w:r>
              <w:rPr>
                <w:rFonts w:hint="eastAsia"/>
                <w:color w:val="000000" w:themeColor="text1"/>
                <w14:textFill>
                  <w14:solidFill>
                    <w14:schemeClr w14:val="tx1"/>
                  </w14:solidFill>
                </w14:textFill>
              </w:rPr>
              <w:t>1、</w:t>
            </w:r>
            <w:r>
              <w:rPr>
                <w:rFonts w:hint="eastAsia"/>
                <w:color w:val="000000" w:themeColor="text1"/>
                <w:szCs w:val="21"/>
                <w14:textFill>
                  <w14:solidFill>
                    <w14:schemeClr w14:val="tx1"/>
                  </w14:solidFill>
                </w14:textFill>
              </w:rPr>
              <w:t>本项目不涉及</w:t>
            </w:r>
            <w:r>
              <w:rPr>
                <w:color w:val="000000" w:themeColor="text1"/>
                <w:spacing w:val="-16"/>
                <w:szCs w:val="21"/>
                <w14:textFill>
                  <w14:solidFill>
                    <w14:schemeClr w14:val="tx1"/>
                  </w14:solidFill>
                </w14:textFill>
              </w:rPr>
              <w:t>；</w:t>
            </w:r>
          </w:p>
          <w:p w14:paraId="5E8A3A55">
            <w:pPr>
              <w:spacing w:line="240" w:lineRule="exact"/>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2、本项目为新建项目，项目主要污染物排放</w:t>
            </w:r>
            <w:r>
              <w:rPr>
                <w:color w:val="000000" w:themeColor="text1"/>
                <w:szCs w:val="21"/>
                <w14:textFill>
                  <w14:solidFill>
                    <w14:schemeClr w14:val="tx1"/>
                  </w14:solidFill>
                </w14:textFill>
              </w:rPr>
              <w:t>满足总量减排要求</w:t>
            </w:r>
            <w:r>
              <w:rPr>
                <w:rFonts w:hint="eastAsia"/>
                <w:color w:val="000000" w:themeColor="text1"/>
                <w:szCs w:val="21"/>
                <w14:textFill>
                  <w14:solidFill>
                    <w14:schemeClr w14:val="tx1"/>
                  </w14:solidFill>
                </w14:textFill>
              </w:rPr>
              <w:t>；</w:t>
            </w:r>
          </w:p>
          <w:p w14:paraId="36A603D3">
            <w:pPr>
              <w:pStyle w:val="39"/>
              <w:rPr>
                <w:color w:val="000000" w:themeColor="text1"/>
                <w:spacing w:val="-16"/>
                <w:szCs w:val="21"/>
                <w14:textFill>
                  <w14:solidFill>
                    <w14:schemeClr w14:val="tx1"/>
                  </w14:solidFill>
                </w14:textFill>
              </w:rPr>
            </w:pPr>
            <w:r>
              <w:rPr>
                <w:rFonts w:hint="eastAsia"/>
                <w:color w:val="000000" w:themeColor="text1"/>
                <w14:textFill>
                  <w14:solidFill>
                    <w14:schemeClr w14:val="tx1"/>
                  </w14:solidFill>
                </w14:textFill>
              </w:rPr>
              <w:t>3、</w:t>
            </w:r>
            <w:r>
              <w:rPr>
                <w:color w:val="000000" w:themeColor="text1"/>
                <w:szCs w:val="21"/>
                <w14:textFill>
                  <w14:solidFill>
                    <w14:schemeClr w14:val="tx1"/>
                  </w14:solidFill>
                </w14:textFill>
              </w:rPr>
              <w:t>本项目加强废气收集，完善废气收集治理措施，严格VOCs无组织排放治理</w:t>
            </w:r>
            <w:r>
              <w:rPr>
                <w:rFonts w:hint="eastAsia"/>
                <w:color w:val="000000" w:themeColor="text1"/>
                <w:szCs w:val="21"/>
                <w14:textFill>
                  <w14:solidFill>
                    <w14:schemeClr w14:val="tx1"/>
                  </w14:solidFill>
                </w14:textFill>
              </w:rPr>
              <w:t>；</w:t>
            </w:r>
          </w:p>
          <w:p w14:paraId="35897604">
            <w:pP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4、</w:t>
            </w:r>
            <w:r>
              <w:rPr>
                <w:color w:val="000000" w:themeColor="text1"/>
                <w:szCs w:val="21"/>
                <w14:textFill>
                  <w14:solidFill>
                    <w14:schemeClr w14:val="tx1"/>
                  </w14:solidFill>
                </w14:textFill>
              </w:rPr>
              <w:t>本项目不涉及</w:t>
            </w:r>
            <w:r>
              <w:rPr>
                <w:rFonts w:hint="eastAsia"/>
                <w:color w:val="000000" w:themeColor="text1"/>
                <w:szCs w:val="21"/>
                <w14:textFill>
                  <w14:solidFill>
                    <w14:schemeClr w14:val="tx1"/>
                  </w14:solidFill>
                </w14:textFill>
              </w:rPr>
              <w:t>；</w:t>
            </w:r>
          </w:p>
          <w:p w14:paraId="7EF20149">
            <w:pP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5、</w:t>
            </w:r>
            <w:r>
              <w:rPr>
                <w:color w:val="000000" w:themeColor="text1"/>
                <w:szCs w:val="21"/>
                <w14:textFill>
                  <w14:solidFill>
                    <w14:schemeClr w14:val="tx1"/>
                  </w14:solidFill>
                </w14:textFill>
              </w:rPr>
              <w:t>本项目不涉及</w:t>
            </w:r>
            <w:r>
              <w:rPr>
                <w:rFonts w:hint="eastAsia"/>
                <w:color w:val="000000" w:themeColor="text1"/>
                <w:szCs w:val="21"/>
                <w14:textFill>
                  <w14:solidFill>
                    <w14:schemeClr w14:val="tx1"/>
                  </w14:solidFill>
                </w14:textFill>
              </w:rPr>
              <w:t>；</w:t>
            </w:r>
          </w:p>
          <w:p w14:paraId="612B7461">
            <w:pP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6、</w:t>
            </w:r>
            <w:r>
              <w:rPr>
                <w:color w:val="000000" w:themeColor="text1"/>
                <w:szCs w:val="21"/>
                <w14:textFill>
                  <w14:solidFill>
                    <w14:schemeClr w14:val="tx1"/>
                  </w14:solidFill>
                </w14:textFill>
              </w:rPr>
              <w:t>本项目不涉及</w:t>
            </w:r>
            <w:r>
              <w:rPr>
                <w:rFonts w:hint="eastAsia"/>
                <w:color w:val="000000" w:themeColor="text1"/>
                <w:szCs w:val="21"/>
                <w14:textFill>
                  <w14:solidFill>
                    <w14:schemeClr w14:val="tx1"/>
                  </w14:solidFill>
                </w14:textFill>
              </w:rPr>
              <w:t>；</w:t>
            </w:r>
          </w:p>
          <w:p w14:paraId="18980719">
            <w:pPr>
              <w:rPr>
                <w:color w:val="000000" w:themeColor="text1"/>
                <w14:textFill>
                  <w14:solidFill>
                    <w14:schemeClr w14:val="tx1"/>
                  </w14:solidFill>
                </w14:textFill>
              </w:rPr>
            </w:pPr>
            <w:r>
              <w:rPr>
                <w:rFonts w:hint="eastAsia"/>
                <w:color w:val="000000" w:themeColor="text1"/>
                <w14:textFill>
                  <w14:solidFill>
                    <w14:schemeClr w14:val="tx1"/>
                  </w14:solidFill>
                </w14:textFill>
              </w:rPr>
              <w:t>7、</w:t>
            </w:r>
            <w:r>
              <w:rPr>
                <w:color w:val="000000" w:themeColor="text1"/>
                <w:szCs w:val="21"/>
                <w14:textFill>
                  <w14:solidFill>
                    <w14:schemeClr w14:val="tx1"/>
                  </w14:solidFill>
                </w14:textFill>
              </w:rPr>
              <w:t>本项目不涉及</w:t>
            </w:r>
            <w:r>
              <w:rPr>
                <w:rFonts w:hint="eastAsia"/>
                <w:color w:val="000000" w:themeColor="text1"/>
                <w:szCs w:val="21"/>
                <w14:textFill>
                  <w14:solidFill>
                    <w14:schemeClr w14:val="tx1"/>
                  </w14:solidFill>
                </w14:textFill>
              </w:rPr>
              <w:t>；</w:t>
            </w:r>
          </w:p>
        </w:tc>
        <w:tc>
          <w:tcPr>
            <w:tcW w:w="239" w:type="pct"/>
            <w:vAlign w:val="center"/>
          </w:tcPr>
          <w:p w14:paraId="1FC6B63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7418D25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2E126111">
            <w:pPr>
              <w:pStyle w:val="39"/>
              <w:jc w:val="center"/>
              <w:rPr>
                <w:rFonts w:ascii="Times New Roman" w:hAnsi="Times New Roman"/>
                <w:color w:val="000000" w:themeColor="text1"/>
                <w:szCs w:val="21"/>
                <w14:textFill>
                  <w14:solidFill>
                    <w14:schemeClr w14:val="tx1"/>
                  </w14:solidFill>
                </w14:textFill>
              </w:rPr>
            </w:pPr>
          </w:p>
        </w:tc>
        <w:tc>
          <w:tcPr>
            <w:tcW w:w="224" w:type="pct"/>
            <w:vMerge w:val="continue"/>
            <w:vAlign w:val="center"/>
          </w:tcPr>
          <w:p w14:paraId="7AC37530">
            <w:pPr>
              <w:pStyle w:val="39"/>
              <w:jc w:val="center"/>
              <w:rPr>
                <w:rFonts w:ascii="Times New Roman" w:hAnsi="Times New Roman"/>
                <w:color w:val="000000" w:themeColor="text1"/>
                <w:szCs w:val="21"/>
                <w14:textFill>
                  <w14:solidFill>
                    <w14:schemeClr w14:val="tx1"/>
                  </w14:solidFill>
                </w14:textFill>
              </w:rPr>
            </w:pPr>
          </w:p>
        </w:tc>
        <w:tc>
          <w:tcPr>
            <w:tcW w:w="150" w:type="pct"/>
            <w:vMerge w:val="continue"/>
            <w:vAlign w:val="center"/>
          </w:tcPr>
          <w:p w14:paraId="210EC0A6">
            <w:pPr>
              <w:jc w:val="center"/>
              <w:rPr>
                <w:color w:val="000000" w:themeColor="text1"/>
                <w14:textFill>
                  <w14:solidFill>
                    <w14:schemeClr w14:val="tx1"/>
                  </w14:solidFill>
                </w14:textFill>
              </w:rPr>
            </w:pPr>
          </w:p>
        </w:tc>
        <w:tc>
          <w:tcPr>
            <w:tcW w:w="153" w:type="pct"/>
            <w:vMerge w:val="continue"/>
            <w:vAlign w:val="center"/>
          </w:tcPr>
          <w:p w14:paraId="282AD8D0">
            <w:pPr>
              <w:jc w:val="center"/>
              <w:rPr>
                <w:color w:val="000000" w:themeColor="text1"/>
                <w14:textFill>
                  <w14:solidFill>
                    <w14:schemeClr w14:val="tx1"/>
                  </w14:solidFill>
                </w14:textFill>
              </w:rPr>
            </w:pPr>
          </w:p>
        </w:tc>
        <w:tc>
          <w:tcPr>
            <w:tcW w:w="153" w:type="pct"/>
            <w:vMerge w:val="continue"/>
            <w:vAlign w:val="center"/>
          </w:tcPr>
          <w:p w14:paraId="759E1D8B">
            <w:pPr>
              <w:jc w:val="center"/>
              <w:rPr>
                <w:color w:val="000000" w:themeColor="text1"/>
                <w14:textFill>
                  <w14:solidFill>
                    <w14:schemeClr w14:val="tx1"/>
                  </w14:solidFill>
                </w14:textFill>
              </w:rPr>
            </w:pPr>
          </w:p>
        </w:tc>
        <w:tc>
          <w:tcPr>
            <w:tcW w:w="158" w:type="pct"/>
            <w:vMerge w:val="continue"/>
            <w:vAlign w:val="center"/>
          </w:tcPr>
          <w:p w14:paraId="0A9B725B">
            <w:pPr>
              <w:jc w:val="center"/>
              <w:rPr>
                <w:color w:val="000000" w:themeColor="text1"/>
                <w14:textFill>
                  <w14:solidFill>
                    <w14:schemeClr w14:val="tx1"/>
                  </w14:solidFill>
                </w14:textFill>
              </w:rPr>
            </w:pPr>
          </w:p>
        </w:tc>
        <w:tc>
          <w:tcPr>
            <w:tcW w:w="257" w:type="pct"/>
            <w:vMerge w:val="continue"/>
            <w:vAlign w:val="center"/>
          </w:tcPr>
          <w:p w14:paraId="21CA3E4A">
            <w:pPr>
              <w:jc w:val="center"/>
              <w:rPr>
                <w:color w:val="000000" w:themeColor="text1"/>
                <w14:textFill>
                  <w14:solidFill>
                    <w14:schemeClr w14:val="tx1"/>
                  </w14:solidFill>
                </w14:textFill>
              </w:rPr>
            </w:pPr>
          </w:p>
        </w:tc>
        <w:tc>
          <w:tcPr>
            <w:tcW w:w="225" w:type="pct"/>
            <w:shd w:val="clear" w:color="auto" w:fill="auto"/>
            <w:vAlign w:val="center"/>
          </w:tcPr>
          <w:p w14:paraId="2CAEC8AF">
            <w:pPr>
              <w:snapToGrid w:val="0"/>
              <w:rPr>
                <w:color w:val="000000" w:themeColor="text1"/>
                <w:szCs w:val="21"/>
                <w14:textFill>
                  <w14:solidFill>
                    <w14:schemeClr w14:val="tx1"/>
                  </w14:solidFill>
                </w14:textFill>
              </w:rPr>
            </w:pPr>
            <w:r>
              <w:rPr>
                <w:bCs/>
                <w:color w:val="000000" w:themeColor="text1"/>
                <w:szCs w:val="21"/>
                <w14:textFill>
                  <w14:solidFill>
                    <w14:schemeClr w14:val="tx1"/>
                  </w14:solidFill>
                </w14:textFill>
              </w:rPr>
              <w:t>环境风险防控</w:t>
            </w:r>
          </w:p>
        </w:tc>
        <w:tc>
          <w:tcPr>
            <w:tcW w:w="1721" w:type="pct"/>
            <w:shd w:val="clear" w:color="auto" w:fill="auto"/>
            <w:vAlign w:val="center"/>
          </w:tcPr>
          <w:p w14:paraId="0EEC0B59">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4"/>
                <w:lang w:eastAsia="zh-CN"/>
                <w14:textFill>
                  <w14:solidFill>
                    <w14:schemeClr w14:val="tx1"/>
                  </w14:solidFill>
                </w14:textFill>
              </w:rPr>
              <w:t>1、加强先进制造业开发区环境安全管理工作，严格危险化学品管理，减少环境风险。</w:t>
            </w:r>
          </w:p>
          <w:p w14:paraId="7EAC50CA">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4"/>
                <w:lang w:eastAsia="zh-CN"/>
                <w14:textFill>
                  <w14:solidFill>
                    <w14:schemeClr w14:val="tx1"/>
                  </w14:solidFill>
                </w14:textFill>
              </w:rPr>
              <w:t>2、建立先进制造业开发区风险 防范体系以及风险防范应急预案；基础设施和企业内部生产运营管理中，认真落实环境风险防范措施，杜绝发生污染事故。</w:t>
            </w:r>
          </w:p>
          <w:p w14:paraId="083808DE">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4"/>
                <w:lang w:eastAsia="zh-CN"/>
                <w14:textFill>
                  <w14:solidFill>
                    <w14:schemeClr w14:val="tx1"/>
                  </w14:solidFill>
                </w14:textFill>
              </w:rPr>
              <w:t>3、定期对地下水质进行监测，发现问题，及时采取有效防治措施，避免对地下水造成污染。</w:t>
            </w:r>
          </w:p>
        </w:tc>
        <w:tc>
          <w:tcPr>
            <w:tcW w:w="1069" w:type="pct"/>
            <w:shd w:val="clear" w:color="auto" w:fill="auto"/>
            <w:vAlign w:val="center"/>
          </w:tcPr>
          <w:p w14:paraId="4B68E6D5">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项目属于</w:t>
            </w:r>
            <w:r>
              <w:rPr>
                <w:rFonts w:hint="eastAsia"/>
                <w:color w:val="000000" w:themeColor="text1"/>
                <w:szCs w:val="21"/>
                <w14:textFill>
                  <w14:solidFill>
                    <w14:schemeClr w14:val="tx1"/>
                  </w14:solidFill>
                </w14:textFill>
              </w:rPr>
              <w:t>酒、饮料</w:t>
            </w:r>
            <w:r>
              <w:rPr>
                <w:color w:val="000000" w:themeColor="text1"/>
                <w:szCs w:val="21"/>
                <w14:textFill>
                  <w14:solidFill>
                    <w14:schemeClr w14:val="tx1"/>
                  </w14:solidFill>
                </w14:textFill>
              </w:rPr>
              <w:t>和</w:t>
            </w:r>
            <w:r>
              <w:rPr>
                <w:rFonts w:hint="eastAsia"/>
                <w:color w:val="000000" w:themeColor="text1"/>
                <w:szCs w:val="21"/>
                <w14:textFill>
                  <w14:solidFill>
                    <w14:schemeClr w14:val="tx1"/>
                  </w14:solidFill>
                </w14:textFill>
              </w:rPr>
              <w:t>医药用品</w:t>
            </w:r>
            <w:r>
              <w:rPr>
                <w:color w:val="000000" w:themeColor="text1"/>
                <w:szCs w:val="21"/>
                <w14:textFill>
                  <w14:solidFill>
                    <w14:schemeClr w14:val="tx1"/>
                  </w14:solidFill>
                </w14:textFill>
              </w:rPr>
              <w:t>制造业，环评要求企业运营期建立环境风险应急预案，落实环境风险防范措施，杜绝发生污染事故</w:t>
            </w:r>
          </w:p>
        </w:tc>
        <w:tc>
          <w:tcPr>
            <w:tcW w:w="239" w:type="pct"/>
            <w:vAlign w:val="center"/>
          </w:tcPr>
          <w:p w14:paraId="09FD8AC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26395E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3BF2A1DF">
            <w:pPr>
              <w:jc w:val="center"/>
              <w:rPr>
                <w:color w:val="000000" w:themeColor="text1"/>
                <w14:textFill>
                  <w14:solidFill>
                    <w14:schemeClr w14:val="tx1"/>
                  </w14:solidFill>
                </w14:textFill>
              </w:rPr>
            </w:pPr>
          </w:p>
        </w:tc>
        <w:tc>
          <w:tcPr>
            <w:tcW w:w="224" w:type="pct"/>
            <w:vMerge w:val="continue"/>
          </w:tcPr>
          <w:p w14:paraId="24F47CCF">
            <w:pPr>
              <w:jc w:val="center"/>
              <w:rPr>
                <w:color w:val="000000" w:themeColor="text1"/>
                <w14:textFill>
                  <w14:solidFill>
                    <w14:schemeClr w14:val="tx1"/>
                  </w14:solidFill>
                </w14:textFill>
              </w:rPr>
            </w:pPr>
          </w:p>
        </w:tc>
        <w:tc>
          <w:tcPr>
            <w:tcW w:w="150" w:type="pct"/>
            <w:vMerge w:val="continue"/>
          </w:tcPr>
          <w:p w14:paraId="5127E72D">
            <w:pPr>
              <w:jc w:val="center"/>
              <w:rPr>
                <w:color w:val="000000" w:themeColor="text1"/>
                <w14:textFill>
                  <w14:solidFill>
                    <w14:schemeClr w14:val="tx1"/>
                  </w14:solidFill>
                </w14:textFill>
              </w:rPr>
            </w:pPr>
          </w:p>
        </w:tc>
        <w:tc>
          <w:tcPr>
            <w:tcW w:w="153" w:type="pct"/>
            <w:vMerge w:val="continue"/>
          </w:tcPr>
          <w:p w14:paraId="1ED8A1F1">
            <w:pPr>
              <w:jc w:val="center"/>
              <w:rPr>
                <w:color w:val="000000" w:themeColor="text1"/>
                <w14:textFill>
                  <w14:solidFill>
                    <w14:schemeClr w14:val="tx1"/>
                  </w14:solidFill>
                </w14:textFill>
              </w:rPr>
            </w:pPr>
          </w:p>
        </w:tc>
        <w:tc>
          <w:tcPr>
            <w:tcW w:w="153" w:type="pct"/>
            <w:vMerge w:val="continue"/>
          </w:tcPr>
          <w:p w14:paraId="39F05F30">
            <w:pPr>
              <w:jc w:val="center"/>
              <w:rPr>
                <w:color w:val="000000" w:themeColor="text1"/>
                <w14:textFill>
                  <w14:solidFill>
                    <w14:schemeClr w14:val="tx1"/>
                  </w14:solidFill>
                </w14:textFill>
              </w:rPr>
            </w:pPr>
          </w:p>
        </w:tc>
        <w:tc>
          <w:tcPr>
            <w:tcW w:w="158" w:type="pct"/>
            <w:vMerge w:val="continue"/>
          </w:tcPr>
          <w:p w14:paraId="6DCEA840">
            <w:pPr>
              <w:jc w:val="center"/>
              <w:rPr>
                <w:color w:val="000000" w:themeColor="text1"/>
                <w14:textFill>
                  <w14:solidFill>
                    <w14:schemeClr w14:val="tx1"/>
                  </w14:solidFill>
                </w14:textFill>
              </w:rPr>
            </w:pPr>
          </w:p>
        </w:tc>
        <w:tc>
          <w:tcPr>
            <w:tcW w:w="257" w:type="pct"/>
            <w:vMerge w:val="continue"/>
          </w:tcPr>
          <w:p w14:paraId="3D765954">
            <w:pPr>
              <w:jc w:val="center"/>
              <w:rPr>
                <w:color w:val="000000" w:themeColor="text1"/>
                <w14:textFill>
                  <w14:solidFill>
                    <w14:schemeClr w14:val="tx1"/>
                  </w14:solidFill>
                </w14:textFill>
              </w:rPr>
            </w:pPr>
          </w:p>
        </w:tc>
        <w:tc>
          <w:tcPr>
            <w:tcW w:w="225" w:type="pct"/>
            <w:tcBorders>
              <w:bottom w:val="single" w:color="auto" w:sz="4" w:space="0"/>
            </w:tcBorders>
            <w:shd w:val="clear" w:color="auto" w:fill="auto"/>
            <w:vAlign w:val="center"/>
          </w:tcPr>
          <w:p w14:paraId="7A336E7B">
            <w:pPr>
              <w:snapToGrid w:val="0"/>
              <w:rPr>
                <w:bCs/>
                <w:color w:val="000000" w:themeColor="text1"/>
                <w:szCs w:val="21"/>
                <w14:textFill>
                  <w14:solidFill>
                    <w14:schemeClr w14:val="tx1"/>
                  </w14:solidFill>
                </w14:textFill>
              </w:rPr>
            </w:pPr>
            <w:r>
              <w:rPr>
                <w:color w:val="000000" w:themeColor="text1"/>
                <w:spacing w:val="-5"/>
                <w:szCs w:val="21"/>
                <w14:textFill>
                  <w14:solidFill>
                    <w14:schemeClr w14:val="tx1"/>
                  </w14:solidFill>
                </w14:textFill>
              </w:rPr>
              <w:t>资源开发</w:t>
            </w:r>
            <w:r>
              <w:rPr>
                <w:color w:val="000000" w:themeColor="text1"/>
                <w:spacing w:val="-4"/>
                <w:szCs w:val="21"/>
                <w14:textFill>
                  <w14:solidFill>
                    <w14:schemeClr w14:val="tx1"/>
                  </w14:solidFill>
                </w14:textFill>
              </w:rPr>
              <w:t>效率要求</w:t>
            </w:r>
          </w:p>
        </w:tc>
        <w:tc>
          <w:tcPr>
            <w:tcW w:w="1721" w:type="pct"/>
            <w:tcBorders>
              <w:bottom w:val="single" w:color="auto" w:sz="4" w:space="0"/>
            </w:tcBorders>
            <w:shd w:val="clear" w:color="auto" w:fill="auto"/>
            <w:vAlign w:val="center"/>
          </w:tcPr>
          <w:p w14:paraId="4A31A6B8">
            <w:pPr>
              <w:pStyle w:val="40"/>
              <w:rPr>
                <w:rFonts w:ascii="Times New Roman" w:hAnsi="Times New Roman" w:cs="Times New Roman"/>
                <w:color w:val="000000" w:themeColor="text1"/>
                <w:spacing w:val="-3"/>
                <w:lang w:eastAsia="zh-CN"/>
                <w14:textFill>
                  <w14:solidFill>
                    <w14:schemeClr w14:val="tx1"/>
                  </w14:solidFill>
                </w14:textFill>
              </w:rPr>
            </w:pPr>
            <w:r>
              <w:rPr>
                <w:rFonts w:ascii="Times New Roman" w:hAnsi="Times New Roman" w:cs="Times New Roman"/>
                <w:color w:val="000000" w:themeColor="text1"/>
                <w:spacing w:val="-6"/>
                <w:lang w:eastAsia="zh-CN"/>
                <w14:textFill>
                  <w14:solidFill>
                    <w14:schemeClr w14:val="tx1"/>
                  </w14:solidFill>
                </w14:textFill>
              </w:rPr>
              <w:t>1、区内企</w:t>
            </w:r>
            <w:r>
              <w:rPr>
                <w:rFonts w:ascii="Times New Roman" w:hAnsi="Times New Roman" w:cs="Times New Roman"/>
                <w:color w:val="000000" w:themeColor="text1"/>
                <w:spacing w:val="-3"/>
                <w:lang w:eastAsia="zh-CN"/>
                <w14:textFill>
                  <w14:solidFill>
                    <w14:schemeClr w14:val="tx1"/>
                  </w14:solidFill>
                </w14:textFill>
              </w:rPr>
              <w:t>业应不断提高资源能源利用效率，新改扩建建设项目的清洁生产水平应达到国内先进水平。</w:t>
            </w:r>
          </w:p>
          <w:p w14:paraId="00156B3B">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2、先进制造业开发区应加大中水回用力度，建设再生水回用配套设施，提高再生水利用率。</w:t>
            </w:r>
          </w:p>
        </w:tc>
        <w:tc>
          <w:tcPr>
            <w:tcW w:w="1069" w:type="pct"/>
            <w:tcBorders>
              <w:bottom w:val="single" w:color="auto" w:sz="4" w:space="0"/>
            </w:tcBorders>
            <w:shd w:val="clear" w:color="auto" w:fill="auto"/>
            <w:vAlign w:val="center"/>
          </w:tcPr>
          <w:p w14:paraId="5CC5C784">
            <w:pPr>
              <w:pStyle w:val="40"/>
              <w:rPr>
                <w:rFonts w:ascii="Times New Roman" w:hAnsi="Times New Roman" w:cs="Times New Roman"/>
                <w:color w:val="000000" w:themeColor="text1"/>
                <w:spacing w:val="-2"/>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1、</w:t>
            </w:r>
            <w:r>
              <w:rPr>
                <w:rFonts w:ascii="Times New Roman" w:hAnsi="Times New Roman" w:cs="Times New Roman"/>
                <w:color w:val="000000" w:themeColor="text1"/>
                <w:lang w:eastAsia="zh-CN"/>
                <w14:textFill>
                  <w14:solidFill>
                    <w14:schemeClr w14:val="tx1"/>
                  </w14:solidFill>
                </w14:textFill>
              </w:rPr>
              <w:t>评价要求企业</w:t>
            </w:r>
            <w:r>
              <w:rPr>
                <w:rFonts w:ascii="Times New Roman" w:hAnsi="Times New Roman" w:cs="Times New Roman"/>
                <w:color w:val="000000" w:themeColor="text1"/>
                <w:spacing w:val="-2"/>
                <w:lang w:eastAsia="zh-CN"/>
                <w14:textFill>
                  <w14:solidFill>
                    <w14:schemeClr w14:val="tx1"/>
                  </w14:solidFill>
                </w14:textFill>
              </w:rPr>
              <w:t>应不断提高资源能源利用效率，</w:t>
            </w:r>
            <w:r>
              <w:rPr>
                <w:rFonts w:ascii="Times New Roman" w:hAnsi="Times New Roman" w:cs="Times New Roman"/>
                <w:color w:val="000000" w:themeColor="text1"/>
                <w:lang w:eastAsia="zh-CN"/>
                <w14:textFill>
                  <w14:solidFill>
                    <w14:schemeClr w14:val="tx1"/>
                  </w14:solidFill>
                </w14:textFill>
              </w:rPr>
              <w:t>严格遵循循环经济理念，实施清洁生产，</w:t>
            </w:r>
            <w:r>
              <w:rPr>
                <w:rFonts w:ascii="Times New Roman" w:hAnsi="Times New Roman" w:cs="Times New Roman"/>
                <w:color w:val="000000" w:themeColor="text1"/>
                <w:spacing w:val="-2"/>
                <w:lang w:eastAsia="zh-CN"/>
                <w14:textFill>
                  <w14:solidFill>
                    <w14:schemeClr w14:val="tx1"/>
                  </w14:solidFill>
                </w14:textFill>
              </w:rPr>
              <w:t>清洁生产水平应达到国内先进水平。</w:t>
            </w:r>
          </w:p>
          <w:p w14:paraId="1285C13D">
            <w:pPr>
              <w:pStyle w:val="40"/>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2、</w:t>
            </w:r>
            <w:r>
              <w:rPr>
                <w:rFonts w:ascii="Times New Roman" w:hAnsi="Times New Roman" w:cs="Times New Roman"/>
                <w:color w:val="000000" w:themeColor="text1"/>
                <w:spacing w:val="-2"/>
                <w:lang w:eastAsia="zh-CN"/>
                <w14:textFill>
                  <w14:solidFill>
                    <w14:schemeClr w14:val="tx1"/>
                  </w14:solidFill>
                </w14:textFill>
              </w:rPr>
              <w:t>本项目不涉及</w:t>
            </w:r>
          </w:p>
        </w:tc>
        <w:tc>
          <w:tcPr>
            <w:tcW w:w="239" w:type="pct"/>
            <w:tcBorders>
              <w:bottom w:val="single" w:color="auto" w:sz="4" w:space="0"/>
            </w:tcBorders>
            <w:vAlign w:val="center"/>
          </w:tcPr>
          <w:p w14:paraId="5A1F1D9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5C36A1D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restart"/>
            <w:shd w:val="clear" w:color="auto" w:fill="auto"/>
            <w:vAlign w:val="center"/>
          </w:tcPr>
          <w:p w14:paraId="24A717A3">
            <w:pPr>
              <w:pStyle w:val="4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1"/>
                <w14:textFill>
                  <w14:solidFill>
                    <w14:schemeClr w14:val="tx1"/>
                  </w14:solidFill>
                </w14:textFill>
              </w:rPr>
              <w:t>YS41132</w:t>
            </w:r>
            <w:r>
              <w:rPr>
                <w:rFonts w:ascii="Times New Roman" w:hAnsi="Times New Roman" w:cs="Times New Roman"/>
                <w:color w:val="000000" w:themeColor="text1"/>
                <w:spacing w:val="-2"/>
                <w14:textFill>
                  <w14:solidFill>
                    <w14:schemeClr w14:val="tx1"/>
                  </w14:solidFill>
                </w14:textFill>
              </w:rPr>
              <w:t>4221027</w:t>
            </w:r>
            <w:r>
              <w:rPr>
                <w:rFonts w:ascii="Times New Roman" w:hAnsi="Times New Roman" w:cs="Times New Roman"/>
                <w:color w:val="000000" w:themeColor="text1"/>
                <w14:textFill>
                  <w14:solidFill>
                    <w14:schemeClr w14:val="tx1"/>
                  </w14:solidFill>
                </w14:textFill>
              </w:rPr>
              <w:t>3</w:t>
            </w:r>
          </w:p>
        </w:tc>
        <w:tc>
          <w:tcPr>
            <w:tcW w:w="224" w:type="pct"/>
            <w:vMerge w:val="restart"/>
            <w:shd w:val="clear" w:color="auto" w:fill="auto"/>
            <w:vAlign w:val="center"/>
          </w:tcPr>
          <w:p w14:paraId="22E8314E">
            <w:pPr>
              <w:pStyle w:val="40"/>
              <w:jc w:val="center"/>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4"/>
                <w:lang w:eastAsia="zh-CN"/>
                <w14:textFill>
                  <w14:solidFill>
                    <w14:schemeClr w14:val="tx1"/>
                  </w14:solidFill>
                </w14:textFill>
              </w:rPr>
              <w:t>镇平县</w:t>
            </w:r>
            <w:r>
              <w:rPr>
                <w:rFonts w:ascii="Times New Roman" w:hAnsi="Times New Roman" w:cs="Times New Roman"/>
                <w:color w:val="000000" w:themeColor="text1"/>
                <w:spacing w:val="-5"/>
                <w:lang w:eastAsia="zh-CN"/>
                <w14:textFill>
                  <w14:solidFill>
                    <w14:schemeClr w14:val="tx1"/>
                  </w14:solidFill>
                </w14:textFill>
              </w:rPr>
              <w:t>先进制</w:t>
            </w:r>
          </w:p>
          <w:p w14:paraId="30903202">
            <w:pPr>
              <w:pStyle w:val="40"/>
              <w:jc w:val="center"/>
              <w:rPr>
                <w:rFonts w:ascii="Times New Roman" w:hAnsi="Times New Roman" w:cs="Times New Roman"/>
                <w:color w:val="000000" w:themeColor="text1"/>
                <w:spacing w:val="-1"/>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造业开</w:t>
            </w:r>
            <w:r>
              <w:rPr>
                <w:rFonts w:ascii="Times New Roman" w:hAnsi="Times New Roman" w:cs="Times New Roman"/>
                <w:color w:val="000000" w:themeColor="text1"/>
                <w:spacing w:val="-7"/>
                <w:lang w:eastAsia="zh-CN"/>
                <w14:textFill>
                  <w14:solidFill>
                    <w14:schemeClr w14:val="tx1"/>
                  </w14:solidFill>
                </w14:textFill>
              </w:rPr>
              <w:t>发区</w:t>
            </w:r>
          </w:p>
        </w:tc>
        <w:tc>
          <w:tcPr>
            <w:tcW w:w="150" w:type="pct"/>
            <w:vMerge w:val="restart"/>
            <w:vAlign w:val="center"/>
          </w:tcPr>
          <w:p w14:paraId="30E0D40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河南省</w:t>
            </w:r>
          </w:p>
        </w:tc>
        <w:tc>
          <w:tcPr>
            <w:tcW w:w="153" w:type="pct"/>
            <w:vMerge w:val="restart"/>
            <w:vAlign w:val="center"/>
          </w:tcPr>
          <w:p w14:paraId="1C1E4B5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南阳市</w:t>
            </w:r>
          </w:p>
        </w:tc>
        <w:tc>
          <w:tcPr>
            <w:tcW w:w="153" w:type="pct"/>
            <w:vMerge w:val="restart"/>
            <w:vAlign w:val="center"/>
          </w:tcPr>
          <w:p w14:paraId="09259D37">
            <w:pPr>
              <w:jc w:val="center"/>
              <w:rPr>
                <w:color w:val="000000" w:themeColor="text1"/>
                <w14:textFill>
                  <w14:solidFill>
                    <w14:schemeClr w14:val="tx1"/>
                  </w14:solidFill>
                </w14:textFill>
              </w:rPr>
            </w:pPr>
            <w:r>
              <w:rPr>
                <w:color w:val="000000" w:themeColor="text1"/>
                <w:spacing w:val="-4"/>
                <w:szCs w:val="21"/>
                <w14:textFill>
                  <w14:solidFill>
                    <w14:schemeClr w14:val="tx1"/>
                  </w14:solidFill>
                </w14:textFill>
              </w:rPr>
              <w:t>镇平县</w:t>
            </w:r>
          </w:p>
        </w:tc>
        <w:tc>
          <w:tcPr>
            <w:tcW w:w="158" w:type="pct"/>
            <w:vMerge w:val="restart"/>
            <w:vAlign w:val="center"/>
          </w:tcPr>
          <w:p w14:paraId="68DDE3F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7" w:type="pct"/>
            <w:vMerge w:val="restart"/>
            <w:vAlign w:val="center"/>
          </w:tcPr>
          <w:p w14:paraId="356E709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重点</w:t>
            </w:r>
            <w:r>
              <w:rPr>
                <w:color w:val="000000" w:themeColor="text1"/>
                <w14:textFill>
                  <w14:solidFill>
                    <w14:schemeClr w14:val="tx1"/>
                  </w14:solidFill>
                </w14:textFill>
              </w:rPr>
              <w:t>管控单元</w:t>
            </w:r>
          </w:p>
        </w:tc>
        <w:tc>
          <w:tcPr>
            <w:tcW w:w="225" w:type="pct"/>
            <w:tcBorders>
              <w:top w:val="single" w:color="auto" w:sz="4" w:space="0"/>
              <w:bottom w:val="single" w:color="auto" w:sz="4" w:space="0"/>
            </w:tcBorders>
            <w:shd w:val="clear" w:color="auto" w:fill="auto"/>
            <w:vAlign w:val="center"/>
          </w:tcPr>
          <w:p w14:paraId="27DC34A0">
            <w:pPr>
              <w:jc w:val="center"/>
              <w:rPr>
                <w:color w:val="000000" w:themeColor="text1"/>
                <w:spacing w:val="-5"/>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1721" w:type="pct"/>
            <w:tcBorders>
              <w:top w:val="single" w:color="auto" w:sz="4" w:space="0"/>
              <w:bottom w:val="single" w:color="auto" w:sz="4" w:space="0"/>
            </w:tcBorders>
            <w:shd w:val="clear" w:color="auto" w:fill="auto"/>
            <w:vAlign w:val="center"/>
          </w:tcPr>
          <w:p w14:paraId="67C5179D">
            <w:pPr>
              <w:pStyle w:val="40"/>
              <w:jc w:val="center"/>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禁止不符合园区规划或规划环评的项目入驻。</w:t>
            </w:r>
          </w:p>
        </w:tc>
        <w:tc>
          <w:tcPr>
            <w:tcW w:w="1069" w:type="pct"/>
            <w:tcBorders>
              <w:top w:val="single" w:color="auto" w:sz="4" w:space="0"/>
              <w:bottom w:val="single" w:color="auto" w:sz="4" w:space="0"/>
            </w:tcBorders>
            <w:shd w:val="clear" w:color="auto" w:fill="auto"/>
            <w:vAlign w:val="center"/>
          </w:tcPr>
          <w:p w14:paraId="6E7E7DB6">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本项目已取得镇平县先进制造业开发区管理委员会出具的同意入驻证明，项目建设符合镇平县先进制造业开发区规划要求。</w:t>
            </w:r>
          </w:p>
        </w:tc>
        <w:tc>
          <w:tcPr>
            <w:tcW w:w="239" w:type="pct"/>
            <w:tcBorders>
              <w:top w:val="single" w:color="auto" w:sz="4" w:space="0"/>
              <w:bottom w:val="single" w:color="auto" w:sz="4" w:space="0"/>
            </w:tcBorders>
            <w:vAlign w:val="center"/>
          </w:tcPr>
          <w:p w14:paraId="36AB9ED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3C80875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7E6D4411">
            <w:pPr>
              <w:jc w:val="center"/>
              <w:rPr>
                <w:color w:val="000000" w:themeColor="text1"/>
                <w14:textFill>
                  <w14:solidFill>
                    <w14:schemeClr w14:val="tx1"/>
                  </w14:solidFill>
                </w14:textFill>
              </w:rPr>
            </w:pPr>
          </w:p>
        </w:tc>
        <w:tc>
          <w:tcPr>
            <w:tcW w:w="224" w:type="pct"/>
            <w:vMerge w:val="continue"/>
            <w:vAlign w:val="center"/>
          </w:tcPr>
          <w:p w14:paraId="39BD3B2D">
            <w:pPr>
              <w:snapToGrid w:val="0"/>
              <w:jc w:val="center"/>
              <w:rPr>
                <w:color w:val="000000" w:themeColor="text1"/>
                <w14:textFill>
                  <w14:solidFill>
                    <w14:schemeClr w14:val="tx1"/>
                  </w14:solidFill>
                </w14:textFill>
              </w:rPr>
            </w:pPr>
          </w:p>
        </w:tc>
        <w:tc>
          <w:tcPr>
            <w:tcW w:w="150" w:type="pct"/>
            <w:vMerge w:val="continue"/>
            <w:vAlign w:val="center"/>
          </w:tcPr>
          <w:p w14:paraId="109BD077">
            <w:pPr>
              <w:jc w:val="center"/>
              <w:rPr>
                <w:color w:val="000000" w:themeColor="text1"/>
                <w14:textFill>
                  <w14:solidFill>
                    <w14:schemeClr w14:val="tx1"/>
                  </w14:solidFill>
                </w14:textFill>
              </w:rPr>
            </w:pPr>
          </w:p>
        </w:tc>
        <w:tc>
          <w:tcPr>
            <w:tcW w:w="153" w:type="pct"/>
            <w:vMerge w:val="continue"/>
            <w:vAlign w:val="center"/>
          </w:tcPr>
          <w:p w14:paraId="799EBDD9">
            <w:pPr>
              <w:jc w:val="center"/>
              <w:rPr>
                <w:color w:val="000000" w:themeColor="text1"/>
                <w14:textFill>
                  <w14:solidFill>
                    <w14:schemeClr w14:val="tx1"/>
                  </w14:solidFill>
                </w14:textFill>
              </w:rPr>
            </w:pPr>
          </w:p>
        </w:tc>
        <w:tc>
          <w:tcPr>
            <w:tcW w:w="153" w:type="pct"/>
            <w:vMerge w:val="continue"/>
            <w:vAlign w:val="center"/>
          </w:tcPr>
          <w:p w14:paraId="0FCAE14D">
            <w:pPr>
              <w:jc w:val="center"/>
              <w:rPr>
                <w:color w:val="000000" w:themeColor="text1"/>
                <w14:textFill>
                  <w14:solidFill>
                    <w14:schemeClr w14:val="tx1"/>
                  </w14:solidFill>
                </w14:textFill>
              </w:rPr>
            </w:pPr>
          </w:p>
        </w:tc>
        <w:tc>
          <w:tcPr>
            <w:tcW w:w="158" w:type="pct"/>
            <w:vMerge w:val="continue"/>
            <w:vAlign w:val="center"/>
          </w:tcPr>
          <w:p w14:paraId="3531CAC7">
            <w:pPr>
              <w:jc w:val="center"/>
              <w:rPr>
                <w:color w:val="000000" w:themeColor="text1"/>
                <w14:textFill>
                  <w14:solidFill>
                    <w14:schemeClr w14:val="tx1"/>
                  </w14:solidFill>
                </w14:textFill>
              </w:rPr>
            </w:pPr>
          </w:p>
        </w:tc>
        <w:tc>
          <w:tcPr>
            <w:tcW w:w="257" w:type="pct"/>
            <w:vMerge w:val="continue"/>
            <w:vAlign w:val="center"/>
          </w:tcPr>
          <w:p w14:paraId="7EF6E81D">
            <w:pPr>
              <w:jc w:val="center"/>
              <w:rPr>
                <w:color w:val="000000" w:themeColor="text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081D597E">
            <w:pPr>
              <w:jc w:val="center"/>
              <w:rPr>
                <w:color w:val="000000" w:themeColor="text1"/>
                <w:spacing w:val="-5"/>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1721" w:type="pct"/>
            <w:tcBorders>
              <w:top w:val="single" w:color="auto" w:sz="4" w:space="0"/>
              <w:bottom w:val="single" w:color="auto" w:sz="4" w:space="0"/>
            </w:tcBorders>
            <w:shd w:val="clear" w:color="auto" w:fill="auto"/>
            <w:vAlign w:val="center"/>
          </w:tcPr>
          <w:p w14:paraId="52A1C0BB">
            <w:pPr>
              <w:pStyle w:val="40"/>
              <w:jc w:val="center"/>
              <w:rPr>
                <w:rFonts w:ascii="Times New Roman" w:hAnsi="Times New Roman" w:cs="Times New Roman"/>
                <w:color w:val="000000" w:themeColor="text1"/>
                <w:spacing w:val="20"/>
                <w:lang w:eastAsia="zh-CN"/>
                <w14:textFill>
                  <w14:solidFill>
                    <w14:schemeClr w14:val="tx1"/>
                  </w14:solidFill>
                </w14:textFill>
              </w:rPr>
            </w:pPr>
            <w:r>
              <w:rPr>
                <w:rFonts w:ascii="Times New Roman" w:hAnsi="Times New Roman" w:cs="Times New Roman"/>
                <w:color w:val="000000" w:themeColor="text1"/>
                <w:spacing w:val="20"/>
                <w:lang w:eastAsia="zh-CN"/>
                <w14:textFill>
                  <w14:solidFill>
                    <w14:schemeClr w14:val="tx1"/>
                  </w14:solidFill>
                </w14:textFill>
              </w:rPr>
              <w:t>1、</w:t>
            </w:r>
            <w:r>
              <w:rPr>
                <w:rFonts w:ascii="Times New Roman" w:hAnsi="Times New Roman" w:cs="Times New Roman"/>
                <w:color w:val="000000" w:themeColor="text1"/>
                <w:spacing w:val="-6"/>
                <w:lang w:eastAsia="zh-CN"/>
                <w14:textFill>
                  <w14:solidFill>
                    <w14:schemeClr w14:val="tx1"/>
                  </w14:solidFill>
                </w14:textFill>
              </w:rPr>
              <w:t>园区内</w:t>
            </w:r>
            <w:r>
              <w:rPr>
                <w:rFonts w:ascii="Times New Roman" w:hAnsi="Times New Roman" w:cs="Times New Roman"/>
                <w:color w:val="000000" w:themeColor="text1"/>
                <w:spacing w:val="11"/>
                <w:lang w:eastAsia="zh-CN"/>
                <w14:textFill>
                  <w14:solidFill>
                    <w14:schemeClr w14:val="tx1"/>
                  </w14:solidFill>
                </w14:textFill>
              </w:rPr>
              <w:t>企业废水必须实现</w:t>
            </w:r>
            <w:r>
              <w:rPr>
                <w:rFonts w:ascii="Times New Roman" w:hAnsi="Times New Roman" w:cs="Times New Roman"/>
                <w:color w:val="000000" w:themeColor="text1"/>
                <w:spacing w:val="18"/>
                <w:lang w:eastAsia="zh-CN"/>
                <w14:textFill>
                  <w14:solidFill>
                    <w14:schemeClr w14:val="tx1"/>
                  </w14:solidFill>
                </w14:textFill>
              </w:rPr>
              <w:t>全收集、</w:t>
            </w:r>
            <w:r>
              <w:rPr>
                <w:rFonts w:ascii="Times New Roman" w:hAnsi="Times New Roman" w:cs="Times New Roman"/>
                <w:color w:val="000000" w:themeColor="text1"/>
                <w:spacing w:val="20"/>
                <w:lang w:eastAsia="zh-CN"/>
                <w14:textFill>
                  <w14:solidFill>
                    <w14:schemeClr w14:val="tx1"/>
                  </w14:solidFill>
                </w14:textFill>
              </w:rPr>
              <w:t>全处理。</w:t>
            </w:r>
          </w:p>
          <w:p w14:paraId="4F4B80DE">
            <w:pPr>
              <w:pStyle w:val="40"/>
              <w:rPr>
                <w:rFonts w:ascii="Times New Roman" w:hAnsi="Times New Roman" w:cs="Times New Roman"/>
                <w:color w:val="000000" w:themeColor="text1"/>
                <w:spacing w:val="-10"/>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2、园区要</w:t>
            </w:r>
            <w:r>
              <w:rPr>
                <w:rFonts w:ascii="Times New Roman" w:hAnsi="Times New Roman" w:cs="Times New Roman"/>
                <w:color w:val="000000" w:themeColor="text1"/>
                <w:spacing w:val="11"/>
                <w:lang w:eastAsia="zh-CN"/>
                <w14:textFill>
                  <w14:solidFill>
                    <w14:schemeClr w14:val="tx1"/>
                  </w14:solidFill>
                </w14:textFill>
              </w:rPr>
              <w:t>配备完善的污水处理厂、垃圾集中处</w:t>
            </w:r>
            <w:r>
              <w:rPr>
                <w:rFonts w:ascii="Times New Roman" w:hAnsi="Times New Roman" w:cs="Times New Roman"/>
                <w:color w:val="000000" w:themeColor="text1"/>
                <w:spacing w:val="-5"/>
                <w:lang w:eastAsia="zh-CN"/>
                <w14:textFill>
                  <w14:solidFill>
                    <w14:schemeClr w14:val="tx1"/>
                  </w14:solidFill>
                </w14:textFill>
              </w:rPr>
              <w:t>理等设</w:t>
            </w:r>
            <w:r>
              <w:rPr>
                <w:rFonts w:ascii="Times New Roman" w:hAnsi="Times New Roman" w:cs="Times New Roman"/>
                <w:color w:val="000000" w:themeColor="text1"/>
                <w:spacing w:val="12"/>
                <w:lang w:eastAsia="zh-CN"/>
                <w14:textFill>
                  <w14:solidFill>
                    <w14:schemeClr w14:val="tx1"/>
                  </w14:solidFill>
                </w14:textFill>
              </w:rPr>
              <w:t>施。污水集中处理设施要实现管网全配套，并安装自动</w:t>
            </w:r>
            <w:r>
              <w:rPr>
                <w:rFonts w:ascii="Times New Roman" w:hAnsi="Times New Roman" w:cs="Times New Roman"/>
                <w:color w:val="000000" w:themeColor="text1"/>
                <w:spacing w:val="1"/>
                <w:lang w:eastAsia="zh-CN"/>
                <w14:textFill>
                  <w14:solidFill>
                    <w14:schemeClr w14:val="tx1"/>
                  </w14:solidFill>
                </w14:textFill>
              </w:rPr>
              <w:t xml:space="preserve"> </w:t>
            </w:r>
            <w:r>
              <w:rPr>
                <w:rFonts w:ascii="Times New Roman" w:hAnsi="Times New Roman" w:cs="Times New Roman"/>
                <w:color w:val="000000" w:themeColor="text1"/>
                <w:spacing w:val="12"/>
                <w:lang w:eastAsia="zh-CN"/>
                <w14:textFill>
                  <w14:solidFill>
                    <w14:schemeClr w14:val="tx1"/>
                  </w14:solidFill>
                </w14:textFill>
              </w:rPr>
              <w:t>在线监控</w:t>
            </w:r>
            <w:r>
              <w:rPr>
                <w:rFonts w:ascii="Times New Roman" w:hAnsi="Times New Roman" w:cs="Times New Roman"/>
                <w:color w:val="000000" w:themeColor="text1"/>
                <w:spacing w:val="-10"/>
                <w:lang w:eastAsia="zh-CN"/>
                <w14:textFill>
                  <w14:solidFill>
                    <w14:schemeClr w14:val="tx1"/>
                  </w14:solidFill>
                </w14:textFill>
              </w:rPr>
              <w:t>装置。</w:t>
            </w:r>
          </w:p>
          <w:p w14:paraId="13F2B77A">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10"/>
                <w:lang w:eastAsia="zh-CN"/>
                <w14:textFill>
                  <w14:solidFill>
                    <w14:schemeClr w14:val="tx1"/>
                  </w14:solidFill>
                </w14:textFill>
              </w:rPr>
              <w:t>3、</w:t>
            </w:r>
            <w:r>
              <w:rPr>
                <w:rFonts w:ascii="Times New Roman" w:hAnsi="Times New Roman" w:cs="Times New Roman"/>
                <w:color w:val="000000" w:themeColor="text1"/>
                <w:spacing w:val="12"/>
                <w:lang w:eastAsia="zh-CN"/>
                <w14:textFill>
                  <w14:solidFill>
                    <w14:schemeClr w14:val="tx1"/>
                  </w14:solidFill>
                </w14:textFill>
              </w:rPr>
              <w:t>污水处理厂排水必须达到一</w:t>
            </w:r>
            <w:r>
              <w:rPr>
                <w:rFonts w:ascii="Times New Roman" w:hAnsi="Times New Roman" w:cs="Times New Roman"/>
                <w:color w:val="000000" w:themeColor="text1"/>
                <w:spacing w:val="9"/>
                <w:lang w:eastAsia="zh-CN"/>
                <w14:textFill>
                  <w14:solidFill>
                    <w14:schemeClr w14:val="tx1"/>
                  </w14:solidFill>
                </w14:textFill>
              </w:rPr>
              <w:t>级</w:t>
            </w:r>
            <w:r>
              <w:rPr>
                <w:rFonts w:ascii="Times New Roman" w:hAnsi="Times New Roman" w:cs="Times New Roman"/>
                <w:color w:val="000000" w:themeColor="text1"/>
                <w:spacing w:val="-56"/>
                <w:lang w:eastAsia="zh-CN"/>
                <w14:textFill>
                  <w14:solidFill>
                    <w14:schemeClr w14:val="tx1"/>
                  </w14:solidFill>
                </w14:textFill>
              </w:rPr>
              <w:t xml:space="preserve"> </w:t>
            </w:r>
            <w:r>
              <w:rPr>
                <w:rFonts w:ascii="Times New Roman" w:hAnsi="Times New Roman" w:cs="Times New Roman"/>
                <w:color w:val="000000" w:themeColor="text1"/>
                <w:spacing w:val="9"/>
                <w:lang w:eastAsia="zh-CN"/>
                <w14:textFill>
                  <w14:solidFill>
                    <w14:schemeClr w14:val="tx1"/>
                  </w14:solidFill>
                </w14:textFill>
              </w:rPr>
              <w:t>A</w:t>
            </w:r>
            <w:r>
              <w:rPr>
                <w:rFonts w:ascii="Times New Roman" w:hAnsi="Times New Roman" w:cs="Times New Roman"/>
                <w:color w:val="000000" w:themeColor="text1"/>
                <w:spacing w:val="-51"/>
                <w:lang w:eastAsia="zh-CN"/>
                <w14:textFill>
                  <w14:solidFill>
                    <w14:schemeClr w14:val="tx1"/>
                  </w14:solidFill>
                </w14:textFill>
              </w:rPr>
              <w:t xml:space="preserve"> </w:t>
            </w:r>
            <w:r>
              <w:rPr>
                <w:rFonts w:ascii="Times New Roman" w:hAnsi="Times New Roman" w:cs="Times New Roman"/>
                <w:color w:val="000000" w:themeColor="text1"/>
                <w:spacing w:val="9"/>
                <w:lang w:eastAsia="zh-CN"/>
                <w14:textFill>
                  <w14:solidFill>
                    <w14:schemeClr w14:val="tx1"/>
                  </w14:solidFill>
                </w14:textFill>
              </w:rPr>
              <w:t>排放</w:t>
            </w:r>
            <w:r>
              <w:rPr>
                <w:rFonts w:ascii="Times New Roman" w:hAnsi="Times New Roman" w:cs="Times New Roman"/>
                <w:color w:val="000000" w:themeColor="text1"/>
                <w:spacing w:val="12"/>
                <w:lang w:eastAsia="zh-CN"/>
                <w14:textFill>
                  <w14:solidFill>
                    <w14:schemeClr w14:val="tx1"/>
                  </w14:solidFill>
                </w14:textFill>
              </w:rPr>
              <w:t>标准或地方流域水污染物排放标准。</w:t>
            </w:r>
          </w:p>
        </w:tc>
        <w:tc>
          <w:tcPr>
            <w:tcW w:w="1069" w:type="pct"/>
            <w:tcBorders>
              <w:top w:val="single" w:color="auto" w:sz="4" w:space="0"/>
              <w:bottom w:val="single" w:color="auto" w:sz="4" w:space="0"/>
            </w:tcBorders>
            <w:shd w:val="clear" w:color="auto" w:fill="auto"/>
            <w:vAlign w:val="center"/>
          </w:tcPr>
          <w:p w14:paraId="6C890756">
            <w:pPr>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本项目经化粪池处理后的生活污水和生产废水一并经厂区污水处理站处理后由厂区总排口排入市政污水管网，经市政污水管网进入镇平县第二污水处理厂进一步处理达到《城镇污水处理厂污染物排放标准》（GB18918-2002）一级A标准后排入赵河；</w:t>
            </w:r>
          </w:p>
          <w:p w14:paraId="468FC2A5">
            <w:pPr>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2、本项目不涉及；</w:t>
            </w:r>
          </w:p>
          <w:p w14:paraId="7C67A3B2">
            <w:pPr>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3、本项目不涉及；</w:t>
            </w:r>
          </w:p>
        </w:tc>
        <w:tc>
          <w:tcPr>
            <w:tcW w:w="239" w:type="pct"/>
            <w:tcBorders>
              <w:top w:val="single" w:color="auto" w:sz="4" w:space="0"/>
              <w:bottom w:val="single" w:color="auto" w:sz="4" w:space="0"/>
            </w:tcBorders>
            <w:vAlign w:val="center"/>
          </w:tcPr>
          <w:p w14:paraId="201B716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1DF0B31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4717174E">
            <w:pPr>
              <w:jc w:val="center"/>
              <w:rPr>
                <w:color w:val="000000" w:themeColor="text1"/>
                <w14:textFill>
                  <w14:solidFill>
                    <w14:schemeClr w14:val="tx1"/>
                  </w14:solidFill>
                </w14:textFill>
              </w:rPr>
            </w:pPr>
          </w:p>
        </w:tc>
        <w:tc>
          <w:tcPr>
            <w:tcW w:w="224" w:type="pct"/>
            <w:vMerge w:val="continue"/>
            <w:vAlign w:val="center"/>
          </w:tcPr>
          <w:p w14:paraId="642FC60C">
            <w:pPr>
              <w:snapToGrid w:val="0"/>
              <w:jc w:val="center"/>
              <w:rPr>
                <w:color w:val="000000" w:themeColor="text1"/>
                <w14:textFill>
                  <w14:solidFill>
                    <w14:schemeClr w14:val="tx1"/>
                  </w14:solidFill>
                </w14:textFill>
              </w:rPr>
            </w:pPr>
          </w:p>
        </w:tc>
        <w:tc>
          <w:tcPr>
            <w:tcW w:w="150" w:type="pct"/>
            <w:vMerge w:val="continue"/>
            <w:vAlign w:val="center"/>
          </w:tcPr>
          <w:p w14:paraId="75FA296F">
            <w:pPr>
              <w:jc w:val="center"/>
              <w:rPr>
                <w:color w:val="000000" w:themeColor="text1"/>
                <w14:textFill>
                  <w14:solidFill>
                    <w14:schemeClr w14:val="tx1"/>
                  </w14:solidFill>
                </w14:textFill>
              </w:rPr>
            </w:pPr>
          </w:p>
        </w:tc>
        <w:tc>
          <w:tcPr>
            <w:tcW w:w="153" w:type="pct"/>
            <w:vMerge w:val="continue"/>
            <w:vAlign w:val="center"/>
          </w:tcPr>
          <w:p w14:paraId="23149FBA">
            <w:pPr>
              <w:jc w:val="center"/>
              <w:rPr>
                <w:color w:val="000000" w:themeColor="text1"/>
                <w14:textFill>
                  <w14:solidFill>
                    <w14:schemeClr w14:val="tx1"/>
                  </w14:solidFill>
                </w14:textFill>
              </w:rPr>
            </w:pPr>
          </w:p>
        </w:tc>
        <w:tc>
          <w:tcPr>
            <w:tcW w:w="153" w:type="pct"/>
            <w:vMerge w:val="continue"/>
            <w:vAlign w:val="center"/>
          </w:tcPr>
          <w:p w14:paraId="1B7A98C0">
            <w:pPr>
              <w:jc w:val="center"/>
              <w:rPr>
                <w:color w:val="000000" w:themeColor="text1"/>
                <w14:textFill>
                  <w14:solidFill>
                    <w14:schemeClr w14:val="tx1"/>
                  </w14:solidFill>
                </w14:textFill>
              </w:rPr>
            </w:pPr>
          </w:p>
        </w:tc>
        <w:tc>
          <w:tcPr>
            <w:tcW w:w="158" w:type="pct"/>
            <w:vMerge w:val="continue"/>
            <w:vAlign w:val="center"/>
          </w:tcPr>
          <w:p w14:paraId="55BA993D">
            <w:pPr>
              <w:jc w:val="center"/>
              <w:rPr>
                <w:color w:val="000000" w:themeColor="text1"/>
                <w14:textFill>
                  <w14:solidFill>
                    <w14:schemeClr w14:val="tx1"/>
                  </w14:solidFill>
                </w14:textFill>
              </w:rPr>
            </w:pPr>
          </w:p>
        </w:tc>
        <w:tc>
          <w:tcPr>
            <w:tcW w:w="257" w:type="pct"/>
            <w:vMerge w:val="continue"/>
            <w:vAlign w:val="center"/>
          </w:tcPr>
          <w:p w14:paraId="34D0BAD4">
            <w:pPr>
              <w:jc w:val="center"/>
              <w:rPr>
                <w:color w:val="000000" w:themeColor="text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5DF53F68">
            <w:pPr>
              <w:snapToGrid w:val="0"/>
              <w:rPr>
                <w:color w:val="000000" w:themeColor="text1"/>
                <w:spacing w:val="-5"/>
                <w:szCs w:val="21"/>
                <w14:textFill>
                  <w14:solidFill>
                    <w14:schemeClr w14:val="tx1"/>
                  </w14:solidFill>
                </w14:textFill>
              </w:rPr>
            </w:pPr>
            <w:r>
              <w:rPr>
                <w:bCs/>
                <w:color w:val="000000" w:themeColor="text1"/>
                <w:szCs w:val="21"/>
                <w14:textFill>
                  <w14:solidFill>
                    <w14:schemeClr w14:val="tx1"/>
                  </w14:solidFill>
                </w14:textFill>
              </w:rPr>
              <w:t>环境风险防控</w:t>
            </w:r>
          </w:p>
        </w:tc>
        <w:tc>
          <w:tcPr>
            <w:tcW w:w="1721" w:type="pct"/>
            <w:tcBorders>
              <w:top w:val="single" w:color="auto" w:sz="4" w:space="0"/>
              <w:bottom w:val="single" w:color="auto" w:sz="4" w:space="0"/>
            </w:tcBorders>
            <w:shd w:val="clear" w:color="auto" w:fill="auto"/>
            <w:vAlign w:val="center"/>
          </w:tcPr>
          <w:p w14:paraId="17281A0E">
            <w:pPr>
              <w:pStyle w:val="40"/>
              <w:rPr>
                <w:rFonts w:ascii="Times New Roman" w:hAnsi="Times New Roman" w:cs="Times New Roman"/>
                <w:color w:val="000000" w:themeColor="text1"/>
                <w:spacing w:val="-5"/>
                <w:lang w:eastAsia="zh-CN"/>
                <w14:textFill>
                  <w14:solidFill>
                    <w14:schemeClr w14:val="tx1"/>
                  </w14:solidFill>
                </w14:textFill>
              </w:rPr>
            </w:pPr>
            <w:r>
              <w:rPr>
                <w:rFonts w:ascii="Times New Roman" w:hAnsi="Times New Roman" w:cs="Times New Roman"/>
                <w:color w:val="000000" w:themeColor="text1"/>
                <w:spacing w:val="-5"/>
                <w:lang w:eastAsia="zh-CN"/>
                <w14:textFill>
                  <w14:solidFill>
                    <w14:schemeClr w14:val="tx1"/>
                  </w14:solidFill>
                </w14:textFill>
              </w:rPr>
              <w:t>1、</w:t>
            </w:r>
            <w:r>
              <w:rPr>
                <w:rFonts w:ascii="Times New Roman" w:hAnsi="Times New Roman" w:cs="Times New Roman"/>
                <w:color w:val="000000" w:themeColor="text1"/>
                <w:spacing w:val="-6"/>
                <w:lang w:eastAsia="zh-CN"/>
                <w14:textFill>
                  <w14:solidFill>
                    <w14:schemeClr w14:val="tx1"/>
                  </w14:solidFill>
                </w14:textFill>
              </w:rPr>
              <w:t>加强先</w:t>
            </w:r>
            <w:r>
              <w:rPr>
                <w:rFonts w:ascii="Times New Roman" w:hAnsi="Times New Roman" w:cs="Times New Roman"/>
                <w:color w:val="000000" w:themeColor="text1"/>
                <w:spacing w:val="-2"/>
                <w:lang w:eastAsia="zh-CN"/>
                <w14:textFill>
                  <w14:solidFill>
                    <w14:schemeClr w14:val="tx1"/>
                  </w14:solidFill>
                </w14:textFill>
              </w:rPr>
              <w:t>进制造业开发区环境安全管理工作，</w:t>
            </w:r>
            <w:r>
              <w:rPr>
                <w:rFonts w:ascii="Times New Roman" w:hAnsi="Times New Roman" w:cs="Times New Roman"/>
                <w:color w:val="000000" w:themeColor="text1"/>
                <w:spacing w:val="-3"/>
                <w:lang w:eastAsia="zh-CN"/>
                <w14:textFill>
                  <w14:solidFill>
                    <w14:schemeClr w14:val="tx1"/>
                  </w14:solidFill>
                </w14:textFill>
              </w:rPr>
              <w:t>严格危险化学品管理，减少</w:t>
            </w:r>
            <w:r>
              <w:rPr>
                <w:rFonts w:ascii="Times New Roman" w:hAnsi="Times New Roman" w:cs="Times New Roman"/>
                <w:color w:val="000000" w:themeColor="text1"/>
                <w:spacing w:val="-4"/>
                <w:lang w:eastAsia="zh-CN"/>
                <w14:textFill>
                  <w14:solidFill>
                    <w14:schemeClr w14:val="tx1"/>
                  </w14:solidFill>
                </w14:textFill>
              </w:rPr>
              <w:t>环境风</w:t>
            </w:r>
            <w:r>
              <w:rPr>
                <w:rFonts w:ascii="Times New Roman" w:hAnsi="Times New Roman" w:cs="Times New Roman"/>
                <w:color w:val="000000" w:themeColor="text1"/>
                <w:spacing w:val="-5"/>
                <w:lang w:eastAsia="zh-CN"/>
                <w14:textFill>
                  <w14:solidFill>
                    <w14:schemeClr w14:val="tx1"/>
                  </w14:solidFill>
                </w14:textFill>
              </w:rPr>
              <w:t>险。</w:t>
            </w:r>
          </w:p>
          <w:p w14:paraId="34531180">
            <w:pPr>
              <w:pStyle w:val="40"/>
              <w:rPr>
                <w:rFonts w:ascii="Times New Roman" w:hAnsi="Times New Roman" w:cs="Times New Roman"/>
                <w:color w:val="000000" w:themeColor="text1"/>
                <w:spacing w:val="-3"/>
                <w:lang w:eastAsia="zh-CN"/>
                <w14:textFill>
                  <w14:solidFill>
                    <w14:schemeClr w14:val="tx1"/>
                  </w14:solidFill>
                </w14:textFill>
              </w:rPr>
            </w:pPr>
            <w:r>
              <w:rPr>
                <w:rFonts w:ascii="Times New Roman" w:hAnsi="Times New Roman" w:cs="Times New Roman"/>
                <w:color w:val="000000" w:themeColor="text1"/>
                <w:spacing w:val="-5"/>
                <w:lang w:eastAsia="zh-CN"/>
                <w14:textFill>
                  <w14:solidFill>
                    <w14:schemeClr w14:val="tx1"/>
                  </w14:solidFill>
                </w14:textFill>
              </w:rPr>
              <w:t>2、建</w:t>
            </w:r>
            <w:r>
              <w:rPr>
                <w:rFonts w:ascii="Times New Roman" w:hAnsi="Times New Roman" w:cs="Times New Roman"/>
                <w:color w:val="000000" w:themeColor="text1"/>
                <w:spacing w:val="9"/>
                <w:lang w:eastAsia="zh-CN"/>
                <w14:textFill>
                  <w14:solidFill>
                    <w14:schemeClr w14:val="tx1"/>
                  </w14:solidFill>
                </w14:textFill>
              </w:rPr>
              <w:t>立先进制造业开发区风险防范体系以及风险防范应急预案；基础设施和企业内部生产运营管理中，认真落实环</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9"/>
                <w:lang w:eastAsia="zh-CN"/>
                <w14:textFill>
                  <w14:solidFill>
                    <w14:schemeClr w14:val="tx1"/>
                  </w14:solidFill>
                </w14:textFill>
              </w:rPr>
              <w:t>境风险防范措施，</w:t>
            </w:r>
            <w:r>
              <w:rPr>
                <w:rFonts w:ascii="Times New Roman" w:hAnsi="Times New Roman" w:cs="Times New Roman"/>
                <w:color w:val="000000" w:themeColor="text1"/>
                <w:spacing w:val="-3"/>
                <w:lang w:eastAsia="zh-CN"/>
                <w14:textFill>
                  <w14:solidFill>
                    <w14:schemeClr w14:val="tx1"/>
                  </w14:solidFill>
                </w14:textFill>
              </w:rPr>
              <w:t>杜绝发生</w:t>
            </w:r>
            <w:r>
              <w:rPr>
                <w:rFonts w:ascii="Times New Roman" w:hAnsi="Times New Roman" w:cs="Times New Roman"/>
                <w:color w:val="000000" w:themeColor="text1"/>
                <w:spacing w:val="-4"/>
                <w:lang w:eastAsia="zh-CN"/>
                <w14:textFill>
                  <w14:solidFill>
                    <w14:schemeClr w14:val="tx1"/>
                  </w14:solidFill>
                </w14:textFill>
              </w:rPr>
              <w:t>污染事</w:t>
            </w:r>
            <w:r>
              <w:rPr>
                <w:rFonts w:ascii="Times New Roman" w:hAnsi="Times New Roman" w:cs="Times New Roman"/>
                <w:color w:val="000000" w:themeColor="text1"/>
                <w:spacing w:val="-3"/>
                <w:lang w:eastAsia="zh-CN"/>
                <w14:textFill>
                  <w14:solidFill>
                    <w14:schemeClr w14:val="tx1"/>
                  </w14:solidFill>
                </w14:textFill>
              </w:rPr>
              <w:t>故。</w:t>
            </w:r>
          </w:p>
          <w:p w14:paraId="53B20BAD">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3、定</w:t>
            </w:r>
            <w:r>
              <w:rPr>
                <w:rFonts w:ascii="Times New Roman" w:hAnsi="Times New Roman" w:cs="Times New Roman"/>
                <w:color w:val="000000" w:themeColor="text1"/>
                <w:spacing w:val="11"/>
                <w:lang w:eastAsia="zh-CN"/>
                <w14:textFill>
                  <w14:solidFill>
                    <w14:schemeClr w14:val="tx1"/>
                  </w14:solidFill>
                </w14:textFill>
              </w:rPr>
              <w:t>期对地下水质进行</w:t>
            </w:r>
            <w:r>
              <w:rPr>
                <w:rFonts w:ascii="Times New Roman" w:hAnsi="Times New Roman" w:cs="Times New Roman"/>
                <w:color w:val="000000" w:themeColor="text1"/>
                <w:spacing w:val="-3"/>
                <w:lang w:eastAsia="zh-CN"/>
                <w14:textFill>
                  <w14:solidFill>
                    <w14:schemeClr w14:val="tx1"/>
                  </w14:solidFill>
                </w14:textFill>
              </w:rPr>
              <w:t>监测，发现问题，及时采取有效防治措施，避免对地下</w:t>
            </w:r>
            <w:r>
              <w:rPr>
                <w:rFonts w:ascii="Times New Roman" w:hAnsi="Times New Roman" w:cs="Times New Roman"/>
                <w:color w:val="000000" w:themeColor="text1"/>
                <w:spacing w:val="-4"/>
                <w:lang w:eastAsia="zh-CN"/>
                <w14:textFill>
                  <w14:solidFill>
                    <w14:schemeClr w14:val="tx1"/>
                  </w14:solidFill>
                </w14:textFill>
              </w:rPr>
              <w:t>水造成污</w:t>
            </w:r>
            <w:r>
              <w:rPr>
                <w:rFonts w:ascii="Times New Roman" w:hAnsi="Times New Roman" w:cs="Times New Roman"/>
                <w:color w:val="000000" w:themeColor="text1"/>
                <w:spacing w:val="-7"/>
                <w:lang w:eastAsia="zh-CN"/>
                <w14:textFill>
                  <w14:solidFill>
                    <w14:schemeClr w14:val="tx1"/>
                  </w14:solidFill>
                </w14:textFill>
              </w:rPr>
              <w:t>染。</w:t>
            </w:r>
          </w:p>
        </w:tc>
        <w:tc>
          <w:tcPr>
            <w:tcW w:w="1069" w:type="pct"/>
            <w:tcBorders>
              <w:top w:val="single" w:color="auto" w:sz="4" w:space="0"/>
              <w:bottom w:val="single" w:color="auto" w:sz="4" w:space="0"/>
            </w:tcBorders>
            <w:shd w:val="clear" w:color="auto" w:fill="auto"/>
            <w:vAlign w:val="center"/>
          </w:tcPr>
          <w:p w14:paraId="45E5D586">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项目属于</w:t>
            </w:r>
            <w:r>
              <w:rPr>
                <w:rFonts w:hint="eastAsia"/>
                <w:color w:val="000000" w:themeColor="text1"/>
                <w:szCs w:val="21"/>
                <w14:textFill>
                  <w14:solidFill>
                    <w14:schemeClr w14:val="tx1"/>
                  </w14:solidFill>
                </w14:textFill>
              </w:rPr>
              <w:t>酒、饮料</w:t>
            </w:r>
            <w:r>
              <w:rPr>
                <w:color w:val="000000" w:themeColor="text1"/>
                <w:szCs w:val="21"/>
                <w14:textFill>
                  <w14:solidFill>
                    <w14:schemeClr w14:val="tx1"/>
                  </w14:solidFill>
                </w14:textFill>
              </w:rPr>
              <w:t>和</w:t>
            </w:r>
            <w:r>
              <w:rPr>
                <w:rFonts w:hint="eastAsia"/>
                <w:color w:val="000000" w:themeColor="text1"/>
                <w:szCs w:val="21"/>
                <w14:textFill>
                  <w14:solidFill>
                    <w14:schemeClr w14:val="tx1"/>
                  </w14:solidFill>
                </w14:textFill>
              </w:rPr>
              <w:t>医药用品</w:t>
            </w:r>
            <w:r>
              <w:rPr>
                <w:color w:val="000000" w:themeColor="text1"/>
                <w:szCs w:val="21"/>
                <w14:textFill>
                  <w14:solidFill>
                    <w14:schemeClr w14:val="tx1"/>
                  </w14:solidFill>
                </w14:textFill>
              </w:rPr>
              <w:t>制造业，环评要求企业运营期建立环境风险应急预案，落实环境风险防范措施，杜绝发生污染事故</w:t>
            </w:r>
          </w:p>
        </w:tc>
        <w:tc>
          <w:tcPr>
            <w:tcW w:w="239" w:type="pct"/>
            <w:tcBorders>
              <w:top w:val="single" w:color="auto" w:sz="4" w:space="0"/>
              <w:bottom w:val="single" w:color="auto" w:sz="4" w:space="0"/>
            </w:tcBorders>
            <w:shd w:val="clear" w:color="auto" w:fill="auto"/>
            <w:vAlign w:val="center"/>
          </w:tcPr>
          <w:p w14:paraId="1061729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08C526A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2C71A9E2">
            <w:pPr>
              <w:jc w:val="center"/>
              <w:rPr>
                <w:color w:val="000000" w:themeColor="text1"/>
                <w14:textFill>
                  <w14:solidFill>
                    <w14:schemeClr w14:val="tx1"/>
                  </w14:solidFill>
                </w14:textFill>
              </w:rPr>
            </w:pPr>
          </w:p>
        </w:tc>
        <w:tc>
          <w:tcPr>
            <w:tcW w:w="224" w:type="pct"/>
            <w:vMerge w:val="continue"/>
          </w:tcPr>
          <w:p w14:paraId="1AB9D5DD">
            <w:pPr>
              <w:jc w:val="center"/>
              <w:rPr>
                <w:color w:val="000000" w:themeColor="text1"/>
                <w14:textFill>
                  <w14:solidFill>
                    <w14:schemeClr w14:val="tx1"/>
                  </w14:solidFill>
                </w14:textFill>
              </w:rPr>
            </w:pPr>
          </w:p>
        </w:tc>
        <w:tc>
          <w:tcPr>
            <w:tcW w:w="150" w:type="pct"/>
            <w:vMerge w:val="continue"/>
          </w:tcPr>
          <w:p w14:paraId="36B8EC95">
            <w:pPr>
              <w:jc w:val="center"/>
              <w:rPr>
                <w:color w:val="000000" w:themeColor="text1"/>
                <w14:textFill>
                  <w14:solidFill>
                    <w14:schemeClr w14:val="tx1"/>
                  </w14:solidFill>
                </w14:textFill>
              </w:rPr>
            </w:pPr>
          </w:p>
        </w:tc>
        <w:tc>
          <w:tcPr>
            <w:tcW w:w="153" w:type="pct"/>
            <w:vMerge w:val="continue"/>
          </w:tcPr>
          <w:p w14:paraId="4BAAF0E8">
            <w:pPr>
              <w:jc w:val="center"/>
              <w:rPr>
                <w:color w:val="000000" w:themeColor="text1"/>
                <w14:textFill>
                  <w14:solidFill>
                    <w14:schemeClr w14:val="tx1"/>
                  </w14:solidFill>
                </w14:textFill>
              </w:rPr>
            </w:pPr>
          </w:p>
        </w:tc>
        <w:tc>
          <w:tcPr>
            <w:tcW w:w="153" w:type="pct"/>
            <w:vMerge w:val="continue"/>
          </w:tcPr>
          <w:p w14:paraId="3C62242B">
            <w:pPr>
              <w:jc w:val="center"/>
              <w:rPr>
                <w:color w:val="000000" w:themeColor="text1"/>
                <w14:textFill>
                  <w14:solidFill>
                    <w14:schemeClr w14:val="tx1"/>
                  </w14:solidFill>
                </w14:textFill>
              </w:rPr>
            </w:pPr>
          </w:p>
        </w:tc>
        <w:tc>
          <w:tcPr>
            <w:tcW w:w="158" w:type="pct"/>
            <w:vMerge w:val="continue"/>
          </w:tcPr>
          <w:p w14:paraId="462B813A">
            <w:pPr>
              <w:jc w:val="center"/>
              <w:rPr>
                <w:color w:val="000000" w:themeColor="text1"/>
                <w14:textFill>
                  <w14:solidFill>
                    <w14:schemeClr w14:val="tx1"/>
                  </w14:solidFill>
                </w14:textFill>
              </w:rPr>
            </w:pPr>
          </w:p>
        </w:tc>
        <w:tc>
          <w:tcPr>
            <w:tcW w:w="257" w:type="pct"/>
            <w:vMerge w:val="continue"/>
          </w:tcPr>
          <w:p w14:paraId="166AFC4E">
            <w:pPr>
              <w:jc w:val="center"/>
              <w:rPr>
                <w:color w:val="000000" w:themeColor="text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4A1736B4">
            <w:pPr>
              <w:snapToGrid w:val="0"/>
              <w:jc w:val="center"/>
              <w:rPr>
                <w:color w:val="000000" w:themeColor="text1"/>
                <w:spacing w:val="-5"/>
                <w:szCs w:val="21"/>
                <w14:textFill>
                  <w14:solidFill>
                    <w14:schemeClr w14:val="tx1"/>
                  </w14:solidFill>
                </w14:textFill>
              </w:rPr>
            </w:pPr>
            <w:r>
              <w:rPr>
                <w:color w:val="000000" w:themeColor="text1"/>
                <w:spacing w:val="-5"/>
                <w:szCs w:val="21"/>
                <w14:textFill>
                  <w14:solidFill>
                    <w14:schemeClr w14:val="tx1"/>
                  </w14:solidFill>
                </w14:textFill>
              </w:rPr>
              <w:t>资源开发</w:t>
            </w:r>
            <w:r>
              <w:rPr>
                <w:color w:val="000000" w:themeColor="text1"/>
                <w:spacing w:val="-4"/>
                <w:szCs w:val="21"/>
                <w14:textFill>
                  <w14:solidFill>
                    <w14:schemeClr w14:val="tx1"/>
                  </w14:solidFill>
                </w14:textFill>
              </w:rPr>
              <w:t>效率要求</w:t>
            </w:r>
          </w:p>
        </w:tc>
        <w:tc>
          <w:tcPr>
            <w:tcW w:w="1721" w:type="pct"/>
            <w:tcBorders>
              <w:top w:val="single" w:color="auto" w:sz="4" w:space="0"/>
              <w:bottom w:val="single" w:color="auto" w:sz="4" w:space="0"/>
            </w:tcBorders>
            <w:shd w:val="clear" w:color="auto" w:fill="auto"/>
            <w:vAlign w:val="center"/>
          </w:tcPr>
          <w:p w14:paraId="7DE0F840">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4"/>
                <w:lang w:eastAsia="zh-CN"/>
                <w14:textFill>
                  <w14:solidFill>
                    <w14:schemeClr w14:val="tx1"/>
                  </w14:solidFill>
                </w14:textFill>
              </w:rPr>
              <w:t>开发区应加大中水回用力度，建设再生水回用配套设施，提高再生水利用率。</w:t>
            </w:r>
          </w:p>
        </w:tc>
        <w:tc>
          <w:tcPr>
            <w:tcW w:w="1069" w:type="pct"/>
            <w:tcBorders>
              <w:top w:val="single" w:color="auto" w:sz="4" w:space="0"/>
              <w:bottom w:val="single" w:color="auto" w:sz="4" w:space="0"/>
            </w:tcBorders>
            <w:shd w:val="clear" w:color="auto" w:fill="auto"/>
            <w:vAlign w:val="center"/>
          </w:tcPr>
          <w:p w14:paraId="0A178271">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本项目不涉及</w:t>
            </w:r>
          </w:p>
        </w:tc>
        <w:tc>
          <w:tcPr>
            <w:tcW w:w="239" w:type="pct"/>
            <w:tcBorders>
              <w:top w:val="single" w:color="auto" w:sz="4" w:space="0"/>
              <w:bottom w:val="single" w:color="auto" w:sz="4" w:space="0"/>
            </w:tcBorders>
            <w:vAlign w:val="center"/>
          </w:tcPr>
          <w:p w14:paraId="270BFC8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194C558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restart"/>
            <w:shd w:val="clear" w:color="auto" w:fill="auto"/>
            <w:vAlign w:val="center"/>
          </w:tcPr>
          <w:p w14:paraId="1ECB5089">
            <w:pPr>
              <w:pStyle w:val="4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1"/>
                <w14:textFill>
                  <w14:solidFill>
                    <w14:schemeClr w14:val="tx1"/>
                  </w14:solidFill>
                </w14:textFill>
              </w:rPr>
              <w:t>YS41132</w:t>
            </w:r>
            <w:r>
              <w:rPr>
                <w:rFonts w:ascii="Times New Roman" w:hAnsi="Times New Roman" w:cs="Times New Roman"/>
                <w:color w:val="000000" w:themeColor="text1"/>
                <w:spacing w:val="-2"/>
                <w14:textFill>
                  <w14:solidFill>
                    <w14:schemeClr w14:val="tx1"/>
                  </w14:solidFill>
                </w14:textFill>
              </w:rPr>
              <w:t>4231000</w:t>
            </w:r>
            <w:r>
              <w:rPr>
                <w:rFonts w:ascii="Times New Roman" w:hAnsi="Times New Roman" w:cs="Times New Roman"/>
                <w:color w:val="000000" w:themeColor="text1"/>
                <w14:textFill>
                  <w14:solidFill>
                    <w14:schemeClr w14:val="tx1"/>
                  </w14:solidFill>
                </w14:textFill>
              </w:rPr>
              <w:t>1</w:t>
            </w:r>
          </w:p>
        </w:tc>
        <w:tc>
          <w:tcPr>
            <w:tcW w:w="224" w:type="pct"/>
            <w:vMerge w:val="restart"/>
            <w:shd w:val="clear" w:color="auto" w:fill="auto"/>
            <w:vAlign w:val="center"/>
          </w:tcPr>
          <w:p w14:paraId="5911ECF0">
            <w:pPr>
              <w:pStyle w:val="40"/>
              <w:jc w:val="center"/>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4"/>
                <w:lang w:eastAsia="zh-CN"/>
                <w14:textFill>
                  <w14:solidFill>
                    <w14:schemeClr w14:val="tx1"/>
                  </w14:solidFill>
                </w14:textFill>
              </w:rPr>
              <w:t>镇平县</w:t>
            </w:r>
            <w:r>
              <w:rPr>
                <w:rFonts w:ascii="Times New Roman" w:hAnsi="Times New Roman" w:cs="Times New Roman"/>
                <w:color w:val="000000" w:themeColor="text1"/>
                <w:spacing w:val="-5"/>
                <w:lang w:eastAsia="zh-CN"/>
                <w14:textFill>
                  <w14:solidFill>
                    <w14:schemeClr w14:val="tx1"/>
                  </w14:solidFill>
                </w14:textFill>
              </w:rPr>
              <w:t>先进制</w:t>
            </w:r>
          </w:p>
          <w:p w14:paraId="141DFDDF">
            <w:pPr>
              <w:pStyle w:val="40"/>
              <w:jc w:val="center"/>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造业开</w:t>
            </w:r>
            <w:r>
              <w:rPr>
                <w:rFonts w:ascii="Times New Roman" w:hAnsi="Times New Roman" w:cs="Times New Roman"/>
                <w:color w:val="000000" w:themeColor="text1"/>
                <w:spacing w:val="-7"/>
                <w:lang w:eastAsia="zh-CN"/>
                <w14:textFill>
                  <w14:solidFill>
                    <w14:schemeClr w14:val="tx1"/>
                  </w14:solidFill>
                </w14:textFill>
              </w:rPr>
              <w:t>发区</w:t>
            </w:r>
          </w:p>
        </w:tc>
        <w:tc>
          <w:tcPr>
            <w:tcW w:w="150" w:type="pct"/>
            <w:vMerge w:val="restart"/>
            <w:vAlign w:val="center"/>
          </w:tcPr>
          <w:p w14:paraId="7D93FE5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河南省</w:t>
            </w:r>
          </w:p>
        </w:tc>
        <w:tc>
          <w:tcPr>
            <w:tcW w:w="153" w:type="pct"/>
            <w:vMerge w:val="restart"/>
            <w:vAlign w:val="center"/>
          </w:tcPr>
          <w:p w14:paraId="44A1E50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南阳市</w:t>
            </w:r>
          </w:p>
        </w:tc>
        <w:tc>
          <w:tcPr>
            <w:tcW w:w="153" w:type="pct"/>
            <w:vMerge w:val="restart"/>
            <w:vAlign w:val="center"/>
          </w:tcPr>
          <w:p w14:paraId="73A842BB">
            <w:pPr>
              <w:jc w:val="center"/>
              <w:rPr>
                <w:color w:val="000000" w:themeColor="text1"/>
                <w14:textFill>
                  <w14:solidFill>
                    <w14:schemeClr w14:val="tx1"/>
                  </w14:solidFill>
                </w14:textFill>
              </w:rPr>
            </w:pPr>
            <w:r>
              <w:rPr>
                <w:color w:val="000000" w:themeColor="text1"/>
                <w:spacing w:val="-4"/>
                <w:szCs w:val="21"/>
                <w14:textFill>
                  <w14:solidFill>
                    <w14:schemeClr w14:val="tx1"/>
                  </w14:solidFill>
                </w14:textFill>
              </w:rPr>
              <w:t>镇平县</w:t>
            </w:r>
          </w:p>
        </w:tc>
        <w:tc>
          <w:tcPr>
            <w:tcW w:w="158" w:type="pct"/>
            <w:vMerge w:val="restart"/>
            <w:vAlign w:val="center"/>
          </w:tcPr>
          <w:p w14:paraId="0520CAB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7" w:type="pct"/>
            <w:vMerge w:val="restart"/>
            <w:vAlign w:val="center"/>
          </w:tcPr>
          <w:p w14:paraId="79175D8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重点</w:t>
            </w:r>
            <w:r>
              <w:rPr>
                <w:color w:val="000000" w:themeColor="text1"/>
                <w14:textFill>
                  <w14:solidFill>
                    <w14:schemeClr w14:val="tx1"/>
                  </w14:solidFill>
                </w14:textFill>
              </w:rPr>
              <w:t>管控单元</w:t>
            </w:r>
          </w:p>
        </w:tc>
        <w:tc>
          <w:tcPr>
            <w:tcW w:w="225" w:type="pct"/>
            <w:tcBorders>
              <w:top w:val="single" w:color="auto" w:sz="4" w:space="0"/>
              <w:bottom w:val="single" w:color="auto" w:sz="4" w:space="0"/>
            </w:tcBorders>
            <w:shd w:val="clear" w:color="auto" w:fill="auto"/>
            <w:vAlign w:val="center"/>
          </w:tcPr>
          <w:p w14:paraId="1B85D3BF">
            <w:pPr>
              <w:rPr>
                <w:color w:val="000000" w:themeColor="text1"/>
                <w:spacing w:val="-5"/>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1721" w:type="pct"/>
            <w:tcBorders>
              <w:top w:val="single" w:color="auto" w:sz="4" w:space="0"/>
              <w:bottom w:val="single" w:color="auto" w:sz="4" w:space="0"/>
            </w:tcBorders>
            <w:shd w:val="clear" w:color="auto" w:fill="auto"/>
            <w:vAlign w:val="center"/>
          </w:tcPr>
          <w:p w14:paraId="37CCF9C4">
            <w:pPr>
              <w:pStyle w:val="40"/>
              <w:rPr>
                <w:rFonts w:ascii="Times New Roman" w:hAnsi="Times New Roman" w:cs="Times New Roman"/>
                <w:color w:val="000000" w:themeColor="text1"/>
                <w:spacing w:val="-6"/>
                <w:lang w:eastAsia="zh-CN"/>
                <w14:textFill>
                  <w14:solidFill>
                    <w14:schemeClr w14:val="tx1"/>
                  </w14:solidFill>
                </w14:textFill>
              </w:rPr>
            </w:pPr>
            <w:r>
              <w:rPr>
                <w:rFonts w:ascii="Times New Roman" w:hAnsi="Times New Roman" w:cs="Times New Roman"/>
                <w:color w:val="000000" w:themeColor="text1"/>
                <w:spacing w:val="-6"/>
                <w:lang w:eastAsia="zh-CN"/>
                <w14:textFill>
                  <w14:solidFill>
                    <w14:schemeClr w14:val="tx1"/>
                  </w14:solidFill>
                </w14:textFill>
              </w:rPr>
              <w:t>1、重点发展非金属制品、高端装备制造、健康医药、绿色食品行业，禁止新建石化、有化学反应的化工、化学合成原料药、煤化工、制浆造纸项目入驻开发区。禁止不符合园区规划或规划环评的项目入驻。</w:t>
            </w:r>
          </w:p>
          <w:p w14:paraId="4B3F7BFD">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6"/>
                <w:lang w:eastAsia="zh-CN"/>
                <w14:textFill>
                  <w14:solidFill>
                    <w14:schemeClr w14:val="tx1"/>
                  </w14:solidFill>
                </w14:textFill>
              </w:rPr>
              <w:t>2新建、改建、扩建“两高 ”项目须符合生态环境保护法律法规和相关法定规划，满足重点污染物排放总量控制、碳排放达峰目标、相关</w:t>
            </w:r>
            <w:r>
              <w:rPr>
                <w:rFonts w:ascii="Times New Roman" w:hAnsi="Times New Roman" w:cs="Times New Roman"/>
                <w:color w:val="000000" w:themeColor="text1"/>
                <w:spacing w:val="-3"/>
                <w:lang w:eastAsia="zh-CN"/>
                <w14:textFill>
                  <w14:solidFill>
                    <w14:schemeClr w14:val="tx1"/>
                  </w14:solidFill>
                </w14:textFill>
              </w:rPr>
              <w:t>规划环评</w:t>
            </w:r>
            <w:r>
              <w:rPr>
                <w:rFonts w:ascii="Times New Roman" w:hAnsi="Times New Roman" w:cs="Times New Roman"/>
                <w:color w:val="000000" w:themeColor="text1"/>
                <w:lang w:eastAsia="zh-CN"/>
                <w14:textFill>
                  <w14:solidFill>
                    <w14:schemeClr w14:val="tx1"/>
                  </w14:solidFill>
                </w14:textFill>
              </w:rPr>
              <w:t xml:space="preserve"> </w:t>
            </w:r>
            <w:r>
              <w:rPr>
                <w:rFonts w:ascii="Times New Roman" w:hAnsi="Times New Roman" w:cs="Times New Roman"/>
                <w:color w:val="000000" w:themeColor="text1"/>
                <w:spacing w:val="-3"/>
                <w:lang w:eastAsia="zh-CN"/>
                <w14:textFill>
                  <w14:solidFill>
                    <w14:schemeClr w14:val="tx1"/>
                  </w14:solidFill>
                </w14:textFill>
              </w:rPr>
              <w:t>和相应行业建设项目环境准入条件、环评文件</w:t>
            </w:r>
            <w:r>
              <w:rPr>
                <w:rFonts w:ascii="Times New Roman" w:hAnsi="Times New Roman" w:cs="Times New Roman"/>
                <w:color w:val="000000" w:themeColor="text1"/>
                <w:spacing w:val="-6"/>
                <w:lang w:eastAsia="zh-CN"/>
                <w14:textFill>
                  <w14:solidFill>
                    <w14:schemeClr w14:val="tx1"/>
                  </w14:solidFill>
                </w14:textFill>
              </w:rPr>
              <w:t>审批原则</w:t>
            </w:r>
            <w:r>
              <w:rPr>
                <w:rFonts w:ascii="Times New Roman" w:hAnsi="Times New Roman" w:cs="Times New Roman"/>
                <w:color w:val="000000" w:themeColor="text1"/>
                <w:spacing w:val="-4"/>
                <w:lang w:eastAsia="zh-CN"/>
                <w14:textFill>
                  <w14:solidFill>
                    <w14:schemeClr w14:val="tx1"/>
                  </w14:solidFill>
                </w14:textFill>
              </w:rPr>
              <w:t>要求</w:t>
            </w:r>
          </w:p>
        </w:tc>
        <w:tc>
          <w:tcPr>
            <w:tcW w:w="1069" w:type="pct"/>
            <w:tcBorders>
              <w:top w:val="single" w:color="auto" w:sz="4" w:space="0"/>
              <w:bottom w:val="single" w:color="auto" w:sz="4" w:space="0"/>
            </w:tcBorders>
            <w:shd w:val="clear" w:color="auto" w:fill="auto"/>
            <w:vAlign w:val="center"/>
          </w:tcPr>
          <w:p w14:paraId="5FBBC277">
            <w:pPr>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1、本项目属于新建项目，属于</w:t>
            </w:r>
            <w:r>
              <w:rPr>
                <w:rFonts w:hint="eastAsia"/>
                <w:color w:val="000000" w:themeColor="text1"/>
                <w:szCs w:val="21"/>
                <w14:textFill>
                  <w14:solidFill>
                    <w14:schemeClr w14:val="tx1"/>
                  </w14:solidFill>
                </w14:textFill>
              </w:rPr>
              <w:t>酒、饮料</w:t>
            </w:r>
            <w:r>
              <w:rPr>
                <w:color w:val="000000" w:themeColor="text1"/>
                <w:szCs w:val="21"/>
                <w14:textFill>
                  <w14:solidFill>
                    <w14:schemeClr w14:val="tx1"/>
                  </w14:solidFill>
                </w14:textFill>
              </w:rPr>
              <w:t>和</w:t>
            </w:r>
            <w:r>
              <w:rPr>
                <w:rFonts w:hint="eastAsia"/>
                <w:color w:val="000000" w:themeColor="text1"/>
                <w:szCs w:val="21"/>
                <w14:textFill>
                  <w14:solidFill>
                    <w14:schemeClr w14:val="tx1"/>
                  </w14:solidFill>
                </w14:textFill>
              </w:rPr>
              <w:t>医药用品</w:t>
            </w:r>
            <w:r>
              <w:rPr>
                <w:color w:val="000000" w:themeColor="text1"/>
                <w:szCs w:val="21"/>
                <w14:textFill>
                  <w14:solidFill>
                    <w14:schemeClr w14:val="tx1"/>
                  </w14:solidFill>
                </w14:textFill>
              </w:rPr>
              <w:t>制造业，本项目已取得镇平县先进制造业开发区管理委员会出具的同意入驻证明，项目建设符合镇平县先进制造业开发区规划要求；</w:t>
            </w:r>
          </w:p>
          <w:p w14:paraId="014D4BC4">
            <w:pPr>
              <w:snapToGrid w:val="0"/>
              <w:rPr>
                <w:color w:val="000000" w:themeColor="text1"/>
                <w:spacing w:val="-4"/>
                <w:szCs w:val="21"/>
                <w14:textFill>
                  <w14:solidFill>
                    <w14:schemeClr w14:val="tx1"/>
                  </w14:solidFill>
                </w14:textFill>
              </w:rPr>
            </w:pPr>
            <w:r>
              <w:rPr>
                <w:color w:val="000000" w:themeColor="text1"/>
                <w:szCs w:val="21"/>
                <w14:textFill>
                  <w14:solidFill>
                    <w14:schemeClr w14:val="tx1"/>
                  </w14:solidFill>
                </w14:textFill>
              </w:rPr>
              <w:t>2、本项目不属于新建、改建、扩建“两高”项目；</w:t>
            </w:r>
          </w:p>
        </w:tc>
        <w:tc>
          <w:tcPr>
            <w:tcW w:w="239" w:type="pct"/>
            <w:tcBorders>
              <w:top w:val="single" w:color="auto" w:sz="4" w:space="0"/>
              <w:bottom w:val="single" w:color="auto" w:sz="4" w:space="0"/>
            </w:tcBorders>
            <w:vAlign w:val="center"/>
          </w:tcPr>
          <w:p w14:paraId="7A5ADB3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749E01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080E2012">
            <w:pPr>
              <w:jc w:val="center"/>
              <w:rPr>
                <w:color w:val="000000" w:themeColor="text1"/>
                <w14:textFill>
                  <w14:solidFill>
                    <w14:schemeClr w14:val="tx1"/>
                  </w14:solidFill>
                </w14:textFill>
              </w:rPr>
            </w:pPr>
          </w:p>
        </w:tc>
        <w:tc>
          <w:tcPr>
            <w:tcW w:w="224" w:type="pct"/>
            <w:vMerge w:val="continue"/>
            <w:vAlign w:val="center"/>
          </w:tcPr>
          <w:p w14:paraId="3E595D53">
            <w:pPr>
              <w:snapToGrid w:val="0"/>
              <w:jc w:val="center"/>
              <w:rPr>
                <w:color w:val="000000" w:themeColor="text1"/>
                <w14:textFill>
                  <w14:solidFill>
                    <w14:schemeClr w14:val="tx1"/>
                  </w14:solidFill>
                </w14:textFill>
              </w:rPr>
            </w:pPr>
          </w:p>
        </w:tc>
        <w:tc>
          <w:tcPr>
            <w:tcW w:w="150" w:type="pct"/>
            <w:vMerge w:val="continue"/>
            <w:vAlign w:val="center"/>
          </w:tcPr>
          <w:p w14:paraId="690E8CC7">
            <w:pPr>
              <w:jc w:val="center"/>
              <w:rPr>
                <w:color w:val="000000" w:themeColor="text1"/>
                <w14:textFill>
                  <w14:solidFill>
                    <w14:schemeClr w14:val="tx1"/>
                  </w14:solidFill>
                </w14:textFill>
              </w:rPr>
            </w:pPr>
          </w:p>
        </w:tc>
        <w:tc>
          <w:tcPr>
            <w:tcW w:w="153" w:type="pct"/>
            <w:vMerge w:val="continue"/>
            <w:vAlign w:val="center"/>
          </w:tcPr>
          <w:p w14:paraId="0175F642">
            <w:pPr>
              <w:jc w:val="center"/>
              <w:rPr>
                <w:color w:val="000000" w:themeColor="text1"/>
                <w14:textFill>
                  <w14:solidFill>
                    <w14:schemeClr w14:val="tx1"/>
                  </w14:solidFill>
                </w14:textFill>
              </w:rPr>
            </w:pPr>
          </w:p>
        </w:tc>
        <w:tc>
          <w:tcPr>
            <w:tcW w:w="153" w:type="pct"/>
            <w:vMerge w:val="continue"/>
            <w:vAlign w:val="center"/>
          </w:tcPr>
          <w:p w14:paraId="5EA563A2">
            <w:pPr>
              <w:jc w:val="center"/>
              <w:rPr>
                <w:color w:val="000000" w:themeColor="text1"/>
                <w14:textFill>
                  <w14:solidFill>
                    <w14:schemeClr w14:val="tx1"/>
                  </w14:solidFill>
                </w14:textFill>
              </w:rPr>
            </w:pPr>
          </w:p>
        </w:tc>
        <w:tc>
          <w:tcPr>
            <w:tcW w:w="158" w:type="pct"/>
            <w:vMerge w:val="continue"/>
            <w:vAlign w:val="center"/>
          </w:tcPr>
          <w:p w14:paraId="7877F1CF">
            <w:pPr>
              <w:jc w:val="center"/>
              <w:rPr>
                <w:color w:val="000000" w:themeColor="text1"/>
                <w14:textFill>
                  <w14:solidFill>
                    <w14:schemeClr w14:val="tx1"/>
                  </w14:solidFill>
                </w14:textFill>
              </w:rPr>
            </w:pPr>
          </w:p>
        </w:tc>
        <w:tc>
          <w:tcPr>
            <w:tcW w:w="257" w:type="pct"/>
            <w:vMerge w:val="continue"/>
            <w:vAlign w:val="center"/>
          </w:tcPr>
          <w:p w14:paraId="204CA65F">
            <w:pPr>
              <w:jc w:val="center"/>
              <w:rPr>
                <w:color w:val="000000" w:themeColor="text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2B99D1AF">
            <w:pPr>
              <w:rPr>
                <w:color w:val="000000" w:themeColor="text1"/>
                <w:spacing w:val="-5"/>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1721" w:type="pct"/>
            <w:tcBorders>
              <w:top w:val="single" w:color="auto" w:sz="4" w:space="0"/>
              <w:bottom w:val="single" w:color="auto" w:sz="4" w:space="0"/>
            </w:tcBorders>
            <w:shd w:val="clear" w:color="auto" w:fill="auto"/>
            <w:vAlign w:val="center"/>
          </w:tcPr>
          <w:p w14:paraId="7D6E8F84">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6"/>
                <w:lang w:eastAsia="zh-CN"/>
                <w14:textFill>
                  <w14:solidFill>
                    <w14:schemeClr w14:val="tx1"/>
                  </w14:solidFill>
                </w14:textFill>
              </w:rPr>
              <w:t>/</w:t>
            </w:r>
          </w:p>
        </w:tc>
        <w:tc>
          <w:tcPr>
            <w:tcW w:w="1069" w:type="pct"/>
            <w:tcBorders>
              <w:top w:val="single" w:color="auto" w:sz="4" w:space="0"/>
              <w:bottom w:val="single" w:color="auto" w:sz="4" w:space="0"/>
            </w:tcBorders>
            <w:shd w:val="clear" w:color="auto" w:fill="auto"/>
            <w:vAlign w:val="center"/>
          </w:tcPr>
          <w:p w14:paraId="568C1D30">
            <w:pPr>
              <w:snapToGrid w:val="0"/>
              <w:rPr>
                <w:color w:val="000000" w:themeColor="text1"/>
                <w:spacing w:val="-4"/>
                <w:szCs w:val="21"/>
                <w14:textFill>
                  <w14:solidFill>
                    <w14:schemeClr w14:val="tx1"/>
                  </w14:solidFill>
                </w14:textFill>
              </w:rPr>
            </w:pPr>
            <w:r>
              <w:rPr>
                <w:color w:val="000000" w:themeColor="text1"/>
                <w:szCs w:val="21"/>
                <w14:textFill>
                  <w14:solidFill>
                    <w14:schemeClr w14:val="tx1"/>
                  </w14:solidFill>
                </w14:textFill>
              </w:rPr>
              <w:t>/</w:t>
            </w:r>
          </w:p>
        </w:tc>
        <w:tc>
          <w:tcPr>
            <w:tcW w:w="239" w:type="pct"/>
            <w:tcBorders>
              <w:top w:val="single" w:color="auto" w:sz="4" w:space="0"/>
              <w:bottom w:val="single" w:color="auto" w:sz="4" w:space="0"/>
            </w:tcBorders>
            <w:vAlign w:val="center"/>
          </w:tcPr>
          <w:p w14:paraId="7B7855A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19702E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53F26095">
            <w:pPr>
              <w:jc w:val="center"/>
              <w:rPr>
                <w:color w:val="000000" w:themeColor="text1"/>
                <w14:textFill>
                  <w14:solidFill>
                    <w14:schemeClr w14:val="tx1"/>
                  </w14:solidFill>
                </w14:textFill>
              </w:rPr>
            </w:pPr>
          </w:p>
        </w:tc>
        <w:tc>
          <w:tcPr>
            <w:tcW w:w="224" w:type="pct"/>
            <w:vMerge w:val="continue"/>
            <w:vAlign w:val="center"/>
          </w:tcPr>
          <w:p w14:paraId="286F0A8F">
            <w:pPr>
              <w:snapToGrid w:val="0"/>
              <w:jc w:val="center"/>
              <w:rPr>
                <w:color w:val="000000" w:themeColor="text1"/>
                <w14:textFill>
                  <w14:solidFill>
                    <w14:schemeClr w14:val="tx1"/>
                  </w14:solidFill>
                </w14:textFill>
              </w:rPr>
            </w:pPr>
          </w:p>
        </w:tc>
        <w:tc>
          <w:tcPr>
            <w:tcW w:w="150" w:type="pct"/>
            <w:vMerge w:val="continue"/>
            <w:vAlign w:val="center"/>
          </w:tcPr>
          <w:p w14:paraId="0330FBFF">
            <w:pPr>
              <w:jc w:val="center"/>
              <w:rPr>
                <w:color w:val="000000" w:themeColor="text1"/>
                <w14:textFill>
                  <w14:solidFill>
                    <w14:schemeClr w14:val="tx1"/>
                  </w14:solidFill>
                </w14:textFill>
              </w:rPr>
            </w:pPr>
          </w:p>
        </w:tc>
        <w:tc>
          <w:tcPr>
            <w:tcW w:w="153" w:type="pct"/>
            <w:vMerge w:val="continue"/>
            <w:vAlign w:val="center"/>
          </w:tcPr>
          <w:p w14:paraId="3151BBD8">
            <w:pPr>
              <w:jc w:val="center"/>
              <w:rPr>
                <w:color w:val="000000" w:themeColor="text1"/>
                <w14:textFill>
                  <w14:solidFill>
                    <w14:schemeClr w14:val="tx1"/>
                  </w14:solidFill>
                </w14:textFill>
              </w:rPr>
            </w:pPr>
          </w:p>
        </w:tc>
        <w:tc>
          <w:tcPr>
            <w:tcW w:w="153" w:type="pct"/>
            <w:vMerge w:val="continue"/>
            <w:vAlign w:val="center"/>
          </w:tcPr>
          <w:p w14:paraId="3F0D7F82">
            <w:pPr>
              <w:jc w:val="center"/>
              <w:rPr>
                <w:color w:val="000000" w:themeColor="text1"/>
                <w14:textFill>
                  <w14:solidFill>
                    <w14:schemeClr w14:val="tx1"/>
                  </w14:solidFill>
                </w14:textFill>
              </w:rPr>
            </w:pPr>
          </w:p>
        </w:tc>
        <w:tc>
          <w:tcPr>
            <w:tcW w:w="158" w:type="pct"/>
            <w:vMerge w:val="continue"/>
            <w:vAlign w:val="center"/>
          </w:tcPr>
          <w:p w14:paraId="6F4B8D05">
            <w:pPr>
              <w:jc w:val="center"/>
              <w:rPr>
                <w:color w:val="000000" w:themeColor="text1"/>
                <w14:textFill>
                  <w14:solidFill>
                    <w14:schemeClr w14:val="tx1"/>
                  </w14:solidFill>
                </w14:textFill>
              </w:rPr>
            </w:pPr>
          </w:p>
        </w:tc>
        <w:tc>
          <w:tcPr>
            <w:tcW w:w="257" w:type="pct"/>
            <w:vMerge w:val="continue"/>
            <w:vAlign w:val="center"/>
          </w:tcPr>
          <w:p w14:paraId="1F4A5927">
            <w:pPr>
              <w:jc w:val="center"/>
              <w:rPr>
                <w:color w:val="000000" w:themeColor="text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3C211280">
            <w:pPr>
              <w:snapToGrid w:val="0"/>
              <w:rPr>
                <w:color w:val="000000" w:themeColor="text1"/>
                <w:spacing w:val="-5"/>
                <w:szCs w:val="21"/>
                <w14:textFill>
                  <w14:solidFill>
                    <w14:schemeClr w14:val="tx1"/>
                  </w14:solidFill>
                </w14:textFill>
              </w:rPr>
            </w:pPr>
            <w:r>
              <w:rPr>
                <w:bCs/>
                <w:color w:val="000000" w:themeColor="text1"/>
                <w:szCs w:val="21"/>
                <w14:textFill>
                  <w14:solidFill>
                    <w14:schemeClr w14:val="tx1"/>
                  </w14:solidFill>
                </w14:textFill>
              </w:rPr>
              <w:t>环境风险防控</w:t>
            </w:r>
          </w:p>
        </w:tc>
        <w:tc>
          <w:tcPr>
            <w:tcW w:w="1721" w:type="pct"/>
            <w:tcBorders>
              <w:top w:val="single" w:color="auto" w:sz="4" w:space="0"/>
              <w:bottom w:val="single" w:color="auto" w:sz="4" w:space="0"/>
            </w:tcBorders>
            <w:shd w:val="clear" w:color="auto" w:fill="auto"/>
            <w:vAlign w:val="center"/>
          </w:tcPr>
          <w:p w14:paraId="377871D0">
            <w:pPr>
              <w:pStyle w:val="40"/>
              <w:rPr>
                <w:rFonts w:ascii="Times New Roman" w:hAnsi="Times New Roman" w:cs="Times New Roman"/>
                <w:color w:val="000000" w:themeColor="text1"/>
                <w:spacing w:val="-2"/>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1、</w:t>
            </w:r>
            <w:r>
              <w:rPr>
                <w:rFonts w:ascii="Times New Roman" w:hAnsi="Times New Roman" w:cs="Times New Roman"/>
                <w:color w:val="000000" w:themeColor="text1"/>
                <w:spacing w:val="-6"/>
                <w:lang w:eastAsia="zh-CN"/>
                <w14:textFill>
                  <w14:solidFill>
                    <w14:schemeClr w14:val="tx1"/>
                  </w14:solidFill>
                </w14:textFill>
              </w:rPr>
              <w:t>严格落</w:t>
            </w:r>
            <w:r>
              <w:rPr>
                <w:rFonts w:ascii="Times New Roman" w:hAnsi="Times New Roman" w:cs="Times New Roman"/>
                <w:color w:val="000000" w:themeColor="text1"/>
                <w:spacing w:val="12"/>
                <w:lang w:eastAsia="zh-CN"/>
                <w14:textFill>
                  <w14:solidFill>
                    <w14:schemeClr w14:val="tx1"/>
                  </w14:solidFill>
                </w14:textFill>
              </w:rPr>
              <w:t>实规划环评及其批复文件制定的环境风险防范</w:t>
            </w:r>
            <w:r>
              <w:rPr>
                <w:rFonts w:ascii="Times New Roman" w:hAnsi="Times New Roman" w:cs="Times New Roman"/>
                <w:color w:val="000000" w:themeColor="text1"/>
                <w:spacing w:val="-2"/>
                <w:lang w:eastAsia="zh-CN"/>
                <w14:textFill>
                  <w14:solidFill>
                    <w14:schemeClr w14:val="tx1"/>
                  </w14:solidFill>
                </w14:textFill>
              </w:rPr>
              <w:t>措施。</w:t>
            </w:r>
          </w:p>
          <w:p w14:paraId="4E7676B4">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2、</w:t>
            </w:r>
            <w:r>
              <w:rPr>
                <w:rFonts w:ascii="Times New Roman" w:hAnsi="Times New Roman" w:cs="Times New Roman"/>
                <w:color w:val="000000" w:themeColor="text1"/>
                <w:spacing w:val="12"/>
                <w:lang w:eastAsia="zh-CN"/>
                <w14:textFill>
                  <w14:solidFill>
                    <w14:schemeClr w14:val="tx1"/>
                  </w14:solidFill>
                </w14:textFill>
              </w:rPr>
              <w:t>园区应制定环境风险应急预案，成立应急组织机构，定期开展应急演练，</w:t>
            </w:r>
            <w:r>
              <w:rPr>
                <w:rFonts w:ascii="Times New Roman" w:hAnsi="Times New Roman" w:cs="Times New Roman"/>
                <w:color w:val="000000" w:themeColor="text1"/>
                <w:spacing w:val="-3"/>
                <w:lang w:eastAsia="zh-CN"/>
                <w14:textFill>
                  <w14:solidFill>
                    <w14:schemeClr w14:val="tx1"/>
                  </w14:solidFill>
                </w14:textFill>
              </w:rPr>
              <w:t>提高区域环境风险</w:t>
            </w:r>
            <w:r>
              <w:rPr>
                <w:rFonts w:ascii="Times New Roman" w:hAnsi="Times New Roman" w:cs="Times New Roman"/>
                <w:color w:val="000000" w:themeColor="text1"/>
                <w:spacing w:val="-9"/>
                <w:lang w:eastAsia="zh-CN"/>
                <w14:textFill>
                  <w14:solidFill>
                    <w14:schemeClr w14:val="tx1"/>
                  </w14:solidFill>
                </w14:textFill>
              </w:rPr>
              <w:t>防范能</w:t>
            </w:r>
            <w:r>
              <w:rPr>
                <w:rFonts w:ascii="Times New Roman" w:hAnsi="Times New Roman" w:cs="Times New Roman"/>
                <w:color w:val="000000" w:themeColor="text1"/>
                <w:spacing w:val="47"/>
                <w:lang w:eastAsia="zh-CN"/>
                <w14:textFill>
                  <w14:solidFill>
                    <w14:schemeClr w14:val="tx1"/>
                  </w14:solidFill>
                </w14:textFill>
              </w:rPr>
              <w:t>力。</w:t>
            </w:r>
          </w:p>
        </w:tc>
        <w:tc>
          <w:tcPr>
            <w:tcW w:w="1069" w:type="pct"/>
            <w:tcBorders>
              <w:top w:val="single" w:color="auto" w:sz="4" w:space="0"/>
              <w:bottom w:val="single" w:color="auto" w:sz="4" w:space="0"/>
            </w:tcBorders>
            <w:shd w:val="clear" w:color="auto" w:fill="auto"/>
            <w:vAlign w:val="center"/>
          </w:tcPr>
          <w:p w14:paraId="1987F197">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1、本项目严格落实规划环评及其批复文件制定的环境风险防范措施；</w:t>
            </w:r>
          </w:p>
          <w:p w14:paraId="00E83F3A">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2、本项目不涉及；</w:t>
            </w:r>
          </w:p>
        </w:tc>
        <w:tc>
          <w:tcPr>
            <w:tcW w:w="239" w:type="pct"/>
            <w:tcBorders>
              <w:top w:val="single" w:color="auto" w:sz="4" w:space="0"/>
              <w:bottom w:val="single" w:color="auto" w:sz="4" w:space="0"/>
            </w:tcBorders>
            <w:shd w:val="clear" w:color="auto" w:fill="auto"/>
            <w:vAlign w:val="center"/>
          </w:tcPr>
          <w:p w14:paraId="30AD6CF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284AAD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6D57CDAB">
            <w:pPr>
              <w:jc w:val="center"/>
              <w:rPr>
                <w:color w:val="000000" w:themeColor="text1"/>
                <w14:textFill>
                  <w14:solidFill>
                    <w14:schemeClr w14:val="tx1"/>
                  </w14:solidFill>
                </w14:textFill>
              </w:rPr>
            </w:pPr>
          </w:p>
        </w:tc>
        <w:tc>
          <w:tcPr>
            <w:tcW w:w="224" w:type="pct"/>
            <w:vMerge w:val="continue"/>
          </w:tcPr>
          <w:p w14:paraId="1CFBF733">
            <w:pPr>
              <w:jc w:val="center"/>
              <w:rPr>
                <w:color w:val="000000" w:themeColor="text1"/>
                <w14:textFill>
                  <w14:solidFill>
                    <w14:schemeClr w14:val="tx1"/>
                  </w14:solidFill>
                </w14:textFill>
              </w:rPr>
            </w:pPr>
          </w:p>
        </w:tc>
        <w:tc>
          <w:tcPr>
            <w:tcW w:w="150" w:type="pct"/>
            <w:vMerge w:val="continue"/>
          </w:tcPr>
          <w:p w14:paraId="5E5A51B5">
            <w:pPr>
              <w:jc w:val="center"/>
              <w:rPr>
                <w:color w:val="000000" w:themeColor="text1"/>
                <w14:textFill>
                  <w14:solidFill>
                    <w14:schemeClr w14:val="tx1"/>
                  </w14:solidFill>
                </w14:textFill>
              </w:rPr>
            </w:pPr>
          </w:p>
        </w:tc>
        <w:tc>
          <w:tcPr>
            <w:tcW w:w="153" w:type="pct"/>
            <w:vMerge w:val="continue"/>
          </w:tcPr>
          <w:p w14:paraId="0B79BEE5">
            <w:pPr>
              <w:jc w:val="center"/>
              <w:rPr>
                <w:color w:val="000000" w:themeColor="text1"/>
                <w14:textFill>
                  <w14:solidFill>
                    <w14:schemeClr w14:val="tx1"/>
                  </w14:solidFill>
                </w14:textFill>
              </w:rPr>
            </w:pPr>
          </w:p>
        </w:tc>
        <w:tc>
          <w:tcPr>
            <w:tcW w:w="153" w:type="pct"/>
            <w:vMerge w:val="continue"/>
          </w:tcPr>
          <w:p w14:paraId="142D1955">
            <w:pPr>
              <w:jc w:val="center"/>
              <w:rPr>
                <w:color w:val="000000" w:themeColor="text1"/>
                <w14:textFill>
                  <w14:solidFill>
                    <w14:schemeClr w14:val="tx1"/>
                  </w14:solidFill>
                </w14:textFill>
              </w:rPr>
            </w:pPr>
          </w:p>
        </w:tc>
        <w:tc>
          <w:tcPr>
            <w:tcW w:w="158" w:type="pct"/>
            <w:vMerge w:val="continue"/>
          </w:tcPr>
          <w:p w14:paraId="13884EE5">
            <w:pPr>
              <w:jc w:val="center"/>
              <w:rPr>
                <w:color w:val="000000" w:themeColor="text1"/>
                <w14:textFill>
                  <w14:solidFill>
                    <w14:schemeClr w14:val="tx1"/>
                  </w14:solidFill>
                </w14:textFill>
              </w:rPr>
            </w:pPr>
          </w:p>
        </w:tc>
        <w:tc>
          <w:tcPr>
            <w:tcW w:w="257" w:type="pct"/>
            <w:vMerge w:val="continue"/>
          </w:tcPr>
          <w:p w14:paraId="128F4F98">
            <w:pPr>
              <w:jc w:val="center"/>
              <w:rPr>
                <w:color w:val="000000" w:themeColor="text1"/>
                <w14:textFill>
                  <w14:solidFill>
                    <w14:schemeClr w14:val="tx1"/>
                  </w14:solidFill>
                </w14:textFill>
              </w:rPr>
            </w:pPr>
          </w:p>
        </w:tc>
        <w:tc>
          <w:tcPr>
            <w:tcW w:w="225" w:type="pct"/>
            <w:tcBorders>
              <w:top w:val="single" w:color="auto" w:sz="4" w:space="0"/>
              <w:bottom w:val="single" w:color="auto" w:sz="4" w:space="0"/>
            </w:tcBorders>
            <w:shd w:val="clear" w:color="auto" w:fill="auto"/>
            <w:vAlign w:val="center"/>
          </w:tcPr>
          <w:p w14:paraId="5AF43D12">
            <w:pPr>
              <w:snapToGrid w:val="0"/>
              <w:rPr>
                <w:color w:val="000000" w:themeColor="text1"/>
                <w:spacing w:val="-5"/>
                <w:szCs w:val="21"/>
                <w14:textFill>
                  <w14:solidFill>
                    <w14:schemeClr w14:val="tx1"/>
                  </w14:solidFill>
                </w14:textFill>
              </w:rPr>
            </w:pPr>
            <w:r>
              <w:rPr>
                <w:color w:val="000000" w:themeColor="text1"/>
                <w:spacing w:val="-5"/>
                <w:szCs w:val="21"/>
                <w14:textFill>
                  <w14:solidFill>
                    <w14:schemeClr w14:val="tx1"/>
                  </w14:solidFill>
                </w14:textFill>
              </w:rPr>
              <w:t>资源开发</w:t>
            </w:r>
            <w:r>
              <w:rPr>
                <w:color w:val="000000" w:themeColor="text1"/>
                <w:spacing w:val="-4"/>
                <w:szCs w:val="21"/>
                <w14:textFill>
                  <w14:solidFill>
                    <w14:schemeClr w14:val="tx1"/>
                  </w14:solidFill>
                </w14:textFill>
              </w:rPr>
              <w:t>效率要求</w:t>
            </w:r>
          </w:p>
        </w:tc>
        <w:tc>
          <w:tcPr>
            <w:tcW w:w="1721" w:type="pct"/>
            <w:tcBorders>
              <w:top w:val="single" w:color="auto" w:sz="4" w:space="0"/>
              <w:bottom w:val="single" w:color="auto" w:sz="4" w:space="0"/>
            </w:tcBorders>
            <w:shd w:val="clear" w:color="auto" w:fill="auto"/>
            <w:vAlign w:val="center"/>
          </w:tcPr>
          <w:p w14:paraId="307E0975">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在禁燃区内，禁止销售、燃用高污染燃料；禁止新建、扩建燃用高污染燃</w:t>
            </w:r>
            <w:r>
              <w:rPr>
                <w:rFonts w:ascii="Times New Roman" w:hAnsi="Times New Roman" w:cs="Times New Roman"/>
                <w:color w:val="000000" w:themeColor="text1"/>
                <w:spacing w:val="-4"/>
                <w:lang w:eastAsia="zh-CN"/>
                <w14:textFill>
                  <w14:solidFill>
                    <w14:schemeClr w14:val="tx1"/>
                  </w14:solidFill>
                </w14:textFill>
              </w:rPr>
              <w:t>料的设</w:t>
            </w:r>
            <w:r>
              <w:rPr>
                <w:rFonts w:ascii="Times New Roman" w:hAnsi="Times New Roman" w:cs="Times New Roman"/>
                <w:color w:val="000000" w:themeColor="text1"/>
                <w:spacing w:val="-3"/>
                <w:lang w:eastAsia="zh-CN"/>
                <w14:textFill>
                  <w14:solidFill>
                    <w14:schemeClr w14:val="tx1"/>
                  </w14:solidFill>
                </w14:textFill>
              </w:rPr>
              <w:t>施，已建成的，应当在各省辖市、县（市）人民政府规定的期限内改用天然气、页岩气、液</w:t>
            </w:r>
            <w:r>
              <w:rPr>
                <w:rFonts w:ascii="Times New Roman" w:hAnsi="Times New Roman" w:cs="Times New Roman"/>
                <w:color w:val="000000" w:themeColor="text1"/>
                <w:spacing w:val="-4"/>
                <w:lang w:eastAsia="zh-CN"/>
                <w14:textFill>
                  <w14:solidFill>
                    <w14:schemeClr w14:val="tx1"/>
                  </w14:solidFill>
                </w14:textFill>
              </w:rPr>
              <w:t>化石油</w:t>
            </w:r>
            <w:r>
              <w:rPr>
                <w:rFonts w:ascii="Times New Roman" w:hAnsi="Times New Roman" w:cs="Times New Roman"/>
                <w:color w:val="000000" w:themeColor="text1"/>
                <w:spacing w:val="-3"/>
                <w:lang w:eastAsia="zh-CN"/>
                <w14:textFill>
                  <w14:solidFill>
                    <w14:schemeClr w14:val="tx1"/>
                  </w14:solidFill>
                </w14:textFill>
              </w:rPr>
              <w:t>气、电或者其他清洁能源；大力改善煤电机组</w:t>
            </w:r>
            <w:r>
              <w:rPr>
                <w:rFonts w:ascii="Times New Roman" w:hAnsi="Times New Roman" w:cs="Times New Roman"/>
                <w:color w:val="000000" w:themeColor="text1"/>
                <w:spacing w:val="1"/>
                <w:lang w:eastAsia="zh-CN"/>
                <w14:textFill>
                  <w14:solidFill>
                    <w14:schemeClr w14:val="tx1"/>
                  </w14:solidFill>
                </w14:textFill>
              </w:rPr>
              <w:t xml:space="preserve"> </w:t>
            </w:r>
            <w:r>
              <w:rPr>
                <w:rFonts w:ascii="Times New Roman" w:hAnsi="Times New Roman" w:cs="Times New Roman"/>
                <w:color w:val="000000" w:themeColor="text1"/>
                <w:spacing w:val="-3"/>
                <w:lang w:eastAsia="zh-CN"/>
                <w14:textFill>
                  <w14:solidFill>
                    <w14:schemeClr w14:val="tx1"/>
                  </w14:solidFill>
                </w14:textFill>
              </w:rPr>
              <w:t>供电煤耗</w:t>
            </w:r>
            <w:r>
              <w:rPr>
                <w:rFonts w:ascii="Times New Roman" w:hAnsi="Times New Roman" w:cs="Times New Roman"/>
                <w:color w:val="000000" w:themeColor="text1"/>
                <w:spacing w:val="-5"/>
                <w:lang w:eastAsia="zh-CN"/>
                <w14:textFill>
                  <w14:solidFill>
                    <w14:schemeClr w14:val="tx1"/>
                  </w14:solidFill>
                </w14:textFill>
              </w:rPr>
              <w:t>水平。</w:t>
            </w:r>
          </w:p>
        </w:tc>
        <w:tc>
          <w:tcPr>
            <w:tcW w:w="1069" w:type="pct"/>
            <w:tcBorders>
              <w:top w:val="single" w:color="auto" w:sz="4" w:space="0"/>
              <w:bottom w:val="single" w:color="auto" w:sz="4" w:space="0"/>
            </w:tcBorders>
            <w:shd w:val="clear" w:color="auto" w:fill="auto"/>
            <w:vAlign w:val="center"/>
          </w:tcPr>
          <w:p w14:paraId="1F838316">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本项目主要能源是电</w:t>
            </w:r>
            <w:r>
              <w:rPr>
                <w:rFonts w:hint="eastAsia"/>
                <w:color w:val="000000" w:themeColor="text1"/>
                <w:szCs w:val="21"/>
                <w14:textFill>
                  <w14:solidFill>
                    <w14:schemeClr w14:val="tx1"/>
                  </w14:solidFill>
                </w14:textFill>
              </w:rPr>
              <w:t>和天然气。</w:t>
            </w:r>
          </w:p>
        </w:tc>
        <w:tc>
          <w:tcPr>
            <w:tcW w:w="239" w:type="pct"/>
            <w:tcBorders>
              <w:top w:val="single" w:color="auto" w:sz="4" w:space="0"/>
              <w:bottom w:val="single" w:color="auto" w:sz="4" w:space="0"/>
            </w:tcBorders>
            <w:vAlign w:val="center"/>
          </w:tcPr>
          <w:p w14:paraId="04FAB64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256538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restart"/>
            <w:shd w:val="clear" w:color="auto" w:fill="auto"/>
            <w:vAlign w:val="center"/>
          </w:tcPr>
          <w:p w14:paraId="320324E7">
            <w:pPr>
              <w:pStyle w:val="4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1"/>
                <w14:textFill>
                  <w14:solidFill>
                    <w14:schemeClr w14:val="tx1"/>
                  </w14:solidFill>
                </w14:textFill>
              </w:rPr>
              <w:t>YS41132</w:t>
            </w:r>
            <w:r>
              <w:rPr>
                <w:rFonts w:ascii="Times New Roman" w:hAnsi="Times New Roman" w:cs="Times New Roman"/>
                <w:color w:val="000000" w:themeColor="text1"/>
                <w:spacing w:val="-2"/>
                <w14:textFill>
                  <w14:solidFill>
                    <w14:schemeClr w14:val="tx1"/>
                  </w14:solidFill>
                </w14:textFill>
              </w:rPr>
              <w:t>4234000</w:t>
            </w:r>
            <w:r>
              <w:rPr>
                <w:rFonts w:ascii="Times New Roman" w:hAnsi="Times New Roman" w:cs="Times New Roman"/>
                <w:color w:val="000000" w:themeColor="text1"/>
                <w14:textFill>
                  <w14:solidFill>
                    <w14:schemeClr w14:val="tx1"/>
                  </w14:solidFill>
                </w14:textFill>
              </w:rPr>
              <w:t>1</w:t>
            </w:r>
          </w:p>
        </w:tc>
        <w:tc>
          <w:tcPr>
            <w:tcW w:w="224" w:type="pct"/>
            <w:vMerge w:val="restart"/>
            <w:shd w:val="clear" w:color="auto" w:fill="auto"/>
            <w:vAlign w:val="center"/>
          </w:tcPr>
          <w:p w14:paraId="22CDD2B5">
            <w:pPr>
              <w:pStyle w:val="40"/>
              <w:jc w:val="center"/>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7"/>
                <w:lang w:eastAsia="zh-CN"/>
                <w14:textFill>
                  <w14:solidFill>
                    <w14:schemeClr w14:val="tx1"/>
                  </w14:solidFill>
                </w14:textFill>
              </w:rPr>
              <w:t>/</w:t>
            </w:r>
          </w:p>
        </w:tc>
        <w:tc>
          <w:tcPr>
            <w:tcW w:w="150" w:type="pct"/>
            <w:vMerge w:val="restart"/>
            <w:shd w:val="clear" w:color="auto" w:fill="auto"/>
            <w:vAlign w:val="center"/>
          </w:tcPr>
          <w:p w14:paraId="3C7C04C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河南省</w:t>
            </w:r>
          </w:p>
        </w:tc>
        <w:tc>
          <w:tcPr>
            <w:tcW w:w="153" w:type="pct"/>
            <w:vMerge w:val="restart"/>
            <w:shd w:val="clear" w:color="auto" w:fill="auto"/>
            <w:vAlign w:val="center"/>
          </w:tcPr>
          <w:p w14:paraId="14101A9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南阳市</w:t>
            </w:r>
          </w:p>
        </w:tc>
        <w:tc>
          <w:tcPr>
            <w:tcW w:w="153" w:type="pct"/>
            <w:vMerge w:val="restart"/>
            <w:shd w:val="clear" w:color="auto" w:fill="auto"/>
            <w:vAlign w:val="center"/>
          </w:tcPr>
          <w:p w14:paraId="1D49792E">
            <w:pPr>
              <w:jc w:val="center"/>
              <w:rPr>
                <w:color w:val="000000" w:themeColor="text1"/>
                <w14:textFill>
                  <w14:solidFill>
                    <w14:schemeClr w14:val="tx1"/>
                  </w14:solidFill>
                </w14:textFill>
              </w:rPr>
            </w:pPr>
            <w:r>
              <w:rPr>
                <w:color w:val="000000" w:themeColor="text1"/>
                <w:spacing w:val="-4"/>
                <w:szCs w:val="21"/>
                <w14:textFill>
                  <w14:solidFill>
                    <w14:schemeClr w14:val="tx1"/>
                  </w14:solidFill>
                </w14:textFill>
              </w:rPr>
              <w:t>镇平县</w:t>
            </w:r>
          </w:p>
        </w:tc>
        <w:tc>
          <w:tcPr>
            <w:tcW w:w="158" w:type="pct"/>
            <w:vMerge w:val="restart"/>
            <w:shd w:val="clear" w:color="auto" w:fill="auto"/>
            <w:vAlign w:val="center"/>
          </w:tcPr>
          <w:p w14:paraId="57CC322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57" w:type="pct"/>
            <w:vMerge w:val="restart"/>
            <w:shd w:val="clear" w:color="auto" w:fill="auto"/>
            <w:vAlign w:val="center"/>
          </w:tcPr>
          <w:p w14:paraId="1C49BE7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重点</w:t>
            </w:r>
            <w:r>
              <w:rPr>
                <w:color w:val="000000" w:themeColor="text1"/>
                <w14:textFill>
                  <w14:solidFill>
                    <w14:schemeClr w14:val="tx1"/>
                  </w14:solidFill>
                </w14:textFill>
              </w:rPr>
              <w:t>管控单元</w:t>
            </w:r>
          </w:p>
        </w:tc>
        <w:tc>
          <w:tcPr>
            <w:tcW w:w="225" w:type="pct"/>
            <w:tcBorders>
              <w:top w:val="single" w:color="auto" w:sz="4" w:space="0"/>
              <w:bottom w:val="single" w:color="auto" w:sz="4" w:space="0"/>
            </w:tcBorders>
            <w:shd w:val="clear" w:color="auto" w:fill="auto"/>
            <w:vAlign w:val="center"/>
          </w:tcPr>
          <w:p w14:paraId="4F62BA6A">
            <w:pPr>
              <w:rPr>
                <w:color w:val="000000" w:themeColor="text1"/>
                <w:spacing w:val="-5"/>
                <w:szCs w:val="21"/>
                <w14:textFill>
                  <w14:solidFill>
                    <w14:schemeClr w14:val="tx1"/>
                  </w14:solidFill>
                </w14:textFill>
              </w:rPr>
            </w:pPr>
            <w:r>
              <w:rPr>
                <w:color w:val="000000" w:themeColor="text1"/>
                <w:szCs w:val="21"/>
                <w14:textFill>
                  <w14:solidFill>
                    <w14:schemeClr w14:val="tx1"/>
                  </w14:solidFill>
                </w14:textFill>
              </w:rPr>
              <w:t>空间布局约束</w:t>
            </w:r>
          </w:p>
        </w:tc>
        <w:tc>
          <w:tcPr>
            <w:tcW w:w="1721" w:type="pct"/>
            <w:tcBorders>
              <w:top w:val="single" w:color="auto" w:sz="4" w:space="0"/>
              <w:bottom w:val="single" w:color="auto" w:sz="4" w:space="0"/>
            </w:tcBorders>
            <w:shd w:val="clear" w:color="auto" w:fill="auto"/>
            <w:vAlign w:val="center"/>
          </w:tcPr>
          <w:p w14:paraId="7FEB92D1">
            <w:pPr>
              <w:pStyle w:val="40"/>
              <w:rPr>
                <w:rFonts w:ascii="Times New Roman" w:hAnsi="Times New Roman" w:cs="Times New Roman"/>
                <w:color w:val="000000" w:themeColor="text1"/>
                <w:spacing w:val="-3"/>
                <w:lang w:eastAsia="zh-CN"/>
                <w14:textFill>
                  <w14:solidFill>
                    <w14:schemeClr w14:val="tx1"/>
                  </w14:solidFill>
                </w14:textFill>
              </w:rPr>
            </w:pPr>
            <w:r>
              <w:rPr>
                <w:rFonts w:ascii="Times New Roman" w:hAnsi="Times New Roman" w:cs="Times New Roman"/>
                <w:color w:val="000000" w:themeColor="text1"/>
                <w:spacing w:val="-6"/>
                <w:lang w:eastAsia="zh-CN"/>
                <w14:textFill>
                  <w14:solidFill>
                    <w14:schemeClr w14:val="tx1"/>
                  </w14:solidFill>
                </w14:textFill>
              </w:rPr>
              <w:t>1、在各省</w:t>
            </w:r>
            <w:r>
              <w:rPr>
                <w:rFonts w:ascii="Times New Roman" w:hAnsi="Times New Roman" w:cs="Times New Roman"/>
                <w:color w:val="000000" w:themeColor="text1"/>
                <w:spacing w:val="-3"/>
                <w:lang w:eastAsia="zh-CN"/>
                <w14:textFill>
                  <w14:solidFill>
                    <w14:schemeClr w14:val="tx1"/>
                  </w14:solidFill>
                </w14:textFill>
              </w:rPr>
              <w:t>辖市城市</w:t>
            </w:r>
            <w:r>
              <w:rPr>
                <w:rFonts w:ascii="Times New Roman" w:hAnsi="Times New Roman" w:cs="Times New Roman"/>
                <w:color w:val="000000" w:themeColor="text1"/>
                <w:spacing w:val="-5"/>
                <w:lang w:eastAsia="zh-CN"/>
                <w14:textFill>
                  <w14:solidFill>
                    <w14:schemeClr w14:val="tx1"/>
                  </w14:solidFill>
                </w14:textFill>
              </w:rPr>
              <w:t>建成区</w:t>
            </w:r>
            <w:r>
              <w:rPr>
                <w:rFonts w:ascii="Times New Roman" w:hAnsi="Times New Roman" w:cs="Times New Roman"/>
                <w:color w:val="000000" w:themeColor="text1"/>
                <w:spacing w:val="-10"/>
                <w:lang w:eastAsia="zh-CN"/>
                <w14:textFill>
                  <w14:solidFill>
                    <w14:schemeClr w14:val="tx1"/>
                  </w14:solidFill>
                </w14:textFill>
              </w:rPr>
              <w:t>内，禁止</w:t>
            </w:r>
            <w:r>
              <w:rPr>
                <w:rFonts w:ascii="Times New Roman" w:hAnsi="Times New Roman" w:cs="Times New Roman"/>
                <w:color w:val="000000" w:themeColor="text1"/>
                <w:spacing w:val="-3"/>
                <w:lang w:eastAsia="zh-CN"/>
                <w14:textFill>
                  <w14:solidFill>
                    <w14:schemeClr w14:val="tx1"/>
                  </w14:solidFill>
                </w14:textFill>
              </w:rPr>
              <w:t>新建每小</w:t>
            </w:r>
            <w:r>
              <w:rPr>
                <w:rFonts w:ascii="Times New Roman" w:hAnsi="Times New Roman" w:cs="Times New Roman"/>
                <w:color w:val="000000" w:themeColor="text1"/>
                <w:spacing w:val="-6"/>
                <w:lang w:eastAsia="zh-CN"/>
                <w14:textFill>
                  <w14:solidFill>
                    <w14:schemeClr w14:val="tx1"/>
                  </w14:solidFill>
                </w14:textFill>
              </w:rPr>
              <w:t>时二十蒸吨以下的</w:t>
            </w:r>
            <w:r>
              <w:rPr>
                <w:rFonts w:ascii="Times New Roman" w:hAnsi="Times New Roman" w:cs="Times New Roman"/>
                <w:color w:val="000000" w:themeColor="text1"/>
                <w:spacing w:val="-4"/>
                <w:lang w:eastAsia="zh-CN"/>
                <w14:textFill>
                  <w14:solidFill>
                    <w14:schemeClr w14:val="tx1"/>
                  </w14:solidFill>
                </w14:textFill>
              </w:rPr>
              <w:t>燃烧煤</w:t>
            </w:r>
            <w:r>
              <w:rPr>
                <w:rFonts w:ascii="Times New Roman" w:hAnsi="Times New Roman" w:cs="Times New Roman"/>
                <w:color w:val="000000" w:themeColor="text1"/>
                <w:spacing w:val="-1"/>
                <w:lang w:eastAsia="zh-CN"/>
                <w14:textFill>
                  <w14:solidFill>
                    <w14:schemeClr w14:val="tx1"/>
                  </w14:solidFill>
                </w14:textFill>
              </w:rPr>
              <w:t>炭、重</w:t>
            </w:r>
            <w:r>
              <w:rPr>
                <w:rFonts w:ascii="Times New Roman" w:hAnsi="Times New Roman" w:cs="Times New Roman"/>
                <w:color w:val="000000" w:themeColor="text1"/>
                <w:spacing w:val="-4"/>
                <w:lang w:eastAsia="zh-CN"/>
                <w14:textFill>
                  <w14:solidFill>
                    <w14:schemeClr w14:val="tx1"/>
                  </w14:solidFill>
                </w14:textFill>
              </w:rPr>
              <w:t>油、渣油</w:t>
            </w:r>
            <w:r>
              <w:rPr>
                <w:rFonts w:ascii="Times New Roman" w:hAnsi="Times New Roman" w:cs="Times New Roman"/>
                <w:color w:val="000000" w:themeColor="text1"/>
                <w:spacing w:val="-2"/>
                <w:lang w:eastAsia="zh-CN"/>
                <w14:textFill>
                  <w14:solidFill>
                    <w14:schemeClr w14:val="tx1"/>
                  </w14:solidFill>
                </w14:textFill>
              </w:rPr>
              <w:t>蹦及直接</w:t>
            </w:r>
            <w:r>
              <w:rPr>
                <w:rFonts w:ascii="Times New Roman" w:hAnsi="Times New Roman" w:cs="Times New Roman"/>
                <w:color w:val="000000" w:themeColor="text1"/>
                <w:spacing w:val="-3"/>
                <w:lang w:eastAsia="zh-CN"/>
                <w14:textFill>
                  <w14:solidFill>
                    <w14:schemeClr w14:val="tx1"/>
                  </w14:solidFill>
                </w14:textFill>
              </w:rPr>
              <w:t>燃用生物</w:t>
            </w:r>
            <w:r>
              <w:rPr>
                <w:rFonts w:ascii="Times New Roman" w:hAnsi="Times New Roman" w:cs="Times New Roman"/>
                <w:color w:val="000000" w:themeColor="text1"/>
                <w:spacing w:val="-4"/>
                <w:lang w:eastAsia="zh-CN"/>
                <w14:textFill>
                  <w14:solidFill>
                    <w14:schemeClr w14:val="tx1"/>
                  </w14:solidFill>
                </w14:textFill>
              </w:rPr>
              <w:t>质的锅炉，其他</w:t>
            </w:r>
            <w:r>
              <w:rPr>
                <w:rFonts w:ascii="Times New Roman" w:hAnsi="Times New Roman" w:cs="Times New Roman"/>
                <w:color w:val="000000" w:themeColor="text1"/>
                <w:spacing w:val="-3"/>
                <w:lang w:eastAsia="zh-CN"/>
                <w14:textFill>
                  <w14:solidFill>
                    <w14:schemeClr w14:val="tx1"/>
                  </w14:solidFill>
                </w14:textFill>
              </w:rPr>
              <w:t>地区禁止新建每小</w:t>
            </w:r>
            <w:r>
              <w:rPr>
                <w:rFonts w:ascii="Times New Roman" w:hAnsi="Times New Roman" w:cs="Times New Roman"/>
                <w:color w:val="000000" w:themeColor="text1"/>
                <w:spacing w:val="-6"/>
                <w:lang w:eastAsia="zh-CN"/>
                <w14:textFill>
                  <w14:solidFill>
                    <w14:schemeClr w14:val="tx1"/>
                  </w14:solidFill>
                </w14:textFill>
              </w:rPr>
              <w:t>时十蒸吨</w:t>
            </w:r>
            <w:r>
              <w:rPr>
                <w:rFonts w:ascii="Times New Roman" w:hAnsi="Times New Roman" w:cs="Times New Roman"/>
                <w:color w:val="000000" w:themeColor="text1"/>
                <w:spacing w:val="11"/>
                <w:lang w:eastAsia="zh-CN"/>
                <w14:textFill>
                  <w14:solidFill>
                    <w14:schemeClr w14:val="tx1"/>
                  </w14:solidFill>
                </w14:textFill>
              </w:rPr>
              <w:t>以下的燃</w:t>
            </w:r>
            <w:r>
              <w:rPr>
                <w:rFonts w:ascii="Times New Roman" w:hAnsi="Times New Roman" w:cs="Times New Roman"/>
                <w:color w:val="000000" w:themeColor="text1"/>
                <w:spacing w:val="18"/>
                <w:lang w:eastAsia="zh-CN"/>
                <w14:textFill>
                  <w14:solidFill>
                    <w14:schemeClr w14:val="tx1"/>
                  </w14:solidFill>
                </w14:textFill>
              </w:rPr>
              <w:t>烧煤炭、</w:t>
            </w:r>
            <w:r>
              <w:rPr>
                <w:rFonts w:ascii="Times New Roman" w:hAnsi="Times New Roman" w:cs="Times New Roman"/>
                <w:color w:val="000000" w:themeColor="text1"/>
                <w:spacing w:val="11"/>
                <w:lang w:eastAsia="zh-CN"/>
                <w14:textFill>
                  <w14:solidFill>
                    <w14:schemeClr w14:val="tx1"/>
                  </w14:solidFill>
                </w14:textFill>
              </w:rPr>
              <w:t>重油、渣油以及直接燃用生物质的锅</w:t>
            </w:r>
            <w:r>
              <w:rPr>
                <w:rFonts w:ascii="Times New Roman" w:hAnsi="Times New Roman" w:cs="Times New Roman"/>
                <w:color w:val="000000" w:themeColor="text1"/>
                <w:spacing w:val="-3"/>
                <w:lang w:eastAsia="zh-CN"/>
                <w14:textFill>
                  <w14:solidFill>
                    <w14:schemeClr w14:val="tx1"/>
                  </w14:solidFill>
                </w14:textFill>
              </w:rPr>
              <w:t>炉。</w:t>
            </w:r>
          </w:p>
          <w:p w14:paraId="74BBD194">
            <w:pPr>
              <w:pStyle w:val="40"/>
              <w:rPr>
                <w:rFonts w:ascii="Times New Roman" w:hAnsi="Times New Roman" w:cs="Times New Roman"/>
                <w:color w:val="000000" w:themeColor="text1"/>
                <w:spacing w:val="2"/>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2、在</w:t>
            </w:r>
            <w:r>
              <w:rPr>
                <w:rFonts w:ascii="Times New Roman" w:hAnsi="Times New Roman" w:cs="Times New Roman"/>
                <w:color w:val="000000" w:themeColor="text1"/>
                <w:spacing w:val="11"/>
                <w:lang w:eastAsia="zh-CN"/>
                <w14:textFill>
                  <w14:solidFill>
                    <w14:schemeClr w14:val="tx1"/>
                  </w14:solidFill>
                </w14:textFill>
              </w:rPr>
              <w:t>居民住宅区等人口密集区域</w:t>
            </w:r>
            <w:r>
              <w:rPr>
                <w:rFonts w:ascii="Times New Roman" w:hAnsi="Times New Roman" w:cs="Times New Roman"/>
                <w:color w:val="000000" w:themeColor="text1"/>
                <w:spacing w:val="18"/>
                <w:lang w:eastAsia="zh-CN"/>
                <w14:textFill>
                  <w14:solidFill>
                    <w14:schemeClr w14:val="tx1"/>
                  </w14:solidFill>
                </w14:textFill>
              </w:rPr>
              <w:t>和医院、</w:t>
            </w:r>
            <w:r>
              <w:rPr>
                <w:rFonts w:ascii="Times New Roman" w:hAnsi="Times New Roman" w:cs="Times New Roman"/>
                <w:color w:val="000000" w:themeColor="text1"/>
                <w:spacing w:val="11"/>
                <w:lang w:eastAsia="zh-CN"/>
                <w14:textFill>
                  <w14:solidFill>
                    <w14:schemeClr w14:val="tx1"/>
                  </w14:solidFill>
                </w14:textFill>
              </w:rPr>
              <w:t>学校、幼儿园、养老院等其他需要特殊保护的区域及其周边，不</w:t>
            </w:r>
            <w:r>
              <w:rPr>
                <w:rFonts w:ascii="Times New Roman" w:hAnsi="Times New Roman" w:cs="Times New Roman"/>
                <w:color w:val="000000" w:themeColor="text1"/>
                <w:spacing w:val="18"/>
                <w:lang w:eastAsia="zh-CN"/>
                <w14:textFill>
                  <w14:solidFill>
                    <w14:schemeClr w14:val="tx1"/>
                  </w14:solidFill>
                </w14:textFill>
              </w:rPr>
              <w:t>得新建、</w:t>
            </w:r>
            <w:r>
              <w:rPr>
                <w:rFonts w:ascii="Times New Roman" w:hAnsi="Times New Roman" w:cs="Times New Roman"/>
                <w:color w:val="000000" w:themeColor="text1"/>
                <w:spacing w:val="11"/>
                <w:lang w:eastAsia="zh-CN"/>
                <w14:textFill>
                  <w14:solidFill>
                    <w14:schemeClr w14:val="tx1"/>
                  </w14:solidFill>
                </w14:textFill>
              </w:rPr>
              <w:t>改建和扩</w:t>
            </w:r>
            <w:r>
              <w:rPr>
                <w:rFonts w:ascii="Times New Roman" w:hAnsi="Times New Roman" w:cs="Times New Roman"/>
                <w:color w:val="000000" w:themeColor="text1"/>
                <w:spacing w:val="18"/>
                <w:lang w:eastAsia="zh-CN"/>
                <w14:textFill>
                  <w14:solidFill>
                    <w14:schemeClr w14:val="tx1"/>
                  </w14:solidFill>
                </w14:textFill>
              </w:rPr>
              <w:t>建石化、</w:t>
            </w:r>
            <w:r>
              <w:rPr>
                <w:rFonts w:ascii="Times New Roman" w:hAnsi="Times New Roman" w:cs="Times New Roman"/>
                <w:color w:val="000000" w:themeColor="text1"/>
                <w:spacing w:val="14"/>
                <w:lang w:eastAsia="zh-CN"/>
                <w14:textFill>
                  <w14:solidFill>
                    <w14:schemeClr w14:val="tx1"/>
                  </w14:solidFill>
                </w14:textFill>
              </w:rPr>
              <w:t>焦化、制</w:t>
            </w:r>
            <w:r>
              <w:rPr>
                <w:rFonts w:ascii="Times New Roman" w:hAnsi="Times New Roman" w:cs="Times New Roman"/>
                <w:color w:val="000000" w:themeColor="text1"/>
                <w:lang w:eastAsia="zh-CN"/>
                <w14:textFill>
                  <w14:solidFill>
                    <w14:schemeClr w14:val="tx1"/>
                  </w14:solidFill>
                </w14:textFill>
              </w:rPr>
              <w:t>药、油</w:t>
            </w:r>
            <w:r>
              <w:rPr>
                <w:rFonts w:ascii="Times New Roman" w:hAnsi="Times New Roman" w:cs="Times New Roman"/>
                <w:color w:val="000000" w:themeColor="text1"/>
                <w:spacing w:val="1"/>
                <w:lang w:eastAsia="zh-CN"/>
                <w14:textFill>
                  <w14:solidFill>
                    <w14:schemeClr w14:val="tx1"/>
                  </w14:solidFill>
                </w14:textFill>
              </w:rPr>
              <w:t>漆、塑</w:t>
            </w:r>
            <w:r>
              <w:rPr>
                <w:rFonts w:ascii="Times New Roman" w:hAnsi="Times New Roman" w:cs="Times New Roman"/>
                <w:color w:val="000000" w:themeColor="text1"/>
                <w:spacing w:val="-1"/>
                <w:lang w:eastAsia="zh-CN"/>
                <w14:textFill>
                  <w14:solidFill>
                    <w14:schemeClr w14:val="tx1"/>
                  </w14:solidFill>
                </w14:textFill>
              </w:rPr>
              <w:t>料、橡</w:t>
            </w:r>
            <w:r>
              <w:rPr>
                <w:rFonts w:ascii="Times New Roman" w:hAnsi="Times New Roman" w:cs="Times New Roman"/>
                <w:color w:val="000000" w:themeColor="text1"/>
                <w:lang w:eastAsia="zh-CN"/>
                <w14:textFill>
                  <w14:solidFill>
                    <w14:schemeClr w14:val="tx1"/>
                  </w14:solidFill>
                </w14:textFill>
              </w:rPr>
              <w:t>胶、造</w:t>
            </w:r>
            <w:r>
              <w:rPr>
                <w:rFonts w:ascii="Times New Roman" w:hAnsi="Times New Roman" w:cs="Times New Roman"/>
                <w:color w:val="000000" w:themeColor="text1"/>
                <w:spacing w:val="-3"/>
                <w:lang w:eastAsia="zh-CN"/>
                <w14:textFill>
                  <w14:solidFill>
                    <w14:schemeClr w14:val="tx1"/>
                  </w14:solidFill>
                </w14:textFill>
              </w:rPr>
              <w:t>纸、饲料等易产生恶臭气体</w:t>
            </w:r>
            <w:r>
              <w:rPr>
                <w:rFonts w:ascii="Times New Roman" w:hAnsi="Times New Roman" w:cs="Times New Roman"/>
                <w:color w:val="000000" w:themeColor="text1"/>
                <w:spacing w:val="-8"/>
                <w:lang w:eastAsia="zh-CN"/>
                <w14:textFill>
                  <w14:solidFill>
                    <w14:schemeClr w14:val="tx1"/>
                  </w14:solidFill>
                </w14:textFill>
              </w:rPr>
              <w:t>的生产项</w:t>
            </w:r>
            <w:r>
              <w:rPr>
                <w:rFonts w:ascii="Times New Roman" w:hAnsi="Times New Roman" w:cs="Times New Roman"/>
                <w:color w:val="000000" w:themeColor="text1"/>
                <w:spacing w:val="-14"/>
                <w:lang w:eastAsia="zh-CN"/>
                <w14:textFill>
                  <w14:solidFill>
                    <w14:schemeClr w14:val="tx1"/>
                  </w14:solidFill>
                </w14:textFill>
              </w:rPr>
              <w:t>目或者从</w:t>
            </w:r>
            <w:r>
              <w:rPr>
                <w:rFonts w:ascii="Times New Roman" w:hAnsi="Times New Roman" w:cs="Times New Roman"/>
                <w:color w:val="000000" w:themeColor="text1"/>
                <w:spacing w:val="-3"/>
                <w:lang w:eastAsia="zh-CN"/>
                <w14:textFill>
                  <w14:solidFill>
                    <w14:schemeClr w14:val="tx1"/>
                  </w14:solidFill>
                </w14:textFill>
              </w:rPr>
              <w:t>事其他产生恶臭气体的生产</w:t>
            </w:r>
            <w:r>
              <w:rPr>
                <w:rFonts w:ascii="Times New Roman" w:hAnsi="Times New Roman" w:cs="Times New Roman"/>
                <w:color w:val="000000" w:themeColor="text1"/>
                <w:spacing w:val="-4"/>
                <w:lang w:eastAsia="zh-CN"/>
                <w14:textFill>
                  <w14:solidFill>
                    <w14:schemeClr w14:val="tx1"/>
                  </w14:solidFill>
                </w14:textFill>
              </w:rPr>
              <w:t>经营活</w:t>
            </w:r>
            <w:r>
              <w:rPr>
                <w:rFonts w:ascii="Times New Roman" w:hAnsi="Times New Roman" w:cs="Times New Roman"/>
                <w:color w:val="000000" w:themeColor="text1"/>
                <w:spacing w:val="-3"/>
                <w:lang w:eastAsia="zh-CN"/>
                <w14:textFill>
                  <w14:solidFill>
                    <w14:schemeClr w14:val="tx1"/>
                  </w14:solidFill>
                </w14:textFill>
              </w:rPr>
              <w:t>动。已建</w:t>
            </w:r>
            <w:r>
              <w:rPr>
                <w:rFonts w:ascii="Times New Roman" w:hAnsi="Times New Roman" w:cs="Times New Roman"/>
                <w:color w:val="000000" w:themeColor="text1"/>
                <w:spacing w:val="-1"/>
                <w:lang w:eastAsia="zh-CN"/>
                <w14:textFill>
                  <w14:solidFill>
                    <w14:schemeClr w14:val="tx1"/>
                  </w14:solidFill>
                </w14:textFill>
              </w:rPr>
              <w:t>成的，应</w:t>
            </w:r>
            <w:r>
              <w:rPr>
                <w:rFonts w:ascii="Times New Roman" w:hAnsi="Times New Roman" w:cs="Times New Roman"/>
                <w:color w:val="000000" w:themeColor="text1"/>
                <w:spacing w:val="-7"/>
                <w:lang w:eastAsia="zh-CN"/>
                <w14:textFill>
                  <w14:solidFill>
                    <w14:schemeClr w14:val="tx1"/>
                  </w14:solidFill>
                </w14:textFill>
              </w:rPr>
              <w:t>当逐步搬</w:t>
            </w:r>
            <w:r>
              <w:rPr>
                <w:rFonts w:ascii="Times New Roman" w:hAnsi="Times New Roman" w:cs="Times New Roman"/>
                <w:color w:val="000000" w:themeColor="text1"/>
                <w:spacing w:val="-3"/>
                <w:lang w:eastAsia="zh-CN"/>
                <w14:textFill>
                  <w14:solidFill>
                    <w14:schemeClr w14:val="tx1"/>
                  </w14:solidFill>
                </w14:textFill>
              </w:rPr>
              <w:t>迁或者升</w:t>
            </w:r>
            <w:r>
              <w:rPr>
                <w:rFonts w:ascii="Times New Roman" w:hAnsi="Times New Roman" w:cs="Times New Roman"/>
                <w:color w:val="000000" w:themeColor="text1"/>
                <w:spacing w:val="4"/>
                <w:lang w:eastAsia="zh-CN"/>
                <w14:textFill>
                  <w14:solidFill>
                    <w14:schemeClr w14:val="tx1"/>
                  </w14:solidFill>
                </w14:textFill>
              </w:rPr>
              <w:t>级改造。</w:t>
            </w:r>
          </w:p>
          <w:p w14:paraId="0025B69E">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3、加快城</w:t>
            </w:r>
            <w:r>
              <w:rPr>
                <w:rFonts w:ascii="Times New Roman" w:hAnsi="Times New Roman" w:cs="Times New Roman"/>
                <w:color w:val="000000" w:themeColor="text1"/>
                <w:spacing w:val="11"/>
                <w:lang w:eastAsia="zh-CN"/>
                <w14:textFill>
                  <w14:solidFill>
                    <w14:schemeClr w14:val="tx1"/>
                  </w14:solidFill>
                </w14:textFill>
              </w:rPr>
              <w:t>市建成区水泥企业</w:t>
            </w:r>
            <w:r>
              <w:rPr>
                <w:rFonts w:ascii="Times New Roman" w:hAnsi="Times New Roman" w:cs="Times New Roman"/>
                <w:color w:val="000000" w:themeColor="text1"/>
                <w:spacing w:val="-3"/>
                <w:lang w:eastAsia="zh-CN"/>
                <w14:textFill>
                  <w14:solidFill>
                    <w14:schemeClr w14:val="tx1"/>
                  </w14:solidFill>
                </w14:textFill>
              </w:rPr>
              <w:t>搬迁改造或关闭退出，对明确实施退城但逾期未退的水泥企业予以停产。</w:t>
            </w:r>
            <w:r>
              <w:rPr>
                <w:rFonts w:ascii="Times New Roman" w:hAnsi="Times New Roman" w:cs="Times New Roman"/>
                <w:color w:val="000000" w:themeColor="text1"/>
                <w:spacing w:val="14"/>
                <w:lang w:eastAsia="zh-CN"/>
                <w14:textFill>
                  <w14:solidFill>
                    <w14:schemeClr w14:val="tx1"/>
                  </w14:solidFill>
                </w14:textFill>
              </w:rPr>
              <w:t>到</w:t>
            </w:r>
            <w:r>
              <w:rPr>
                <w:rFonts w:ascii="Times New Roman" w:hAnsi="Times New Roman" w:cs="Times New Roman"/>
                <w:color w:val="000000" w:themeColor="text1"/>
                <w:spacing w:val="-48"/>
                <w:lang w:eastAsia="zh-CN"/>
                <w14:textFill>
                  <w14:solidFill>
                    <w14:schemeClr w14:val="tx1"/>
                  </w14:solidFill>
                </w14:textFill>
              </w:rPr>
              <w:t xml:space="preserve"> </w:t>
            </w:r>
            <w:r>
              <w:rPr>
                <w:rFonts w:ascii="Times New Roman" w:hAnsi="Times New Roman" w:cs="Times New Roman"/>
                <w:color w:val="000000" w:themeColor="text1"/>
                <w:spacing w:val="14"/>
                <w:lang w:eastAsia="zh-CN"/>
                <w14:textFill>
                  <w14:solidFill>
                    <w14:schemeClr w14:val="tx1"/>
                  </w14:solidFill>
                </w14:textFill>
              </w:rPr>
              <w:t>2025</w:t>
            </w:r>
            <w:r>
              <w:rPr>
                <w:rFonts w:ascii="Times New Roman" w:hAnsi="Times New Roman" w:cs="Times New Roman"/>
                <w:color w:val="000000" w:themeColor="text1"/>
                <w:spacing w:val="-3"/>
                <w:lang w:eastAsia="zh-CN"/>
                <w14:textFill>
                  <w14:solidFill>
                    <w14:schemeClr w14:val="tx1"/>
                  </w14:solidFill>
                </w14:textFill>
              </w:rPr>
              <w:t>年，城市建成区内重污染企业分类完成就地改造、退城入园、转</w:t>
            </w:r>
            <w:r>
              <w:rPr>
                <w:rFonts w:ascii="Times New Roman" w:hAnsi="Times New Roman" w:cs="Times New Roman"/>
                <w:color w:val="000000" w:themeColor="text1"/>
                <w:spacing w:val="-5"/>
                <w:lang w:eastAsia="zh-CN"/>
                <w14:textFill>
                  <w14:solidFill>
                    <w14:schemeClr w14:val="tx1"/>
                  </w14:solidFill>
                </w14:textFill>
              </w:rPr>
              <w:t>型转产或</w:t>
            </w:r>
            <w:r>
              <w:rPr>
                <w:rFonts w:ascii="Times New Roman" w:hAnsi="Times New Roman" w:cs="Times New Roman"/>
                <w:color w:val="000000" w:themeColor="text1"/>
                <w:spacing w:val="-4"/>
                <w:lang w:eastAsia="zh-CN"/>
                <w14:textFill>
                  <w14:solidFill>
                    <w14:schemeClr w14:val="tx1"/>
                  </w14:solidFill>
                </w14:textFill>
              </w:rPr>
              <w:t>关闭退出</w:t>
            </w:r>
            <w:r>
              <w:rPr>
                <w:rFonts w:ascii="Times New Roman" w:hAnsi="Times New Roman" w:cs="Times New Roman"/>
                <w:color w:val="000000" w:themeColor="text1"/>
                <w:spacing w:val="35"/>
                <w:lang w:eastAsia="zh-CN"/>
                <w14:textFill>
                  <w14:solidFill>
                    <w14:schemeClr w14:val="tx1"/>
                  </w14:solidFill>
                </w14:textFill>
              </w:rPr>
              <w:t>任务。</w:t>
            </w:r>
          </w:p>
        </w:tc>
        <w:tc>
          <w:tcPr>
            <w:tcW w:w="1069" w:type="pct"/>
            <w:tcBorders>
              <w:top w:val="single" w:color="auto" w:sz="4" w:space="0"/>
              <w:bottom w:val="single" w:color="auto" w:sz="4" w:space="0"/>
            </w:tcBorders>
            <w:shd w:val="clear" w:color="auto" w:fill="auto"/>
            <w:vAlign w:val="center"/>
          </w:tcPr>
          <w:p w14:paraId="52B7349D">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1、本项目不涉及；</w:t>
            </w:r>
          </w:p>
          <w:p w14:paraId="1F742805">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2、本项目属于新建项目，属于</w:t>
            </w:r>
            <w:r>
              <w:rPr>
                <w:rFonts w:hint="eastAsia"/>
                <w:color w:val="000000" w:themeColor="text1"/>
                <w:szCs w:val="21"/>
                <w14:textFill>
                  <w14:solidFill>
                    <w14:schemeClr w14:val="tx1"/>
                  </w14:solidFill>
                </w14:textFill>
              </w:rPr>
              <w:t>酒、饮料</w:t>
            </w:r>
            <w:r>
              <w:rPr>
                <w:color w:val="000000" w:themeColor="text1"/>
                <w:szCs w:val="21"/>
                <w14:textFill>
                  <w14:solidFill>
                    <w14:schemeClr w14:val="tx1"/>
                  </w14:solidFill>
                </w14:textFill>
              </w:rPr>
              <w:t>和</w:t>
            </w:r>
            <w:r>
              <w:rPr>
                <w:rFonts w:hint="eastAsia"/>
                <w:color w:val="000000" w:themeColor="text1"/>
                <w:szCs w:val="21"/>
                <w14:textFill>
                  <w14:solidFill>
                    <w14:schemeClr w14:val="tx1"/>
                  </w14:solidFill>
                </w14:textFill>
              </w:rPr>
              <w:t>医药用品</w:t>
            </w:r>
            <w:r>
              <w:rPr>
                <w:color w:val="000000" w:themeColor="text1"/>
                <w:szCs w:val="21"/>
                <w14:textFill>
                  <w14:solidFill>
                    <w14:schemeClr w14:val="tx1"/>
                  </w14:solidFill>
                </w14:textFill>
              </w:rPr>
              <w:t>制造业，</w:t>
            </w:r>
            <w:r>
              <w:rPr>
                <w:rFonts w:hint="eastAsia"/>
                <w:color w:val="000000" w:themeColor="text1"/>
                <w:szCs w:val="21"/>
                <w14:textFill>
                  <w14:solidFill>
                    <w14:schemeClr w14:val="tx1"/>
                  </w14:solidFill>
                </w14:textFill>
              </w:rPr>
              <w:t>项目选址位于镇平县先进制造业开发区内，没有位于</w:t>
            </w:r>
            <w:r>
              <w:rPr>
                <w:color w:val="000000" w:themeColor="text1"/>
                <w:spacing w:val="11"/>
                <w:szCs w:val="21"/>
                <w14:textFill>
                  <w14:solidFill>
                    <w14:schemeClr w14:val="tx1"/>
                  </w14:solidFill>
                </w14:textFill>
              </w:rPr>
              <w:t>居民住宅区等人口密集区域</w:t>
            </w:r>
            <w:r>
              <w:rPr>
                <w:color w:val="000000" w:themeColor="text1"/>
                <w:spacing w:val="18"/>
                <w:szCs w:val="21"/>
                <w14:textFill>
                  <w14:solidFill>
                    <w14:schemeClr w14:val="tx1"/>
                  </w14:solidFill>
                </w14:textFill>
              </w:rPr>
              <w:t>和医院、</w:t>
            </w:r>
            <w:r>
              <w:rPr>
                <w:color w:val="000000" w:themeColor="text1"/>
                <w:spacing w:val="11"/>
                <w:szCs w:val="21"/>
                <w14:textFill>
                  <w14:solidFill>
                    <w14:schemeClr w14:val="tx1"/>
                  </w14:solidFill>
                </w14:textFill>
              </w:rPr>
              <w:t>学校、幼儿园、养老院等其他需要特殊保护的区域及其周边</w:t>
            </w:r>
          </w:p>
          <w:p w14:paraId="4D876FB3">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3、本项目不涉及</w:t>
            </w:r>
          </w:p>
        </w:tc>
        <w:tc>
          <w:tcPr>
            <w:tcW w:w="239" w:type="pct"/>
            <w:tcBorders>
              <w:top w:val="single" w:color="auto" w:sz="4" w:space="0"/>
              <w:bottom w:val="single" w:color="auto" w:sz="4" w:space="0"/>
            </w:tcBorders>
            <w:shd w:val="clear" w:color="auto" w:fill="auto"/>
            <w:vAlign w:val="center"/>
          </w:tcPr>
          <w:p w14:paraId="3BC8E5D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07D3B4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51D36B34">
            <w:pPr>
              <w:jc w:val="center"/>
              <w:rPr>
                <w:color w:val="000000" w:themeColor="text1"/>
                <w14:textFill>
                  <w14:solidFill>
                    <w14:schemeClr w14:val="tx1"/>
                  </w14:solidFill>
                </w14:textFill>
              </w:rPr>
            </w:pPr>
          </w:p>
        </w:tc>
        <w:tc>
          <w:tcPr>
            <w:tcW w:w="224" w:type="pct"/>
            <w:vMerge w:val="continue"/>
          </w:tcPr>
          <w:p w14:paraId="38940606">
            <w:pPr>
              <w:jc w:val="center"/>
              <w:rPr>
                <w:color w:val="000000" w:themeColor="text1"/>
                <w14:textFill>
                  <w14:solidFill>
                    <w14:schemeClr w14:val="tx1"/>
                  </w14:solidFill>
                </w14:textFill>
              </w:rPr>
            </w:pPr>
          </w:p>
        </w:tc>
        <w:tc>
          <w:tcPr>
            <w:tcW w:w="150" w:type="pct"/>
            <w:vMerge w:val="continue"/>
          </w:tcPr>
          <w:p w14:paraId="6C548B07">
            <w:pPr>
              <w:jc w:val="center"/>
              <w:rPr>
                <w:color w:val="000000" w:themeColor="text1"/>
                <w14:textFill>
                  <w14:solidFill>
                    <w14:schemeClr w14:val="tx1"/>
                  </w14:solidFill>
                </w14:textFill>
              </w:rPr>
            </w:pPr>
          </w:p>
        </w:tc>
        <w:tc>
          <w:tcPr>
            <w:tcW w:w="153" w:type="pct"/>
            <w:vMerge w:val="continue"/>
          </w:tcPr>
          <w:p w14:paraId="13A4A6F2">
            <w:pPr>
              <w:jc w:val="center"/>
              <w:rPr>
                <w:color w:val="000000" w:themeColor="text1"/>
                <w14:textFill>
                  <w14:solidFill>
                    <w14:schemeClr w14:val="tx1"/>
                  </w14:solidFill>
                </w14:textFill>
              </w:rPr>
            </w:pPr>
          </w:p>
        </w:tc>
        <w:tc>
          <w:tcPr>
            <w:tcW w:w="153" w:type="pct"/>
            <w:vMerge w:val="continue"/>
          </w:tcPr>
          <w:p w14:paraId="6BCB8EA1">
            <w:pPr>
              <w:jc w:val="center"/>
              <w:rPr>
                <w:color w:val="000000" w:themeColor="text1"/>
                <w14:textFill>
                  <w14:solidFill>
                    <w14:schemeClr w14:val="tx1"/>
                  </w14:solidFill>
                </w14:textFill>
              </w:rPr>
            </w:pPr>
          </w:p>
        </w:tc>
        <w:tc>
          <w:tcPr>
            <w:tcW w:w="158" w:type="pct"/>
            <w:vMerge w:val="continue"/>
          </w:tcPr>
          <w:p w14:paraId="4A09D79D">
            <w:pPr>
              <w:jc w:val="center"/>
              <w:rPr>
                <w:color w:val="000000" w:themeColor="text1"/>
                <w14:textFill>
                  <w14:solidFill>
                    <w14:schemeClr w14:val="tx1"/>
                  </w14:solidFill>
                </w14:textFill>
              </w:rPr>
            </w:pPr>
          </w:p>
        </w:tc>
        <w:tc>
          <w:tcPr>
            <w:tcW w:w="257" w:type="pct"/>
            <w:vMerge w:val="continue"/>
          </w:tcPr>
          <w:p w14:paraId="6D6906D7">
            <w:pPr>
              <w:jc w:val="center"/>
              <w:rPr>
                <w:color w:val="000000" w:themeColor="text1"/>
                <w14:textFill>
                  <w14:solidFill>
                    <w14:schemeClr w14:val="tx1"/>
                  </w14:solidFill>
                </w14:textFill>
              </w:rPr>
            </w:pPr>
          </w:p>
        </w:tc>
        <w:tc>
          <w:tcPr>
            <w:tcW w:w="638" w:type="dxa"/>
            <w:shd w:val="clear" w:color="auto" w:fill="auto"/>
            <w:vAlign w:val="center"/>
          </w:tcPr>
          <w:p w14:paraId="0D74DC16">
            <w:pPr>
              <w:rPr>
                <w:color w:val="000000" w:themeColor="text1"/>
                <w:spacing w:val="-5"/>
                <w:szCs w:val="21"/>
                <w14:textFill>
                  <w14:solidFill>
                    <w14:schemeClr w14:val="tx1"/>
                  </w14:solidFill>
                </w14:textFill>
              </w:rPr>
            </w:pPr>
            <w:r>
              <w:rPr>
                <w:color w:val="000000" w:themeColor="text1"/>
                <w:szCs w:val="21"/>
                <w14:textFill>
                  <w14:solidFill>
                    <w14:schemeClr w14:val="tx1"/>
                  </w14:solidFill>
                </w14:textFill>
              </w:rPr>
              <w:t>污染物排放管控</w:t>
            </w:r>
          </w:p>
        </w:tc>
        <w:tc>
          <w:tcPr>
            <w:tcW w:w="4875" w:type="dxa"/>
            <w:shd w:val="clear" w:color="auto" w:fill="auto"/>
            <w:vAlign w:val="center"/>
          </w:tcPr>
          <w:p w14:paraId="4B144891">
            <w:pPr>
              <w:pStyle w:val="40"/>
              <w:rPr>
                <w:rFonts w:ascii="Times New Roman" w:hAnsi="Times New Roman" w:cs="Times New Roman"/>
                <w:color w:val="000000" w:themeColor="text1"/>
                <w:spacing w:val="-1"/>
                <w:lang w:eastAsia="zh-CN"/>
                <w14:textFill>
                  <w14:solidFill>
                    <w14:schemeClr w14:val="tx1"/>
                  </w14:solidFill>
                </w14:textFill>
              </w:rPr>
            </w:pPr>
            <w:r>
              <w:rPr>
                <w:rFonts w:ascii="Times New Roman" w:hAnsi="Times New Roman" w:cs="Times New Roman"/>
                <w:color w:val="000000" w:themeColor="text1"/>
                <w:spacing w:val="-6"/>
                <w:lang w:eastAsia="zh-CN"/>
                <w14:textFill>
                  <w14:solidFill>
                    <w14:schemeClr w14:val="tx1"/>
                  </w14:solidFill>
                </w14:textFill>
              </w:rPr>
              <w:t>1、大力推</w:t>
            </w:r>
            <w:r>
              <w:rPr>
                <w:rFonts w:ascii="Times New Roman" w:hAnsi="Times New Roman" w:cs="Times New Roman"/>
                <w:color w:val="000000" w:themeColor="text1"/>
                <w:spacing w:val="4"/>
                <w:lang w:eastAsia="zh-CN"/>
                <w14:textFill>
                  <w14:solidFill>
                    <w14:schemeClr w14:val="tx1"/>
                  </w14:solidFill>
                </w14:textFill>
              </w:rPr>
              <w:t>进钢铁、</w:t>
            </w:r>
            <w:r>
              <w:rPr>
                <w:rFonts w:ascii="Times New Roman" w:hAnsi="Times New Roman" w:cs="Times New Roman"/>
                <w:color w:val="000000" w:themeColor="text1"/>
                <w:spacing w:val="-2"/>
                <w:lang w:eastAsia="zh-CN"/>
                <w14:textFill>
                  <w14:solidFill>
                    <w14:schemeClr w14:val="tx1"/>
                  </w14:solidFill>
                </w14:textFill>
              </w:rPr>
              <w:t>焦化等重点行业产业结构调整和转型升级，加</w:t>
            </w:r>
            <w:r>
              <w:rPr>
                <w:rFonts w:ascii="Times New Roman" w:hAnsi="Times New Roman" w:cs="Times New Roman"/>
                <w:color w:val="000000" w:themeColor="text1"/>
                <w:spacing w:val="4"/>
                <w:lang w:eastAsia="zh-CN"/>
                <w14:textFill>
                  <w14:solidFill>
                    <w14:schemeClr w14:val="tx1"/>
                  </w14:solidFill>
                </w14:textFill>
              </w:rPr>
              <w:t>快钢铁、</w:t>
            </w:r>
            <w:r>
              <w:rPr>
                <w:rFonts w:ascii="Times New Roman" w:hAnsi="Times New Roman" w:cs="Times New Roman"/>
                <w:color w:val="000000" w:themeColor="text1"/>
                <w:spacing w:val="-2"/>
                <w:lang w:eastAsia="zh-CN"/>
                <w14:textFill>
                  <w14:solidFill>
                    <w14:schemeClr w14:val="tx1"/>
                  </w14:solidFill>
                </w14:textFill>
              </w:rPr>
              <w:t>水泥、焦化行业及锅炉超低</w:t>
            </w:r>
            <w:r>
              <w:rPr>
                <w:rFonts w:ascii="Times New Roman" w:hAnsi="Times New Roman" w:cs="Times New Roman"/>
                <w:color w:val="000000" w:themeColor="text1"/>
                <w:spacing w:val="-4"/>
                <w:lang w:eastAsia="zh-CN"/>
                <w14:textFill>
                  <w14:solidFill>
                    <w14:schemeClr w14:val="tx1"/>
                  </w14:solidFill>
                </w14:textFill>
              </w:rPr>
              <w:t>排放改</w:t>
            </w:r>
            <w:r>
              <w:rPr>
                <w:rFonts w:ascii="Times New Roman" w:hAnsi="Times New Roman" w:cs="Times New Roman"/>
                <w:color w:val="000000" w:themeColor="text1"/>
                <w:spacing w:val="-3"/>
                <w:lang w:eastAsia="zh-CN"/>
                <w14:textFill>
                  <w14:solidFill>
                    <w14:schemeClr w14:val="tx1"/>
                  </w14:solidFill>
                </w14:textFill>
              </w:rPr>
              <w:t>造。深化有色金属</w:t>
            </w:r>
            <w:r>
              <w:rPr>
                <w:rFonts w:ascii="Times New Roman" w:hAnsi="Times New Roman" w:cs="Times New Roman"/>
                <w:color w:val="000000" w:themeColor="text1"/>
                <w:spacing w:val="-1"/>
                <w:lang w:eastAsia="zh-CN"/>
                <w14:textFill>
                  <w14:solidFill>
                    <w14:schemeClr w14:val="tx1"/>
                  </w14:solidFill>
                </w14:textFill>
              </w:rPr>
              <w:t>冶炼、铸</w:t>
            </w:r>
            <w:r>
              <w:rPr>
                <w:rFonts w:ascii="Times New Roman" w:hAnsi="Times New Roman" w:cs="Times New Roman"/>
                <w:color w:val="000000" w:themeColor="text1"/>
                <w:lang w:eastAsia="zh-CN"/>
                <w14:textFill>
                  <w14:solidFill>
                    <w14:schemeClr w14:val="tx1"/>
                  </w14:solidFill>
                </w14:textFill>
              </w:rPr>
              <w:t>造、碳素、耐</w:t>
            </w:r>
            <w:r>
              <w:rPr>
                <w:rFonts w:ascii="Times New Roman" w:hAnsi="Times New Roman" w:cs="Times New Roman"/>
                <w:color w:val="000000" w:themeColor="text1"/>
                <w:spacing w:val="-3"/>
                <w:lang w:eastAsia="zh-CN"/>
                <w14:textFill>
                  <w14:solidFill>
                    <w14:schemeClr w14:val="tx1"/>
                  </w14:solidFill>
                </w14:textFill>
              </w:rPr>
              <w:t>材、烧结类砖瓦等</w:t>
            </w:r>
            <w:r>
              <w:rPr>
                <w:rFonts w:ascii="Times New Roman" w:hAnsi="Times New Roman" w:cs="Times New Roman"/>
                <w:color w:val="000000" w:themeColor="text1"/>
                <w:spacing w:val="-4"/>
                <w:lang w:eastAsia="zh-CN"/>
                <w14:textFill>
                  <w14:solidFill>
                    <w14:schemeClr w14:val="tx1"/>
                  </w14:solidFill>
                </w14:textFill>
              </w:rPr>
              <w:t>行业工业炉窑综合</w:t>
            </w:r>
            <w:r>
              <w:rPr>
                <w:rFonts w:ascii="Times New Roman" w:hAnsi="Times New Roman" w:cs="Times New Roman"/>
                <w:color w:val="000000" w:themeColor="text1"/>
                <w:spacing w:val="-3"/>
                <w:lang w:eastAsia="zh-CN"/>
                <w14:textFill>
                  <w14:solidFill>
                    <w14:schemeClr w14:val="tx1"/>
                  </w14:solidFill>
                </w14:textFill>
              </w:rPr>
              <w:t>整治及垃圾焚烧发</w:t>
            </w:r>
            <w:r>
              <w:rPr>
                <w:rFonts w:ascii="Times New Roman" w:hAnsi="Times New Roman" w:cs="Times New Roman"/>
                <w:color w:val="000000" w:themeColor="text1"/>
                <w:spacing w:val="-10"/>
                <w:lang w:eastAsia="zh-CN"/>
                <w14:textFill>
                  <w14:solidFill>
                    <w14:schemeClr w14:val="tx1"/>
                  </w14:solidFill>
                </w14:textFill>
              </w:rPr>
              <w:t>电、生物</w:t>
            </w:r>
            <w:r>
              <w:rPr>
                <w:rFonts w:ascii="Times New Roman" w:hAnsi="Times New Roman" w:cs="Times New Roman"/>
                <w:color w:val="000000" w:themeColor="text1"/>
                <w:spacing w:val="-3"/>
                <w:lang w:eastAsia="zh-CN"/>
                <w14:textFill>
                  <w14:solidFill>
                    <w14:schemeClr w14:val="tx1"/>
                  </w14:solidFill>
                </w14:textFill>
              </w:rPr>
              <w:t>质发电烟气深度治</w:t>
            </w:r>
            <w:r>
              <w:rPr>
                <w:rFonts w:ascii="Times New Roman" w:hAnsi="Times New Roman" w:cs="Times New Roman"/>
                <w:color w:val="000000" w:themeColor="text1"/>
                <w:spacing w:val="-1"/>
                <w:lang w:eastAsia="zh-CN"/>
                <w14:textFill>
                  <w14:solidFill>
                    <w14:schemeClr w14:val="tx1"/>
                  </w14:solidFill>
                </w14:textFill>
              </w:rPr>
              <w:t>理。</w:t>
            </w:r>
          </w:p>
          <w:p w14:paraId="6778339F">
            <w:pPr>
              <w:pStyle w:val="40"/>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1"/>
                <w:lang w:eastAsia="zh-CN"/>
                <w14:textFill>
                  <w14:solidFill>
                    <w14:schemeClr w14:val="tx1"/>
                  </w14:solidFill>
                </w14:textFill>
              </w:rPr>
              <w:t>2、推</w:t>
            </w:r>
            <w:r>
              <w:rPr>
                <w:rFonts w:ascii="Times New Roman" w:hAnsi="Times New Roman" w:cs="Times New Roman"/>
                <w:color w:val="000000" w:themeColor="text1"/>
                <w:spacing w:val="-3"/>
                <w:lang w:eastAsia="zh-CN"/>
                <w14:textFill>
                  <w14:solidFill>
                    <w14:schemeClr w14:val="tx1"/>
                  </w14:solidFill>
                </w14:textFill>
              </w:rPr>
              <w:t>动氢燃料</w:t>
            </w:r>
            <w:r>
              <w:rPr>
                <w:rFonts w:ascii="Times New Roman" w:hAnsi="Times New Roman" w:cs="Times New Roman"/>
                <w:color w:val="000000" w:themeColor="text1"/>
                <w:spacing w:val="-10"/>
                <w:lang w:eastAsia="zh-CN"/>
                <w14:textFill>
                  <w14:solidFill>
                    <w14:schemeClr w14:val="tx1"/>
                  </w14:solidFill>
                </w14:textFill>
              </w:rPr>
              <w:t>电池汽车</w:t>
            </w:r>
            <w:r>
              <w:rPr>
                <w:rFonts w:ascii="Times New Roman" w:hAnsi="Times New Roman" w:cs="Times New Roman"/>
                <w:color w:val="000000" w:themeColor="text1"/>
                <w:spacing w:val="-4"/>
                <w:lang w:eastAsia="zh-CN"/>
                <w14:textFill>
                  <w14:solidFill>
                    <w14:schemeClr w14:val="tx1"/>
                  </w14:solidFill>
                </w14:textFill>
              </w:rPr>
              <w:t>示范应</w:t>
            </w:r>
            <w:r>
              <w:rPr>
                <w:rFonts w:ascii="Times New Roman" w:hAnsi="Times New Roman" w:cs="Times New Roman"/>
                <w:color w:val="000000" w:themeColor="text1"/>
                <w:spacing w:val="-3"/>
                <w:lang w:eastAsia="zh-CN"/>
                <w14:textFill>
                  <w14:solidFill>
                    <w14:schemeClr w14:val="tx1"/>
                  </w14:solidFill>
                </w14:textFill>
              </w:rPr>
              <w:t>用，推广新能源汽车和非道路移动机械。推进</w:t>
            </w:r>
            <w:r>
              <w:rPr>
                <w:rFonts w:ascii="Times New Roman" w:hAnsi="Times New Roman" w:cs="Times New Roman"/>
                <w:color w:val="000000" w:themeColor="text1"/>
                <w:spacing w:val="-5"/>
                <w:lang w:eastAsia="zh-CN"/>
                <w14:textFill>
                  <w14:solidFill>
                    <w14:schemeClr w14:val="tx1"/>
                  </w14:solidFill>
                </w14:textFill>
              </w:rPr>
              <w:t>公共领域</w:t>
            </w:r>
            <w:r>
              <w:rPr>
                <w:rFonts w:ascii="Times New Roman" w:hAnsi="Times New Roman" w:cs="Times New Roman"/>
                <w:color w:val="000000" w:themeColor="text1"/>
                <w:spacing w:val="-3"/>
                <w:lang w:eastAsia="zh-CN"/>
                <w14:textFill>
                  <w14:solidFill>
                    <w14:schemeClr w14:val="tx1"/>
                  </w14:solidFill>
                </w14:textFill>
              </w:rPr>
              <w:t>车辆新能</w:t>
            </w:r>
            <w:r>
              <w:rPr>
                <w:rFonts w:ascii="Times New Roman" w:hAnsi="Times New Roman" w:cs="Times New Roman"/>
                <w:color w:val="000000" w:themeColor="text1"/>
                <w:spacing w:val="1"/>
                <w:lang w:eastAsia="zh-CN"/>
                <w14:textFill>
                  <w14:solidFill>
                    <w14:schemeClr w14:val="tx1"/>
                  </w14:solidFill>
                </w14:textFill>
              </w:rPr>
              <w:t>源化。实</w:t>
            </w:r>
            <w:r>
              <w:rPr>
                <w:rFonts w:ascii="Times New Roman" w:hAnsi="Times New Roman" w:cs="Times New Roman"/>
                <w:color w:val="000000" w:themeColor="text1"/>
                <w:spacing w:val="-3"/>
                <w:lang w:eastAsia="zh-CN"/>
                <w14:textFill>
                  <w14:solidFill>
                    <w14:schemeClr w14:val="tx1"/>
                  </w14:solidFill>
                </w14:textFill>
              </w:rPr>
              <w:t>施清洁柴</w:t>
            </w:r>
            <w:r>
              <w:rPr>
                <w:rFonts w:ascii="Times New Roman" w:hAnsi="Times New Roman" w:cs="Times New Roman"/>
                <w:color w:val="000000" w:themeColor="text1"/>
                <w:spacing w:val="-7"/>
                <w:lang w:eastAsia="zh-CN"/>
                <w14:textFill>
                  <w14:solidFill>
                    <w14:schemeClr w14:val="tx1"/>
                  </w14:solidFill>
                </w14:textFill>
              </w:rPr>
              <w:t>油车</w:t>
            </w:r>
            <w:r>
              <w:rPr>
                <w:rFonts w:ascii="Times New Roman" w:hAnsi="Times New Roman" w:cs="Times New Roman"/>
                <w:color w:val="000000" w:themeColor="text1"/>
                <w:spacing w:val="-2"/>
                <w:lang w:eastAsia="zh-CN"/>
                <w14:textFill>
                  <w14:solidFill>
                    <w14:schemeClr w14:val="tx1"/>
                  </w14:solidFill>
                </w14:textFill>
              </w:rPr>
              <w:t>（机）行</w:t>
            </w:r>
            <w:r>
              <w:rPr>
                <w:rFonts w:ascii="Times New Roman" w:hAnsi="Times New Roman" w:cs="Times New Roman"/>
                <w:color w:val="000000" w:themeColor="text1"/>
                <w:spacing w:val="-3"/>
                <w:lang w:eastAsia="zh-CN"/>
                <w14:textFill>
                  <w14:solidFill>
                    <w14:schemeClr w14:val="tx1"/>
                  </w14:solidFill>
                </w14:textFill>
              </w:rPr>
              <w:t>动，基本淘汰国三及以下排放标准汽车，基本</w:t>
            </w:r>
            <w:r>
              <w:rPr>
                <w:rFonts w:ascii="Times New Roman" w:hAnsi="Times New Roman" w:cs="Times New Roman"/>
                <w:color w:val="000000" w:themeColor="text1"/>
                <w:spacing w:val="-4"/>
                <w:lang w:eastAsia="zh-CN"/>
                <w14:textFill>
                  <w14:solidFill>
                    <w14:schemeClr w14:val="tx1"/>
                  </w14:solidFill>
                </w14:textFill>
              </w:rPr>
              <w:t>消除未登</w:t>
            </w:r>
            <w:r>
              <w:rPr>
                <w:rFonts w:ascii="Times New Roman" w:hAnsi="Times New Roman" w:cs="Times New Roman"/>
                <w:color w:val="000000" w:themeColor="text1"/>
                <w:spacing w:val="-3"/>
                <w:lang w:eastAsia="zh-CN"/>
                <w14:textFill>
                  <w14:solidFill>
                    <w14:schemeClr w14:val="tx1"/>
                  </w14:solidFill>
                </w14:textFill>
              </w:rPr>
              <w:t>记或冒黑烟工程机</w:t>
            </w:r>
            <w:r>
              <w:rPr>
                <w:rFonts w:ascii="Times New Roman" w:hAnsi="Times New Roman" w:cs="Times New Roman"/>
                <w:color w:val="000000" w:themeColor="text1"/>
                <w:lang w:eastAsia="zh-CN"/>
                <w14:textFill>
                  <w14:solidFill>
                    <w14:schemeClr w14:val="tx1"/>
                  </w14:solidFill>
                </w14:textFill>
              </w:rPr>
              <w:t>械。</w:t>
            </w:r>
          </w:p>
          <w:p w14:paraId="655263A2">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lang w:eastAsia="zh-CN"/>
                <w14:textFill>
                  <w14:solidFill>
                    <w14:schemeClr w14:val="tx1"/>
                  </w14:solidFill>
                </w14:textFill>
              </w:rPr>
              <w:t>3、加</w:t>
            </w:r>
            <w:r>
              <w:rPr>
                <w:rFonts w:ascii="Times New Roman" w:hAnsi="Times New Roman" w:cs="Times New Roman"/>
                <w:color w:val="000000" w:themeColor="text1"/>
                <w:spacing w:val="-4"/>
                <w:lang w:eastAsia="zh-CN"/>
                <w14:textFill>
                  <w14:solidFill>
                    <w14:schemeClr w14:val="tx1"/>
                  </w14:solidFill>
                </w14:textFill>
              </w:rPr>
              <w:t>强道路扬</w:t>
            </w:r>
            <w:r>
              <w:rPr>
                <w:rFonts w:ascii="Times New Roman" w:hAnsi="Times New Roman" w:cs="Times New Roman"/>
                <w:color w:val="000000" w:themeColor="text1"/>
                <w:spacing w:val="-3"/>
                <w:lang w:eastAsia="zh-CN"/>
                <w14:textFill>
                  <w14:solidFill>
                    <w14:schemeClr w14:val="tx1"/>
                  </w14:solidFill>
                </w14:textFill>
              </w:rPr>
              <w:t>尘综合整</w:t>
            </w:r>
            <w:r>
              <w:rPr>
                <w:rFonts w:ascii="Times New Roman" w:hAnsi="Times New Roman" w:cs="Times New Roman"/>
                <w:color w:val="000000" w:themeColor="text1"/>
                <w:spacing w:val="-4"/>
                <w:lang w:eastAsia="zh-CN"/>
                <w14:textFill>
                  <w14:solidFill>
                    <w14:schemeClr w14:val="tx1"/>
                  </w14:solidFill>
                </w14:textFill>
              </w:rPr>
              <w:t>治，大力</w:t>
            </w:r>
            <w:r>
              <w:rPr>
                <w:rFonts w:ascii="Times New Roman" w:hAnsi="Times New Roman" w:cs="Times New Roman"/>
                <w:color w:val="000000" w:themeColor="text1"/>
                <w:spacing w:val="-3"/>
                <w:lang w:eastAsia="zh-CN"/>
                <w14:textFill>
                  <w14:solidFill>
                    <w14:schemeClr w14:val="tx1"/>
                  </w14:solidFill>
                </w14:textFill>
              </w:rPr>
              <w:t>推进道路机械化清</w:t>
            </w:r>
            <w:r>
              <w:rPr>
                <w:rFonts w:ascii="Times New Roman" w:hAnsi="Times New Roman" w:cs="Times New Roman"/>
                <w:color w:val="000000" w:themeColor="text1"/>
                <w:spacing w:val="-4"/>
                <w:lang w:eastAsia="zh-CN"/>
                <w14:textFill>
                  <w14:solidFill>
                    <w14:schemeClr w14:val="tx1"/>
                  </w14:solidFill>
                </w14:textFill>
              </w:rPr>
              <w:t>扫保洁作</w:t>
            </w:r>
            <w:r>
              <w:rPr>
                <w:rFonts w:ascii="Times New Roman" w:hAnsi="Times New Roman" w:cs="Times New Roman"/>
                <w:color w:val="000000" w:themeColor="text1"/>
                <w:spacing w:val="2"/>
                <w:lang w:eastAsia="zh-CN"/>
                <w14:textFill>
                  <w14:solidFill>
                    <w14:schemeClr w14:val="tx1"/>
                  </w14:solidFill>
                </w14:textFill>
              </w:rPr>
              <w:t>业，到</w:t>
            </w:r>
            <w:r>
              <w:rPr>
                <w:rFonts w:ascii="Times New Roman" w:hAnsi="Times New Roman" w:cs="Times New Roman"/>
                <w:color w:val="000000" w:themeColor="text1"/>
                <w:spacing w:val="-9"/>
                <w:lang w:eastAsia="zh-CN"/>
                <w14:textFill>
                  <w14:solidFill>
                    <w14:schemeClr w14:val="tx1"/>
                  </w14:solidFill>
                </w14:textFill>
              </w:rPr>
              <w:t>2025</w:t>
            </w:r>
            <w:r>
              <w:rPr>
                <w:rFonts w:ascii="Times New Roman" w:hAnsi="Times New Roman" w:cs="Times New Roman"/>
                <w:color w:val="000000" w:themeColor="text1"/>
                <w:spacing w:val="-49"/>
                <w:lang w:eastAsia="zh-CN"/>
                <w14:textFill>
                  <w14:solidFill>
                    <w14:schemeClr w14:val="tx1"/>
                  </w14:solidFill>
                </w14:textFill>
              </w:rPr>
              <w:t xml:space="preserve"> </w:t>
            </w:r>
            <w:r>
              <w:rPr>
                <w:rFonts w:ascii="Times New Roman" w:hAnsi="Times New Roman" w:cs="Times New Roman"/>
                <w:color w:val="000000" w:themeColor="text1"/>
                <w:spacing w:val="-9"/>
                <w:lang w:eastAsia="zh-CN"/>
                <w14:textFill>
                  <w14:solidFill>
                    <w14:schemeClr w14:val="tx1"/>
                  </w14:solidFill>
                </w14:textFill>
              </w:rPr>
              <w:t>年，</w:t>
            </w:r>
            <w:r>
              <w:rPr>
                <w:rFonts w:ascii="Times New Roman" w:hAnsi="Times New Roman" w:cs="Times New Roman"/>
                <w:color w:val="000000" w:themeColor="text1"/>
                <w:spacing w:val="-4"/>
                <w:lang w:eastAsia="zh-CN"/>
                <w14:textFill>
                  <w14:solidFill>
                    <w14:schemeClr w14:val="tx1"/>
                  </w14:solidFill>
                </w14:textFill>
              </w:rPr>
              <w:t>各设区市</w:t>
            </w:r>
            <w:r>
              <w:rPr>
                <w:rFonts w:ascii="Times New Roman" w:hAnsi="Times New Roman" w:cs="Times New Roman"/>
                <w:color w:val="000000" w:themeColor="text1"/>
                <w:spacing w:val="2"/>
                <w:lang w:eastAsia="zh-CN"/>
                <w14:textFill>
                  <w14:solidFill>
                    <w14:schemeClr w14:val="tx1"/>
                  </w14:solidFill>
                </w14:textFill>
              </w:rPr>
              <w:t xml:space="preserve"> </w:t>
            </w:r>
            <w:r>
              <w:rPr>
                <w:rFonts w:ascii="Times New Roman" w:hAnsi="Times New Roman" w:cs="Times New Roman"/>
                <w:color w:val="000000" w:themeColor="text1"/>
                <w:spacing w:val="-4"/>
                <w:lang w:eastAsia="zh-CN"/>
                <w14:textFill>
                  <w14:solidFill>
                    <w14:schemeClr w14:val="tx1"/>
                  </w14:solidFill>
                </w14:textFill>
              </w:rPr>
              <w:t>建成区道</w:t>
            </w:r>
            <w:r>
              <w:rPr>
                <w:rFonts w:ascii="Times New Roman" w:hAnsi="Times New Roman" w:cs="Times New Roman"/>
                <w:color w:val="000000" w:themeColor="text1"/>
                <w:spacing w:val="-3"/>
                <w:lang w:eastAsia="zh-CN"/>
                <w14:textFill>
                  <w14:solidFill>
                    <w14:schemeClr w14:val="tx1"/>
                  </w14:solidFill>
                </w14:textFill>
              </w:rPr>
              <w:t>路机械化清扫率达</w:t>
            </w:r>
            <w:r>
              <w:rPr>
                <w:rFonts w:ascii="Times New Roman" w:hAnsi="Times New Roman" w:cs="Times New Roman"/>
                <w:color w:val="000000" w:themeColor="text1"/>
                <w:spacing w:val="-6"/>
                <w:lang w:eastAsia="zh-CN"/>
                <w14:textFill>
                  <w14:solidFill>
                    <w14:schemeClr w14:val="tx1"/>
                  </w14:solidFill>
                </w14:textFill>
              </w:rPr>
              <w:t>到</w:t>
            </w:r>
            <w:r>
              <w:rPr>
                <w:rFonts w:ascii="Times New Roman" w:hAnsi="Times New Roman" w:cs="Times New Roman"/>
                <w:color w:val="000000" w:themeColor="text1"/>
                <w:spacing w:val="-47"/>
                <w:lang w:eastAsia="zh-CN"/>
                <w14:textFill>
                  <w14:solidFill>
                    <w14:schemeClr w14:val="tx1"/>
                  </w14:solidFill>
                </w14:textFill>
              </w:rPr>
              <w:t xml:space="preserve"> </w:t>
            </w:r>
            <w:r>
              <w:rPr>
                <w:rFonts w:ascii="Times New Roman" w:hAnsi="Times New Roman" w:cs="Times New Roman"/>
                <w:color w:val="000000" w:themeColor="text1"/>
                <w:spacing w:val="-6"/>
                <w:lang w:eastAsia="zh-CN"/>
                <w14:textFill>
                  <w14:solidFill>
                    <w14:schemeClr w14:val="tx1"/>
                  </w14:solidFill>
                </w14:textFill>
              </w:rPr>
              <w:t>95%以</w:t>
            </w:r>
            <w:r>
              <w:rPr>
                <w:rFonts w:ascii="Times New Roman" w:hAnsi="Times New Roman" w:cs="Times New Roman"/>
                <w:color w:val="000000" w:themeColor="text1"/>
                <w:spacing w:val="-3"/>
                <w:lang w:eastAsia="zh-CN"/>
                <w14:textFill>
                  <w14:solidFill>
                    <w14:schemeClr w14:val="tx1"/>
                  </w14:solidFill>
                </w14:textFill>
              </w:rPr>
              <w:t>上，县城</w:t>
            </w:r>
            <w:r>
              <w:rPr>
                <w:rFonts w:ascii="Times New Roman" w:hAnsi="Times New Roman" w:cs="Times New Roman"/>
                <w:color w:val="000000" w:themeColor="text1"/>
                <w:spacing w:val="-4"/>
                <w:lang w:eastAsia="zh-CN"/>
                <w14:textFill>
                  <w14:solidFill>
                    <w14:schemeClr w14:val="tx1"/>
                  </w14:solidFill>
                </w14:textFill>
              </w:rPr>
              <w:t>达到</w:t>
            </w:r>
            <w:r>
              <w:rPr>
                <w:rFonts w:ascii="Times New Roman" w:hAnsi="Times New Roman" w:cs="Times New Roman"/>
                <w:color w:val="000000" w:themeColor="text1"/>
                <w:spacing w:val="-50"/>
                <w:lang w:eastAsia="zh-CN"/>
                <w14:textFill>
                  <w14:solidFill>
                    <w14:schemeClr w14:val="tx1"/>
                  </w14:solidFill>
                </w14:textFill>
              </w:rPr>
              <w:t xml:space="preserve"> </w:t>
            </w:r>
            <w:r>
              <w:rPr>
                <w:rFonts w:ascii="Times New Roman" w:hAnsi="Times New Roman" w:cs="Times New Roman"/>
                <w:color w:val="000000" w:themeColor="text1"/>
                <w:spacing w:val="-4"/>
                <w:lang w:eastAsia="zh-CN"/>
                <w14:textFill>
                  <w14:solidFill>
                    <w14:schemeClr w14:val="tx1"/>
                  </w14:solidFill>
                </w14:textFill>
              </w:rPr>
              <w:t>90%</w:t>
            </w:r>
            <w:r>
              <w:rPr>
                <w:rFonts w:ascii="Times New Roman" w:hAnsi="Times New Roman" w:cs="Times New Roman"/>
                <w:color w:val="000000" w:themeColor="text1"/>
                <w:spacing w:val="-7"/>
                <w:lang w:eastAsia="zh-CN"/>
                <w14:textFill>
                  <w14:solidFill>
                    <w14:schemeClr w14:val="tx1"/>
                  </w14:solidFill>
                </w14:textFill>
              </w:rPr>
              <w:t>以上。各</w:t>
            </w:r>
            <w:r>
              <w:rPr>
                <w:rFonts w:ascii="Times New Roman" w:hAnsi="Times New Roman" w:cs="Times New Roman"/>
                <w:color w:val="000000" w:themeColor="text1"/>
                <w:spacing w:val="-4"/>
                <w:lang w:eastAsia="zh-CN"/>
                <w14:textFill>
                  <w14:solidFill>
                    <w14:schemeClr w14:val="tx1"/>
                  </w14:solidFill>
                </w14:textFill>
              </w:rPr>
              <w:t>市平均降尘量到2025</w:t>
            </w:r>
            <w:r>
              <w:rPr>
                <w:rFonts w:ascii="Times New Roman" w:hAnsi="Times New Roman" w:cs="Times New Roman"/>
                <w:color w:val="000000" w:themeColor="text1"/>
                <w:spacing w:val="-50"/>
                <w:lang w:eastAsia="zh-CN"/>
                <w14:textFill>
                  <w14:solidFill>
                    <w14:schemeClr w14:val="tx1"/>
                  </w14:solidFill>
                </w14:textFill>
              </w:rPr>
              <w:t xml:space="preserve"> </w:t>
            </w:r>
            <w:r>
              <w:rPr>
                <w:rFonts w:ascii="Times New Roman" w:hAnsi="Times New Roman" w:cs="Times New Roman"/>
                <w:color w:val="000000" w:themeColor="text1"/>
                <w:spacing w:val="-4"/>
                <w:lang w:eastAsia="zh-CN"/>
                <w14:textFill>
                  <w14:solidFill>
                    <w14:schemeClr w14:val="tx1"/>
                  </w14:solidFill>
                </w14:textFill>
              </w:rPr>
              <w:t>年不</w:t>
            </w:r>
            <w:r>
              <w:rPr>
                <w:rFonts w:ascii="Times New Roman" w:hAnsi="Times New Roman" w:cs="Times New Roman"/>
                <w:color w:val="000000" w:themeColor="text1"/>
                <w:spacing w:val="-7"/>
                <w:lang w:eastAsia="zh-CN"/>
                <w14:textFill>
                  <w14:solidFill>
                    <w14:schemeClr w14:val="tx1"/>
                  </w14:solidFill>
                </w14:textFill>
              </w:rPr>
              <w:t>得高于</w:t>
            </w:r>
            <w:r>
              <w:rPr>
                <w:rFonts w:ascii="Times New Roman" w:hAnsi="Times New Roman" w:cs="Times New Roman"/>
                <w:color w:val="000000" w:themeColor="text1"/>
                <w:spacing w:val="-45"/>
                <w:lang w:eastAsia="zh-CN"/>
                <w14:textFill>
                  <w14:solidFill>
                    <w14:schemeClr w14:val="tx1"/>
                  </w14:solidFill>
                </w14:textFill>
              </w:rPr>
              <w:t xml:space="preserve"> </w:t>
            </w:r>
            <w:r>
              <w:rPr>
                <w:rFonts w:ascii="Times New Roman" w:hAnsi="Times New Roman" w:cs="Times New Roman"/>
                <w:color w:val="000000" w:themeColor="text1"/>
                <w:spacing w:val="-7"/>
                <w:lang w:eastAsia="zh-CN"/>
                <w14:textFill>
                  <w14:solidFill>
                    <w14:schemeClr w14:val="tx1"/>
                  </w14:solidFill>
                </w14:textFill>
              </w:rPr>
              <w:t xml:space="preserve">7 </w:t>
            </w:r>
            <w:r>
              <w:rPr>
                <w:rFonts w:ascii="Times New Roman" w:hAnsi="Times New Roman" w:cs="Times New Roman"/>
                <w:color w:val="000000" w:themeColor="text1"/>
                <w:spacing w:val="-5"/>
                <w:lang w:eastAsia="zh-CN"/>
                <w14:textFill>
                  <w14:solidFill>
                    <w14:schemeClr w14:val="tx1"/>
                  </w14:solidFill>
                </w14:textFill>
              </w:rPr>
              <w:t>吨/月·平</w:t>
            </w:r>
            <w:r>
              <w:rPr>
                <w:rFonts w:ascii="Times New Roman" w:hAnsi="Times New Roman" w:cs="Times New Roman"/>
                <w:color w:val="000000" w:themeColor="text1"/>
                <w:spacing w:val="9"/>
                <w:lang w:eastAsia="zh-CN"/>
                <w14:textFill>
                  <w14:solidFill>
                    <w14:schemeClr w14:val="tx1"/>
                  </w14:solidFill>
                </w14:textFill>
              </w:rPr>
              <w:t>方公里。</w:t>
            </w:r>
          </w:p>
        </w:tc>
        <w:tc>
          <w:tcPr>
            <w:tcW w:w="3030" w:type="dxa"/>
            <w:shd w:val="clear" w:color="auto" w:fill="auto"/>
            <w:vAlign w:val="center"/>
          </w:tcPr>
          <w:p w14:paraId="50631FD9">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1、本项目不属于钢铁、焦化等重点行业；</w:t>
            </w:r>
          </w:p>
          <w:p w14:paraId="1092F837">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2、本项目不使用国三及以下排放标准汽车；</w:t>
            </w:r>
          </w:p>
          <w:p w14:paraId="66BCCBEF">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3、本项目不涉及</w:t>
            </w:r>
          </w:p>
        </w:tc>
        <w:tc>
          <w:tcPr>
            <w:tcW w:w="677" w:type="dxa"/>
            <w:shd w:val="clear" w:color="auto" w:fill="auto"/>
            <w:vAlign w:val="center"/>
          </w:tcPr>
          <w:p w14:paraId="595115B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459398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14B02FC5">
            <w:pPr>
              <w:jc w:val="center"/>
              <w:rPr>
                <w:color w:val="000000" w:themeColor="text1"/>
                <w14:textFill>
                  <w14:solidFill>
                    <w14:schemeClr w14:val="tx1"/>
                  </w14:solidFill>
                </w14:textFill>
              </w:rPr>
            </w:pPr>
          </w:p>
        </w:tc>
        <w:tc>
          <w:tcPr>
            <w:tcW w:w="224" w:type="pct"/>
            <w:vMerge w:val="continue"/>
          </w:tcPr>
          <w:p w14:paraId="4642ED7B">
            <w:pPr>
              <w:jc w:val="center"/>
              <w:rPr>
                <w:color w:val="000000" w:themeColor="text1"/>
                <w14:textFill>
                  <w14:solidFill>
                    <w14:schemeClr w14:val="tx1"/>
                  </w14:solidFill>
                </w14:textFill>
              </w:rPr>
            </w:pPr>
          </w:p>
        </w:tc>
        <w:tc>
          <w:tcPr>
            <w:tcW w:w="150" w:type="pct"/>
            <w:vMerge w:val="continue"/>
          </w:tcPr>
          <w:p w14:paraId="5E3580C7">
            <w:pPr>
              <w:jc w:val="center"/>
              <w:rPr>
                <w:color w:val="000000" w:themeColor="text1"/>
                <w14:textFill>
                  <w14:solidFill>
                    <w14:schemeClr w14:val="tx1"/>
                  </w14:solidFill>
                </w14:textFill>
              </w:rPr>
            </w:pPr>
          </w:p>
        </w:tc>
        <w:tc>
          <w:tcPr>
            <w:tcW w:w="153" w:type="pct"/>
            <w:vMerge w:val="continue"/>
          </w:tcPr>
          <w:p w14:paraId="3AF2E625">
            <w:pPr>
              <w:jc w:val="center"/>
              <w:rPr>
                <w:color w:val="000000" w:themeColor="text1"/>
                <w14:textFill>
                  <w14:solidFill>
                    <w14:schemeClr w14:val="tx1"/>
                  </w14:solidFill>
                </w14:textFill>
              </w:rPr>
            </w:pPr>
          </w:p>
        </w:tc>
        <w:tc>
          <w:tcPr>
            <w:tcW w:w="153" w:type="pct"/>
            <w:vMerge w:val="continue"/>
          </w:tcPr>
          <w:p w14:paraId="30E0DA40">
            <w:pPr>
              <w:jc w:val="center"/>
              <w:rPr>
                <w:color w:val="000000" w:themeColor="text1"/>
                <w14:textFill>
                  <w14:solidFill>
                    <w14:schemeClr w14:val="tx1"/>
                  </w14:solidFill>
                </w14:textFill>
              </w:rPr>
            </w:pPr>
          </w:p>
        </w:tc>
        <w:tc>
          <w:tcPr>
            <w:tcW w:w="158" w:type="pct"/>
            <w:vMerge w:val="continue"/>
          </w:tcPr>
          <w:p w14:paraId="2AF57922">
            <w:pPr>
              <w:jc w:val="center"/>
              <w:rPr>
                <w:color w:val="000000" w:themeColor="text1"/>
                <w14:textFill>
                  <w14:solidFill>
                    <w14:schemeClr w14:val="tx1"/>
                  </w14:solidFill>
                </w14:textFill>
              </w:rPr>
            </w:pPr>
          </w:p>
        </w:tc>
        <w:tc>
          <w:tcPr>
            <w:tcW w:w="257" w:type="pct"/>
            <w:vMerge w:val="continue"/>
          </w:tcPr>
          <w:p w14:paraId="5D89112E">
            <w:pPr>
              <w:jc w:val="center"/>
              <w:rPr>
                <w:color w:val="000000" w:themeColor="text1"/>
                <w14:textFill>
                  <w14:solidFill>
                    <w14:schemeClr w14:val="tx1"/>
                  </w14:solidFill>
                </w14:textFill>
              </w:rPr>
            </w:pPr>
          </w:p>
        </w:tc>
        <w:tc>
          <w:tcPr>
            <w:tcW w:w="638" w:type="dxa"/>
            <w:shd w:val="clear" w:color="auto" w:fill="auto"/>
            <w:vAlign w:val="center"/>
          </w:tcPr>
          <w:p w14:paraId="467279D5">
            <w:pPr>
              <w:snapToGrid w:val="0"/>
              <w:rPr>
                <w:color w:val="000000" w:themeColor="text1"/>
                <w:spacing w:val="-5"/>
                <w:szCs w:val="21"/>
                <w14:textFill>
                  <w14:solidFill>
                    <w14:schemeClr w14:val="tx1"/>
                  </w14:solidFill>
                </w14:textFill>
              </w:rPr>
            </w:pPr>
            <w:r>
              <w:rPr>
                <w:bCs/>
                <w:color w:val="000000" w:themeColor="text1"/>
                <w:szCs w:val="21"/>
                <w14:textFill>
                  <w14:solidFill>
                    <w14:schemeClr w14:val="tx1"/>
                  </w14:solidFill>
                </w14:textFill>
              </w:rPr>
              <w:t>环境风险防控</w:t>
            </w:r>
          </w:p>
        </w:tc>
        <w:tc>
          <w:tcPr>
            <w:tcW w:w="4875" w:type="dxa"/>
            <w:shd w:val="clear" w:color="auto" w:fill="auto"/>
            <w:vAlign w:val="center"/>
          </w:tcPr>
          <w:p w14:paraId="1FCEC8EA">
            <w:pPr>
              <w:pStyle w:val="40"/>
              <w:rPr>
                <w:rFonts w:ascii="Times New Roman" w:hAnsi="Times New Roman" w:cs="Times New Roman"/>
                <w:color w:val="000000" w:themeColor="text1"/>
                <w:spacing w:val="-11"/>
                <w:lang w:eastAsia="zh-CN"/>
                <w14:textFill>
                  <w14:solidFill>
                    <w14:schemeClr w14:val="tx1"/>
                  </w14:solidFill>
                </w14:textFill>
              </w:rPr>
            </w:pPr>
            <w:r>
              <w:rPr>
                <w:rFonts w:ascii="Times New Roman" w:hAnsi="Times New Roman" w:cs="Times New Roman"/>
                <w:color w:val="000000" w:themeColor="text1"/>
                <w:spacing w:val="-11"/>
                <w:lang w:eastAsia="zh-CN"/>
                <w14:textFill>
                  <w14:solidFill>
                    <w14:schemeClr w14:val="tx1"/>
                  </w14:solidFill>
                </w14:textFill>
              </w:rPr>
              <w:t>1、</w:t>
            </w:r>
            <w:r>
              <w:rPr>
                <w:rFonts w:ascii="Times New Roman" w:hAnsi="Times New Roman" w:cs="Times New Roman"/>
                <w:color w:val="000000" w:themeColor="text1"/>
                <w:spacing w:val="-6"/>
                <w:lang w:eastAsia="zh-CN"/>
                <w14:textFill>
                  <w14:solidFill>
                    <w14:schemeClr w14:val="tx1"/>
                  </w14:solidFill>
                </w14:textFill>
              </w:rPr>
              <w:t>实施重</w:t>
            </w:r>
            <w:r>
              <w:rPr>
                <w:rFonts w:ascii="Times New Roman" w:hAnsi="Times New Roman" w:cs="Times New Roman"/>
                <w:color w:val="000000" w:themeColor="text1"/>
                <w:spacing w:val="-3"/>
                <w:lang w:eastAsia="zh-CN"/>
                <w14:textFill>
                  <w14:solidFill>
                    <w14:schemeClr w14:val="tx1"/>
                  </w14:solidFill>
                </w14:textFill>
              </w:rPr>
              <w:t>污染企业</w:t>
            </w:r>
            <w:r>
              <w:rPr>
                <w:rFonts w:ascii="Times New Roman" w:hAnsi="Times New Roman" w:cs="Times New Roman"/>
                <w:color w:val="000000" w:themeColor="text1"/>
                <w:spacing w:val="-4"/>
                <w:lang w:eastAsia="zh-CN"/>
                <w14:textFill>
                  <w14:solidFill>
                    <w14:schemeClr w14:val="tx1"/>
                  </w14:solidFill>
                </w14:textFill>
              </w:rPr>
              <w:t>退城搬</w:t>
            </w:r>
            <w:r>
              <w:rPr>
                <w:rFonts w:ascii="Times New Roman" w:hAnsi="Times New Roman" w:cs="Times New Roman"/>
                <w:color w:val="000000" w:themeColor="text1"/>
                <w:spacing w:val="-3"/>
                <w:lang w:eastAsia="zh-CN"/>
                <w14:textFill>
                  <w14:solidFill>
                    <w14:schemeClr w14:val="tx1"/>
                  </w14:solidFill>
                </w14:textFill>
              </w:rPr>
              <w:t>迁，加快城市建成区、人群密集区、重点流域的重污染企业和危险化学品等环境风险大的企业搬迁改造、关停退出，推动实施一</w:t>
            </w:r>
            <w:r>
              <w:rPr>
                <w:rFonts w:ascii="Times New Roman" w:hAnsi="Times New Roman" w:cs="Times New Roman"/>
                <w:color w:val="000000" w:themeColor="text1"/>
                <w:spacing w:val="16"/>
                <w:lang w:eastAsia="zh-CN"/>
                <w14:textFill>
                  <w14:solidFill>
                    <w14:schemeClr w14:val="tx1"/>
                  </w14:solidFill>
                </w14:textFill>
              </w:rPr>
              <w:t>批水泥、</w:t>
            </w:r>
            <w:r>
              <w:rPr>
                <w:rFonts w:ascii="Times New Roman" w:hAnsi="Times New Roman" w:cs="Times New Roman"/>
                <w:color w:val="000000" w:themeColor="text1"/>
                <w:spacing w:val="11"/>
                <w:lang w:eastAsia="zh-CN"/>
                <w14:textFill>
                  <w14:solidFill>
                    <w14:schemeClr w14:val="tx1"/>
                  </w14:solidFill>
                </w14:textFill>
              </w:rPr>
              <w:t>玻璃、焦化、化工等重污染企业退城</w:t>
            </w:r>
            <w:r>
              <w:rPr>
                <w:rFonts w:ascii="Times New Roman" w:hAnsi="Times New Roman" w:cs="Times New Roman"/>
                <w:color w:val="000000" w:themeColor="text1"/>
                <w:spacing w:val="-11"/>
                <w:lang w:eastAsia="zh-CN"/>
                <w14:textFill>
                  <w14:solidFill>
                    <w14:schemeClr w14:val="tx1"/>
                  </w14:solidFill>
                </w14:textFill>
              </w:rPr>
              <w:t>工程。</w:t>
            </w:r>
          </w:p>
          <w:p w14:paraId="1D402E8D">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11"/>
                <w:lang w:eastAsia="zh-CN"/>
                <w14:textFill>
                  <w14:solidFill>
                    <w14:schemeClr w14:val="tx1"/>
                  </w14:solidFill>
                </w14:textFill>
              </w:rPr>
              <w:t>2、</w:t>
            </w:r>
            <w:r>
              <w:rPr>
                <w:rFonts w:ascii="Times New Roman" w:hAnsi="Times New Roman" w:cs="Times New Roman"/>
                <w:color w:val="000000" w:themeColor="text1"/>
                <w:spacing w:val="1"/>
                <w:lang w:eastAsia="zh-CN"/>
                <w14:textFill>
                  <w14:solidFill>
                    <w14:schemeClr w14:val="tx1"/>
                  </w14:solidFill>
                </w14:textFill>
              </w:rPr>
              <w:t xml:space="preserve"> </w:t>
            </w:r>
            <w:r>
              <w:rPr>
                <w:rFonts w:ascii="Times New Roman" w:hAnsi="Times New Roman" w:cs="Times New Roman"/>
                <w:color w:val="000000" w:themeColor="text1"/>
                <w:spacing w:val="11"/>
                <w:lang w:eastAsia="zh-CN"/>
                <w14:textFill>
                  <w14:solidFill>
                    <w14:schemeClr w14:val="tx1"/>
                  </w14:solidFill>
                </w14:textFill>
              </w:rPr>
              <w:t>提升城乡极端气候事件监测预警、防灾减灾综合评估和风险管控能力，保障城乡建设和基础</w:t>
            </w:r>
            <w:r>
              <w:rPr>
                <w:rFonts w:ascii="Times New Roman" w:hAnsi="Times New Roman" w:cs="Times New Roman"/>
                <w:color w:val="000000" w:themeColor="text1"/>
                <w:spacing w:val="-5"/>
                <w:lang w:eastAsia="zh-CN"/>
                <w14:textFill>
                  <w14:solidFill>
                    <w14:schemeClr w14:val="tx1"/>
                  </w14:solidFill>
                </w14:textFill>
              </w:rPr>
              <w:t>设施安</w:t>
            </w:r>
            <w:r>
              <w:rPr>
                <w:rFonts w:ascii="Times New Roman" w:hAnsi="Times New Roman" w:cs="Times New Roman"/>
                <w:color w:val="000000" w:themeColor="text1"/>
                <w:spacing w:val="-3"/>
                <w:lang w:eastAsia="zh-CN"/>
                <w14:textFill>
                  <w14:solidFill>
                    <w14:schemeClr w14:val="tx1"/>
                  </w14:solidFill>
                </w14:textFill>
              </w:rPr>
              <w:t>全。适时开展气候变化影响</w:t>
            </w:r>
            <w:r>
              <w:rPr>
                <w:rFonts w:ascii="Times New Roman" w:hAnsi="Times New Roman" w:cs="Times New Roman"/>
                <w:color w:val="000000" w:themeColor="text1"/>
                <w:spacing w:val="-4"/>
                <w:lang w:eastAsia="zh-CN"/>
                <w14:textFill>
                  <w14:solidFill>
                    <w14:schemeClr w14:val="tx1"/>
                  </w14:solidFill>
                </w14:textFill>
              </w:rPr>
              <w:t>风险评</w:t>
            </w:r>
            <w:r>
              <w:rPr>
                <w:rFonts w:ascii="Times New Roman" w:hAnsi="Times New Roman" w:cs="Times New Roman"/>
                <w:color w:val="000000" w:themeColor="text1"/>
                <w:spacing w:val="-3"/>
                <w:lang w:eastAsia="zh-CN"/>
                <w14:textFill>
                  <w14:solidFill>
                    <w14:schemeClr w14:val="tx1"/>
                  </w14:solidFill>
                </w14:textFill>
              </w:rPr>
              <w:t>估，实施适应气候</w:t>
            </w:r>
            <w:r>
              <w:rPr>
                <w:rFonts w:ascii="Times New Roman" w:hAnsi="Times New Roman" w:cs="Times New Roman"/>
                <w:color w:val="000000" w:themeColor="text1"/>
                <w:spacing w:val="-4"/>
                <w:lang w:eastAsia="zh-CN"/>
                <w14:textFill>
                  <w14:solidFill>
                    <w14:schemeClr w14:val="tx1"/>
                  </w14:solidFill>
                </w14:textFill>
              </w:rPr>
              <w:t>变化行</w:t>
            </w:r>
            <w:r>
              <w:rPr>
                <w:rFonts w:ascii="Times New Roman" w:hAnsi="Times New Roman" w:cs="Times New Roman"/>
                <w:color w:val="000000" w:themeColor="text1"/>
                <w:spacing w:val="-6"/>
                <w:lang w:eastAsia="zh-CN"/>
                <w14:textFill>
                  <w14:solidFill>
                    <w14:schemeClr w14:val="tx1"/>
                  </w14:solidFill>
                </w14:textFill>
              </w:rPr>
              <w:t>动。</w:t>
            </w:r>
          </w:p>
        </w:tc>
        <w:tc>
          <w:tcPr>
            <w:tcW w:w="3030" w:type="dxa"/>
            <w:shd w:val="clear" w:color="auto" w:fill="auto"/>
            <w:vAlign w:val="center"/>
          </w:tcPr>
          <w:p w14:paraId="0A28ADD8">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1、本项目不属于水泥、玻璃、焦化、化工等重污染企业；</w:t>
            </w:r>
          </w:p>
          <w:p w14:paraId="09D93AC7">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2、本项目不涉及</w:t>
            </w:r>
          </w:p>
        </w:tc>
        <w:tc>
          <w:tcPr>
            <w:tcW w:w="677" w:type="dxa"/>
            <w:shd w:val="clear" w:color="auto" w:fill="auto"/>
            <w:vAlign w:val="center"/>
          </w:tcPr>
          <w:p w14:paraId="5512509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r w14:paraId="0EB168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648" w:type="pct"/>
            <w:vMerge w:val="continue"/>
          </w:tcPr>
          <w:p w14:paraId="47C90E78">
            <w:pPr>
              <w:jc w:val="center"/>
              <w:rPr>
                <w:color w:val="000000" w:themeColor="text1"/>
                <w14:textFill>
                  <w14:solidFill>
                    <w14:schemeClr w14:val="tx1"/>
                  </w14:solidFill>
                </w14:textFill>
              </w:rPr>
            </w:pPr>
          </w:p>
        </w:tc>
        <w:tc>
          <w:tcPr>
            <w:tcW w:w="224" w:type="pct"/>
            <w:vMerge w:val="continue"/>
          </w:tcPr>
          <w:p w14:paraId="3B2C0FB8">
            <w:pPr>
              <w:jc w:val="center"/>
              <w:rPr>
                <w:color w:val="000000" w:themeColor="text1"/>
                <w14:textFill>
                  <w14:solidFill>
                    <w14:schemeClr w14:val="tx1"/>
                  </w14:solidFill>
                </w14:textFill>
              </w:rPr>
            </w:pPr>
          </w:p>
        </w:tc>
        <w:tc>
          <w:tcPr>
            <w:tcW w:w="150" w:type="pct"/>
            <w:vMerge w:val="continue"/>
          </w:tcPr>
          <w:p w14:paraId="66AB2F89">
            <w:pPr>
              <w:jc w:val="center"/>
              <w:rPr>
                <w:color w:val="000000" w:themeColor="text1"/>
                <w14:textFill>
                  <w14:solidFill>
                    <w14:schemeClr w14:val="tx1"/>
                  </w14:solidFill>
                </w14:textFill>
              </w:rPr>
            </w:pPr>
          </w:p>
        </w:tc>
        <w:tc>
          <w:tcPr>
            <w:tcW w:w="153" w:type="pct"/>
            <w:vMerge w:val="continue"/>
          </w:tcPr>
          <w:p w14:paraId="3F49782D">
            <w:pPr>
              <w:jc w:val="center"/>
              <w:rPr>
                <w:color w:val="000000" w:themeColor="text1"/>
                <w14:textFill>
                  <w14:solidFill>
                    <w14:schemeClr w14:val="tx1"/>
                  </w14:solidFill>
                </w14:textFill>
              </w:rPr>
            </w:pPr>
          </w:p>
        </w:tc>
        <w:tc>
          <w:tcPr>
            <w:tcW w:w="153" w:type="pct"/>
            <w:vMerge w:val="continue"/>
          </w:tcPr>
          <w:p w14:paraId="0C5E5B62">
            <w:pPr>
              <w:jc w:val="center"/>
              <w:rPr>
                <w:color w:val="000000" w:themeColor="text1"/>
                <w14:textFill>
                  <w14:solidFill>
                    <w14:schemeClr w14:val="tx1"/>
                  </w14:solidFill>
                </w14:textFill>
              </w:rPr>
            </w:pPr>
          </w:p>
        </w:tc>
        <w:tc>
          <w:tcPr>
            <w:tcW w:w="158" w:type="pct"/>
            <w:vMerge w:val="continue"/>
          </w:tcPr>
          <w:p w14:paraId="6647FC98">
            <w:pPr>
              <w:jc w:val="center"/>
              <w:rPr>
                <w:color w:val="000000" w:themeColor="text1"/>
                <w14:textFill>
                  <w14:solidFill>
                    <w14:schemeClr w14:val="tx1"/>
                  </w14:solidFill>
                </w14:textFill>
              </w:rPr>
            </w:pPr>
          </w:p>
        </w:tc>
        <w:tc>
          <w:tcPr>
            <w:tcW w:w="257" w:type="pct"/>
            <w:vMerge w:val="continue"/>
          </w:tcPr>
          <w:p w14:paraId="7E4BA8E9">
            <w:pPr>
              <w:jc w:val="center"/>
              <w:rPr>
                <w:color w:val="000000" w:themeColor="text1"/>
                <w14:textFill>
                  <w14:solidFill>
                    <w14:schemeClr w14:val="tx1"/>
                  </w14:solidFill>
                </w14:textFill>
              </w:rPr>
            </w:pPr>
          </w:p>
        </w:tc>
        <w:tc>
          <w:tcPr>
            <w:tcW w:w="638" w:type="dxa"/>
            <w:shd w:val="clear" w:color="auto" w:fill="auto"/>
            <w:vAlign w:val="center"/>
          </w:tcPr>
          <w:p w14:paraId="7FED8E33">
            <w:pPr>
              <w:snapToGrid w:val="0"/>
              <w:rPr>
                <w:color w:val="000000" w:themeColor="text1"/>
                <w:spacing w:val="-5"/>
                <w:szCs w:val="21"/>
                <w14:textFill>
                  <w14:solidFill>
                    <w14:schemeClr w14:val="tx1"/>
                  </w14:solidFill>
                </w14:textFill>
              </w:rPr>
            </w:pPr>
            <w:r>
              <w:rPr>
                <w:color w:val="000000" w:themeColor="text1"/>
                <w:spacing w:val="-5"/>
                <w:szCs w:val="21"/>
                <w14:textFill>
                  <w14:solidFill>
                    <w14:schemeClr w14:val="tx1"/>
                  </w14:solidFill>
                </w14:textFill>
              </w:rPr>
              <w:t>资源开发</w:t>
            </w:r>
            <w:r>
              <w:rPr>
                <w:color w:val="000000" w:themeColor="text1"/>
                <w:spacing w:val="-4"/>
                <w:szCs w:val="21"/>
                <w14:textFill>
                  <w14:solidFill>
                    <w14:schemeClr w14:val="tx1"/>
                  </w14:solidFill>
                </w14:textFill>
              </w:rPr>
              <w:t>效率要求</w:t>
            </w:r>
          </w:p>
        </w:tc>
        <w:tc>
          <w:tcPr>
            <w:tcW w:w="4875" w:type="dxa"/>
            <w:shd w:val="clear" w:color="auto" w:fill="auto"/>
            <w:vAlign w:val="center"/>
          </w:tcPr>
          <w:p w14:paraId="19F444DE">
            <w:pPr>
              <w:pStyle w:val="40"/>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lang w:eastAsia="zh-CN"/>
                <w14:textFill>
                  <w14:solidFill>
                    <w14:schemeClr w14:val="tx1"/>
                  </w14:solidFill>
                </w14:textFill>
              </w:rPr>
              <w:t>1、</w:t>
            </w:r>
            <w:r>
              <w:rPr>
                <w:rFonts w:ascii="Times New Roman" w:hAnsi="Times New Roman" w:cs="Times New Roman"/>
                <w:color w:val="000000" w:themeColor="text1"/>
                <w:spacing w:val="-6"/>
                <w:lang w:eastAsia="zh-CN"/>
                <w14:textFill>
                  <w14:solidFill>
                    <w14:schemeClr w14:val="tx1"/>
                  </w14:solidFill>
                </w14:textFill>
              </w:rPr>
              <w:t>在禁燃</w:t>
            </w:r>
            <w:r>
              <w:rPr>
                <w:rFonts w:ascii="Times New Roman" w:hAnsi="Times New Roman" w:cs="Times New Roman"/>
                <w:color w:val="000000" w:themeColor="text1"/>
                <w:spacing w:val="-3"/>
                <w:lang w:eastAsia="zh-CN"/>
                <w14:textFill>
                  <w14:solidFill>
                    <w14:schemeClr w14:val="tx1"/>
                  </w14:solidFill>
                </w14:textFill>
              </w:rPr>
              <w:t>区内，禁</w:t>
            </w:r>
            <w:r>
              <w:rPr>
                <w:rFonts w:ascii="Times New Roman" w:hAnsi="Times New Roman" w:cs="Times New Roman"/>
                <w:color w:val="000000" w:themeColor="text1"/>
                <w:spacing w:val="3"/>
                <w:lang w:eastAsia="zh-CN"/>
                <w14:textFill>
                  <w14:solidFill>
                    <w14:schemeClr w14:val="tx1"/>
                  </w14:solidFill>
                </w14:textFill>
              </w:rPr>
              <w:t>止销售、</w:t>
            </w:r>
            <w:r>
              <w:rPr>
                <w:rFonts w:ascii="Times New Roman" w:hAnsi="Times New Roman" w:cs="Times New Roman"/>
                <w:color w:val="000000" w:themeColor="text1"/>
                <w:spacing w:val="-3"/>
                <w:lang w:eastAsia="zh-CN"/>
                <w14:textFill>
                  <w14:solidFill>
                    <w14:schemeClr w14:val="tx1"/>
                  </w14:solidFill>
                </w14:textFill>
              </w:rPr>
              <w:t>燃用高污染燃料；</w:t>
            </w:r>
            <w:r>
              <w:rPr>
                <w:rFonts w:ascii="Times New Roman" w:hAnsi="Times New Roman" w:cs="Times New Roman"/>
                <w:color w:val="000000" w:themeColor="text1"/>
                <w:spacing w:val="-4"/>
                <w:lang w:eastAsia="zh-CN"/>
                <w14:textFill>
                  <w14:solidFill>
                    <w14:schemeClr w14:val="tx1"/>
                  </w14:solidFill>
                </w14:textFill>
              </w:rPr>
              <w:t>禁止新</w:t>
            </w:r>
            <w:r>
              <w:rPr>
                <w:rFonts w:ascii="Times New Roman" w:hAnsi="Times New Roman" w:cs="Times New Roman"/>
                <w:color w:val="000000" w:themeColor="text1"/>
                <w:spacing w:val="-3"/>
                <w:lang w:eastAsia="zh-CN"/>
                <w14:textFill>
                  <w14:solidFill>
                    <w14:schemeClr w14:val="tx1"/>
                  </w14:solidFill>
                </w14:textFill>
              </w:rPr>
              <w:t>建、扩建燃用高污染燃料的设施，已建成的，应当在各省辖市、</w:t>
            </w:r>
            <w:r>
              <w:rPr>
                <w:rFonts w:ascii="Times New Roman" w:hAnsi="Times New Roman" w:cs="Times New Roman"/>
                <w:color w:val="000000" w:themeColor="text1"/>
                <w:spacing w:val="-7"/>
                <w:lang w:eastAsia="zh-CN"/>
                <w14:textFill>
                  <w14:solidFill>
                    <w14:schemeClr w14:val="tx1"/>
                  </w14:solidFill>
                </w14:textFill>
              </w:rPr>
              <w:t>县（市）</w:t>
            </w:r>
            <w:r>
              <w:rPr>
                <w:rFonts w:ascii="Times New Roman" w:hAnsi="Times New Roman" w:cs="Times New Roman"/>
                <w:color w:val="000000" w:themeColor="text1"/>
                <w:spacing w:val="-3"/>
                <w:lang w:eastAsia="zh-CN"/>
                <w14:textFill>
                  <w14:solidFill>
                    <w14:schemeClr w14:val="tx1"/>
                  </w14:solidFill>
                </w14:textFill>
              </w:rPr>
              <w:t>人民政府规定的期</w:t>
            </w:r>
            <w:r>
              <w:rPr>
                <w:rFonts w:ascii="Times New Roman" w:hAnsi="Times New Roman" w:cs="Times New Roman"/>
                <w:color w:val="000000" w:themeColor="text1"/>
                <w:spacing w:val="-7"/>
                <w:lang w:eastAsia="zh-CN"/>
                <w14:textFill>
                  <w14:solidFill>
                    <w14:schemeClr w14:val="tx1"/>
                  </w14:solidFill>
                </w14:textFill>
              </w:rPr>
              <w:t>限内改用</w:t>
            </w:r>
            <w:r>
              <w:rPr>
                <w:rFonts w:ascii="Times New Roman" w:hAnsi="Times New Roman" w:cs="Times New Roman"/>
                <w:color w:val="000000" w:themeColor="text1"/>
                <w:spacing w:val="18"/>
                <w:lang w:eastAsia="zh-CN"/>
                <w14:textFill>
                  <w14:solidFill>
                    <w14:schemeClr w14:val="tx1"/>
                  </w14:solidFill>
                </w14:textFill>
              </w:rPr>
              <w:t>天然气、页岩气、</w:t>
            </w:r>
            <w:r>
              <w:rPr>
                <w:rFonts w:ascii="Times New Roman" w:hAnsi="Times New Roman" w:cs="Times New Roman"/>
                <w:color w:val="000000" w:themeColor="text1"/>
                <w:spacing w:val="11"/>
                <w:lang w:eastAsia="zh-CN"/>
                <w14:textFill>
                  <w14:solidFill>
                    <w14:schemeClr w14:val="tx1"/>
                  </w14:solidFill>
                </w14:textFill>
              </w:rPr>
              <w:t>液化石油气、电或者其他清</w:t>
            </w:r>
            <w:r>
              <w:rPr>
                <w:rFonts w:ascii="Times New Roman" w:hAnsi="Times New Roman" w:cs="Times New Roman"/>
                <w:color w:val="000000" w:themeColor="text1"/>
                <w:spacing w:val="20"/>
                <w:lang w:eastAsia="zh-CN"/>
                <w14:textFill>
                  <w14:solidFill>
                    <w14:schemeClr w14:val="tx1"/>
                  </w14:solidFill>
                </w14:textFill>
              </w:rPr>
              <w:t>洁能源。</w:t>
            </w:r>
          </w:p>
          <w:p w14:paraId="2C1CC466">
            <w:pPr>
              <w:pStyle w:val="40"/>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3"/>
                <w:lang w:eastAsia="zh-CN"/>
                <w14:textFill>
                  <w14:solidFill>
                    <w14:schemeClr w14:val="tx1"/>
                  </w14:solidFill>
                </w14:textFill>
              </w:rPr>
              <w:t>2、基本实现城区集</w:t>
            </w:r>
            <w:r>
              <w:rPr>
                <w:rFonts w:ascii="Times New Roman" w:hAnsi="Times New Roman" w:cs="Times New Roman"/>
                <w:color w:val="000000" w:themeColor="text1"/>
                <w:spacing w:val="-8"/>
                <w:lang w:eastAsia="zh-CN"/>
                <w14:textFill>
                  <w14:solidFill>
                    <w14:schemeClr w14:val="tx1"/>
                  </w14:solidFill>
                </w14:textFill>
              </w:rPr>
              <w:t>中供暖全</w:t>
            </w:r>
            <w:r>
              <w:rPr>
                <w:rFonts w:ascii="Times New Roman" w:hAnsi="Times New Roman" w:cs="Times New Roman"/>
                <w:color w:val="000000" w:themeColor="text1"/>
                <w:spacing w:val="29"/>
                <w:lang w:eastAsia="zh-CN"/>
                <w14:textFill>
                  <w14:solidFill>
                    <w14:schemeClr w14:val="tx1"/>
                  </w14:solidFill>
                </w14:textFill>
              </w:rPr>
              <w:t>覆盖。</w:t>
            </w:r>
          </w:p>
        </w:tc>
        <w:tc>
          <w:tcPr>
            <w:tcW w:w="3030" w:type="dxa"/>
            <w:shd w:val="clear" w:color="auto" w:fill="auto"/>
            <w:vAlign w:val="center"/>
          </w:tcPr>
          <w:p w14:paraId="5BF8C5ED">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1、本项目能源采用电能</w:t>
            </w:r>
            <w:r>
              <w:rPr>
                <w:rFonts w:hint="eastAsia"/>
                <w:color w:val="000000" w:themeColor="text1"/>
                <w:szCs w:val="21"/>
                <w14:textFill>
                  <w14:solidFill>
                    <w14:schemeClr w14:val="tx1"/>
                  </w14:solidFill>
                </w14:textFill>
              </w:rPr>
              <w:t>和天然气</w:t>
            </w:r>
            <w:r>
              <w:rPr>
                <w:color w:val="000000" w:themeColor="text1"/>
                <w:szCs w:val="21"/>
                <w14:textFill>
                  <w14:solidFill>
                    <w14:schemeClr w14:val="tx1"/>
                  </w14:solidFill>
                </w14:textFill>
              </w:rPr>
              <w:t>；</w:t>
            </w:r>
          </w:p>
          <w:p w14:paraId="42440FB7">
            <w:pPr>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2、本项目不涉及</w:t>
            </w:r>
          </w:p>
        </w:tc>
        <w:tc>
          <w:tcPr>
            <w:tcW w:w="677" w:type="dxa"/>
            <w:shd w:val="clear" w:color="auto" w:fill="auto"/>
            <w:vAlign w:val="center"/>
          </w:tcPr>
          <w:p w14:paraId="68F9725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相符</w:t>
            </w:r>
          </w:p>
        </w:tc>
      </w:tr>
    </w:tbl>
    <w:p w14:paraId="40A1FA66">
      <w:pPr>
        <w:spacing w:line="360" w:lineRule="auto"/>
        <w:ind w:firstLine="480" w:firstLineChars="200"/>
        <w:rPr>
          <w:color w:val="000000" w:themeColor="text1"/>
          <w14:textFill>
            <w14:solidFill>
              <w14:schemeClr w14:val="tx1"/>
            </w14:solidFill>
          </w14:textFill>
        </w:rPr>
      </w:pPr>
      <w:r>
        <w:rPr>
          <w:color w:val="000000" w:themeColor="text1"/>
          <w:sz w:val="24"/>
          <w14:textFill>
            <w14:solidFill>
              <w14:schemeClr w14:val="tx1"/>
            </w14:solidFill>
          </w14:textFill>
        </w:rPr>
        <w:t>综上所述，项目建设符合“三线一单”分区管控要求。</w:t>
      </w:r>
    </w:p>
    <w:p w14:paraId="3654DBB2">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p w14:paraId="0FE79995">
      <w:pPr>
        <w:pStyle w:val="3"/>
        <w:bidi w:val="0"/>
        <w:jc w:val="center"/>
        <w:outlineLvl w:val="0"/>
        <w:rPr>
          <w:color w:val="000000" w:themeColor="text1"/>
          <w14:textFill>
            <w14:solidFill>
              <w14:schemeClr w14:val="tx1"/>
            </w14:solidFill>
          </w14:textFill>
        </w:rPr>
      </w:pPr>
      <w:bookmarkStart w:id="23" w:name="_Toc25034"/>
      <w:r>
        <w:rPr>
          <w:color w:val="000000" w:themeColor="text1"/>
          <w14:textFill>
            <w14:solidFill>
              <w14:schemeClr w14:val="tx1"/>
            </w14:solidFill>
          </w14:textFill>
        </w:rPr>
        <w:t>二、建设项目工程分析</w:t>
      </w:r>
      <w:bookmarkEnd w:id="23"/>
    </w:p>
    <w:tbl>
      <w:tblPr>
        <w:tblStyle w:val="25"/>
        <w:tblW w:w="505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43"/>
        <w:gridCol w:w="9623"/>
      </w:tblGrid>
      <w:tr w14:paraId="4427AA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0" w:type="pct"/>
            <w:vAlign w:val="center"/>
          </w:tcPr>
          <w:p w14:paraId="6A27AC5E">
            <w:pPr>
              <w:pStyle w:val="31"/>
              <w:rPr>
                <w:color w:val="000000" w:themeColor="text1"/>
                <w14:textFill>
                  <w14:solidFill>
                    <w14:schemeClr w14:val="tx1"/>
                  </w14:solidFill>
                </w14:textFill>
              </w:rPr>
            </w:pPr>
            <w:r>
              <w:rPr>
                <w:color w:val="000000" w:themeColor="text1"/>
                <w14:textFill>
                  <w14:solidFill>
                    <w14:schemeClr w14:val="tx1"/>
                  </w14:solidFill>
                </w14:textFill>
              </w:rPr>
              <w:t>建设内容</w:t>
            </w:r>
          </w:p>
        </w:tc>
        <w:tc>
          <w:tcPr>
            <w:tcW w:w="4779" w:type="pct"/>
          </w:tcPr>
          <w:p w14:paraId="21383118">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1、项目由来</w:t>
            </w:r>
          </w:p>
          <w:p w14:paraId="5D93B24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酒是中国特有的、富有悠久历史和精湛技艺的民族传统饮品。当前，随着国民经济持续发展和人民生活水平不断提高，酒已成为人们不可</w:t>
            </w:r>
            <w:r>
              <w:rPr>
                <w:rFonts w:hint="eastAsia"/>
                <w:color w:val="000000" w:themeColor="text1"/>
                <w:sz w:val="24"/>
                <w:lang w:val="en-US" w:eastAsia="zh-CN"/>
                <w14:textFill>
                  <w14:solidFill>
                    <w14:schemeClr w14:val="tx1"/>
                  </w14:solidFill>
                </w14:textFill>
              </w:rPr>
              <w:t>或</w:t>
            </w:r>
            <w:r>
              <w:rPr>
                <w:color w:val="000000" w:themeColor="text1"/>
                <w:sz w:val="24"/>
                <w14:textFill>
                  <w14:solidFill>
                    <w14:schemeClr w14:val="tx1"/>
                  </w14:solidFill>
                </w14:textFill>
              </w:rPr>
              <w:t>缺的食物消费品。发展酒业生产是开拓酒、饮料制造转化升值的有效手段，也是化解</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三农</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问题，促进新农村建设，提升农业经济效益的有效途径。酿酒工业不仅能带动地域经济发展，安置城乡劳动就业，还能</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兴食支农</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支农兴酒</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，实现农业产业化。酿酒工业已成为很多省市的支柱产业，也是地方财政收入的主要来源。</w:t>
            </w:r>
          </w:p>
          <w:p w14:paraId="17AF9FC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华陀酒业</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河南</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有限公司</w:t>
            </w:r>
            <w:r>
              <w:rPr>
                <w:rFonts w:hint="eastAsia"/>
                <w:color w:val="000000" w:themeColor="text1"/>
                <w:sz w:val="24"/>
                <w14:textFill>
                  <w14:solidFill>
                    <w14:schemeClr w14:val="tx1"/>
                  </w14:solidFill>
                </w14:textFill>
              </w:rPr>
              <w:t>拟投资11000万元于南阳市镇平县玉都工业园区新星路8号建设华陀酒业（河南）有限公司酒品、饮料及医疗器械生产项目。本项目利用河南健生酒</w:t>
            </w:r>
            <w:r>
              <w:rPr>
                <w:rFonts w:hint="eastAsia"/>
                <w:color w:val="000000" w:themeColor="text1"/>
                <w:sz w:val="24"/>
                <w:lang w:val="en-US" w:eastAsia="zh-CN"/>
                <w14:textFill>
                  <w14:solidFill>
                    <w14:schemeClr w14:val="tx1"/>
                  </w14:solidFill>
                </w14:textFill>
              </w:rPr>
              <w:t>业</w:t>
            </w:r>
            <w:r>
              <w:rPr>
                <w:rFonts w:hint="eastAsia"/>
                <w:color w:val="000000" w:themeColor="text1"/>
                <w:sz w:val="24"/>
                <w14:textFill>
                  <w14:solidFill>
                    <w14:schemeClr w14:val="tx1"/>
                  </w14:solidFill>
                </w14:textFill>
              </w:rPr>
              <w:t>有限公司场地，</w:t>
            </w:r>
            <w:r>
              <w:rPr>
                <w:rStyle w:val="30"/>
                <w:rFonts w:hint="eastAsia"/>
                <w:color w:val="000000" w:themeColor="text1"/>
                <w:sz w:val="24"/>
                <w:szCs w:val="24"/>
                <w14:textFill>
                  <w14:solidFill>
                    <w14:schemeClr w14:val="tx1"/>
                  </w14:solidFill>
                </w14:textFill>
              </w:rPr>
              <w:t>并利用厂区内现有黄酒车间、封坛发酵车间以及包材仓库</w:t>
            </w:r>
            <w:r>
              <w:rPr>
                <w:rStyle w:val="30"/>
                <w:rFonts w:hint="eastAsia"/>
                <w:color w:val="000000" w:themeColor="text1"/>
                <w:sz w:val="24"/>
                <w:szCs w:val="24"/>
                <w:lang w:eastAsia="zh-CN"/>
                <w14:textFill>
                  <w14:solidFill>
                    <w14:schemeClr w14:val="tx1"/>
                  </w14:solidFill>
                </w14:textFill>
              </w:rPr>
              <w:t>，</w:t>
            </w:r>
            <w:r>
              <w:rPr>
                <w:rStyle w:val="30"/>
                <w:rFonts w:hint="eastAsia"/>
                <w:color w:val="000000" w:themeColor="text1"/>
                <w:sz w:val="24"/>
                <w:szCs w:val="24"/>
                <w14:textFill>
                  <w14:solidFill>
                    <w14:schemeClr w14:val="tx1"/>
                  </w14:solidFill>
                </w14:textFill>
              </w:rPr>
              <w:t>并新建综合车间、1#二类器械车间、2#二类器械车间以及封坛区域</w:t>
            </w:r>
            <w:r>
              <w:rPr>
                <w:rFonts w:hint="eastAsia"/>
                <w:color w:val="000000" w:themeColor="text1"/>
                <w:sz w:val="24"/>
                <w14:textFill>
                  <w14:solidFill>
                    <w14:schemeClr w14:val="tx1"/>
                  </w14:solidFill>
                </w14:textFill>
              </w:rPr>
              <w:t>，本项目占地面积33320平方米，建筑面积18749平方米，主要以外购的高粱、小麦、玉米和大米等为主要原材料，进行白酒（已购买原河南健生酒业有限公司酒类食品生产许可证，文号为：SC11541132400130）、黄酒、啤酒、果酒、植物饮料、袋泡茶及医疗器械的生产，项目建成投产后可达年产100吨白酒、200吨黄酒、200吨啤酒、200吨果酒、200吨植物饮料、100吨袋泡茶、20万件医用手术衣、100万贴热敷理疗产品和100万支治疗凝胶的生产规模。</w:t>
            </w:r>
          </w:p>
          <w:p w14:paraId="183B0E30">
            <w:pPr>
              <w:adjustRightInd w:val="0"/>
              <w:snapToGrid w:val="0"/>
              <w:spacing w:line="360" w:lineRule="auto"/>
              <w:ind w:firstLine="482" w:firstLineChars="200"/>
              <w:rPr>
                <w:b/>
                <w:color w:val="000000" w:themeColor="text1"/>
                <w:sz w:val="24"/>
                <w:lang w:val="en-CA"/>
                <w14:textFill>
                  <w14:solidFill>
                    <w14:schemeClr w14:val="tx1"/>
                  </w14:solidFill>
                </w14:textFill>
              </w:rPr>
            </w:pPr>
            <w:r>
              <w:rPr>
                <w:rFonts w:hint="eastAsia"/>
                <w:b/>
                <w:color w:val="000000" w:themeColor="text1"/>
                <w:sz w:val="24"/>
                <w14:textFill>
                  <w14:solidFill>
                    <w14:schemeClr w14:val="tx1"/>
                  </w14:solidFill>
                </w14:textFill>
              </w:rPr>
              <w:t>2、</w:t>
            </w:r>
            <w:r>
              <w:rPr>
                <w:b/>
                <w:color w:val="000000" w:themeColor="text1"/>
                <w:sz w:val="24"/>
                <w:lang w:val="en-CA"/>
                <w14:textFill>
                  <w14:solidFill>
                    <w14:schemeClr w14:val="tx1"/>
                  </w14:solidFill>
                </w14:textFill>
              </w:rPr>
              <w:t>项目类别判定</w:t>
            </w:r>
          </w:p>
          <w:p w14:paraId="642C8BB0">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w:t>
            </w:r>
            <w:r>
              <w:rPr>
                <w:color w:val="000000" w:themeColor="text1"/>
                <w:sz w:val="24"/>
                <w14:textFill>
                  <w14:solidFill>
                    <w14:schemeClr w14:val="tx1"/>
                  </w14:solidFill>
                </w14:textFill>
              </w:rPr>
              <w:t>《国民经济行业分类》（GB/T4754-2017）</w:t>
            </w:r>
            <w:r>
              <w:rPr>
                <w:rFonts w:hint="eastAsia"/>
                <w:color w:val="000000" w:themeColor="text1"/>
                <w:sz w:val="24"/>
                <w14:textFill>
                  <w14:solidFill>
                    <w14:schemeClr w14:val="tx1"/>
                  </w14:solidFill>
                </w14:textFill>
              </w:rPr>
              <w:t>，白酒属于C1512白酒制造；啤酒属于C1513啤酒制造；黄酒属于C1514黄酒制造；</w:t>
            </w:r>
            <w:r>
              <w:rPr>
                <w:rFonts w:hint="eastAsia"/>
                <w:color w:val="000000" w:themeColor="text1"/>
                <w:sz w:val="24"/>
                <w14:textFill>
                  <w14:solidFill>
                    <w14:schemeClr w14:val="tx1"/>
                  </w14:solidFill>
                </w14:textFill>
              </w:rPr>
              <w:t>果酒</w:t>
            </w:r>
            <w:r>
              <w:rPr>
                <w:rFonts w:hint="eastAsia"/>
                <w:color w:val="000000" w:themeColor="text1"/>
                <w:sz w:val="24"/>
                <w:lang w:val="en-US" w:eastAsia="zh-CN"/>
                <w14:textFill>
                  <w14:solidFill>
                    <w14:schemeClr w14:val="tx1"/>
                  </w14:solidFill>
                </w14:textFill>
              </w:rPr>
              <w:t>中葡萄酒</w:t>
            </w:r>
            <w:r>
              <w:rPr>
                <w:rFonts w:hint="eastAsia"/>
                <w:color w:val="000000" w:themeColor="text1"/>
                <w:sz w:val="24"/>
                <w14:textFill>
                  <w14:solidFill>
                    <w14:schemeClr w14:val="tx1"/>
                  </w14:solidFill>
                </w14:textFill>
              </w:rPr>
              <w:t>属于C1515葡萄酒制造</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苹果酒及猕猴桃酒属于</w:t>
            </w:r>
            <w:r>
              <w:rPr>
                <w:rFonts w:hint="eastAsia"/>
                <w:color w:val="000000" w:themeColor="text1"/>
                <w:sz w:val="24"/>
                <w14:textFill>
                  <w14:solidFill>
                    <w14:schemeClr w14:val="tx1"/>
                  </w14:solidFill>
                </w14:textFill>
              </w:rPr>
              <w:t>C1519其他酒制造；</w:t>
            </w:r>
            <w:r>
              <w:rPr>
                <w:rFonts w:hint="eastAsia"/>
                <w:color w:val="000000" w:themeColor="text1"/>
                <w:sz w:val="24"/>
                <w14:textFill>
                  <w14:solidFill>
                    <w14:schemeClr w14:val="tx1"/>
                  </w14:solidFill>
                </w14:textFill>
              </w:rPr>
              <w:t>医用手术衣、热敷理疗产品以及治疗凝胶属于C2770卫生材料及医药用品制造</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蒸汽发生器属于D4430热力生产和供应行业</w:t>
            </w:r>
            <w:r>
              <w:rPr>
                <w:color w:val="000000" w:themeColor="text1"/>
                <w:sz w:val="24"/>
                <w14:textFill>
                  <w14:solidFill>
                    <w14:schemeClr w14:val="tx1"/>
                  </w14:solidFill>
                </w14:textFill>
              </w:rPr>
              <w:t>。对照《建设项目环境影响评价分类管理名录》（202</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年版），本项目评价类别为报告表，具体见表2-1。</w:t>
            </w:r>
          </w:p>
          <w:p w14:paraId="42C91251">
            <w:pPr>
              <w:pStyle w:val="41"/>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表2-1  环境影响评价分类管理名录对应类别</w:t>
            </w:r>
          </w:p>
          <w:tbl>
            <w:tblPr>
              <w:tblStyle w:val="25"/>
              <w:tblW w:w="4987"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57" w:type="dxa"/>
                <w:bottom w:w="0" w:type="dxa"/>
                <w:right w:w="57" w:type="dxa"/>
              </w:tblCellMar>
            </w:tblPr>
            <w:tblGrid>
              <w:gridCol w:w="388"/>
              <w:gridCol w:w="1004"/>
              <w:gridCol w:w="1833"/>
              <w:gridCol w:w="1792"/>
              <w:gridCol w:w="1027"/>
              <w:gridCol w:w="2210"/>
              <w:gridCol w:w="1125"/>
            </w:tblGrid>
            <w:tr w14:paraId="1ECE81B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454" w:hRule="atLeast"/>
                <w:jc w:val="center"/>
              </w:trPr>
              <w:tc>
                <w:tcPr>
                  <w:tcW w:w="742" w:type="pct"/>
                  <w:gridSpan w:val="2"/>
                  <w:vAlign w:val="center"/>
                </w:tcPr>
                <w:p w14:paraId="654AD53F">
                  <w:pPr>
                    <w:pStyle w:val="31"/>
                    <w:rPr>
                      <w:color w:val="000000" w:themeColor="text1"/>
                      <w14:textFill>
                        <w14:solidFill>
                          <w14:schemeClr w14:val="tx1"/>
                        </w14:solidFill>
                      </w14:textFill>
                    </w:rPr>
                  </w:pPr>
                  <w:r>
                    <w:rPr>
                      <w:color w:val="000000" w:themeColor="text1"/>
                      <w14:textFill>
                        <w14:solidFill>
                          <w14:schemeClr w14:val="tx1"/>
                        </w14:solidFill>
                      </w14:textFill>
                    </w:rPr>
                    <w:t>项目类别</w:t>
                  </w:r>
                </w:p>
              </w:tc>
              <w:tc>
                <w:tcPr>
                  <w:tcW w:w="977" w:type="pct"/>
                  <w:vAlign w:val="center"/>
                </w:tcPr>
                <w:p w14:paraId="47428A11">
                  <w:pPr>
                    <w:pStyle w:val="31"/>
                    <w:rPr>
                      <w:color w:val="000000" w:themeColor="text1"/>
                      <w14:textFill>
                        <w14:solidFill>
                          <w14:schemeClr w14:val="tx1"/>
                        </w14:solidFill>
                      </w14:textFill>
                    </w:rPr>
                  </w:pPr>
                  <w:r>
                    <w:rPr>
                      <w:color w:val="000000" w:themeColor="text1"/>
                      <w14:textFill>
                        <w14:solidFill>
                          <w14:schemeClr w14:val="tx1"/>
                        </w14:solidFill>
                      </w14:textFill>
                    </w:rPr>
                    <w:t>报告书</w:t>
                  </w:r>
                </w:p>
              </w:tc>
              <w:tc>
                <w:tcPr>
                  <w:tcW w:w="955" w:type="pct"/>
                  <w:vAlign w:val="center"/>
                </w:tcPr>
                <w:p w14:paraId="3676A6C2">
                  <w:pPr>
                    <w:pStyle w:val="31"/>
                    <w:rPr>
                      <w:color w:val="000000" w:themeColor="text1"/>
                      <w14:textFill>
                        <w14:solidFill>
                          <w14:schemeClr w14:val="tx1"/>
                        </w14:solidFill>
                      </w14:textFill>
                    </w:rPr>
                  </w:pPr>
                  <w:r>
                    <w:rPr>
                      <w:color w:val="000000" w:themeColor="text1"/>
                      <w14:textFill>
                        <w14:solidFill>
                          <w14:schemeClr w14:val="tx1"/>
                        </w14:solidFill>
                      </w14:textFill>
                    </w:rPr>
                    <w:t>报告表</w:t>
                  </w:r>
                </w:p>
              </w:tc>
              <w:tc>
                <w:tcPr>
                  <w:tcW w:w="547" w:type="pct"/>
                  <w:tcBorders>
                    <w:right w:val="single" w:color="auto" w:sz="4" w:space="0"/>
                  </w:tcBorders>
                  <w:vAlign w:val="center"/>
                </w:tcPr>
                <w:p w14:paraId="13F788EC">
                  <w:pPr>
                    <w:pStyle w:val="31"/>
                    <w:rPr>
                      <w:color w:val="000000" w:themeColor="text1"/>
                      <w14:textFill>
                        <w14:solidFill>
                          <w14:schemeClr w14:val="tx1"/>
                        </w14:solidFill>
                      </w14:textFill>
                    </w:rPr>
                  </w:pPr>
                  <w:r>
                    <w:rPr>
                      <w:color w:val="000000" w:themeColor="text1"/>
                      <w14:textFill>
                        <w14:solidFill>
                          <w14:schemeClr w14:val="tx1"/>
                        </w14:solidFill>
                      </w14:textFill>
                    </w:rPr>
                    <w:t>登记表</w:t>
                  </w:r>
                </w:p>
              </w:tc>
              <w:tc>
                <w:tcPr>
                  <w:tcW w:w="1178" w:type="pct"/>
                  <w:tcBorders>
                    <w:left w:val="single" w:color="auto" w:sz="4" w:space="0"/>
                  </w:tcBorders>
                  <w:vAlign w:val="center"/>
                </w:tcPr>
                <w:p w14:paraId="167019A8">
                  <w:pPr>
                    <w:pStyle w:val="31"/>
                    <w:rPr>
                      <w:color w:val="000000" w:themeColor="text1"/>
                      <w14:textFill>
                        <w14:solidFill>
                          <w14:schemeClr w14:val="tx1"/>
                        </w14:solidFill>
                      </w14:textFill>
                    </w:rPr>
                  </w:pPr>
                  <w:r>
                    <w:rPr>
                      <w:rFonts w:hint="eastAsia"/>
                      <w:b w:val="0"/>
                      <w:bCs/>
                      <w:color w:val="000000" w:themeColor="text1"/>
                      <w:lang w:eastAsia="zh-CN"/>
                      <w14:textFill>
                        <w14:solidFill>
                          <w14:schemeClr w14:val="tx1"/>
                        </w14:solidFill>
                      </w14:textFill>
                    </w:rPr>
                    <w:t>本项目情况</w:t>
                  </w:r>
                </w:p>
              </w:tc>
              <w:tc>
                <w:tcPr>
                  <w:tcW w:w="599" w:type="pct"/>
                  <w:tcBorders>
                    <w:left w:val="single" w:color="auto" w:sz="4" w:space="0"/>
                  </w:tcBorders>
                  <w:vAlign w:val="center"/>
                </w:tcPr>
                <w:p w14:paraId="69CFB7F8">
                  <w:pPr>
                    <w:pStyle w:val="31"/>
                    <w:rPr>
                      <w:color w:val="000000" w:themeColor="text1"/>
                      <w14:textFill>
                        <w14:solidFill>
                          <w14:schemeClr w14:val="tx1"/>
                        </w14:solidFill>
                      </w14:textFill>
                    </w:rPr>
                  </w:pPr>
                  <w:r>
                    <w:rPr>
                      <w:color w:val="000000" w:themeColor="text1"/>
                      <w14:textFill>
                        <w14:solidFill>
                          <w14:schemeClr w14:val="tx1"/>
                        </w14:solidFill>
                      </w14:textFill>
                    </w:rPr>
                    <w:t>本项目对应类别</w:t>
                  </w:r>
                </w:p>
              </w:tc>
            </w:tr>
            <w:tr w14:paraId="57A896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454" w:hRule="atLeast"/>
                <w:jc w:val="center"/>
              </w:trPr>
              <w:tc>
                <w:tcPr>
                  <w:tcW w:w="5000" w:type="pct"/>
                  <w:gridSpan w:val="7"/>
                  <w:vAlign w:val="center"/>
                </w:tcPr>
                <w:p w14:paraId="333A40C7">
                  <w:pPr>
                    <w:pStyle w:val="31"/>
                    <w:jc w:val="left"/>
                    <w:rPr>
                      <w:color w:val="000000" w:themeColor="text1"/>
                      <w14:textFill>
                        <w14:solidFill>
                          <w14:schemeClr w14:val="tx1"/>
                        </w14:solidFill>
                      </w14:textFill>
                    </w:rPr>
                  </w:pPr>
                  <w:r>
                    <w:rPr>
                      <w:color w:val="000000" w:themeColor="text1"/>
                      <w14:textFill>
                        <w14:solidFill>
                          <w14:schemeClr w14:val="tx1"/>
                        </w14:solidFill>
                      </w14:textFill>
                    </w:rPr>
                    <w:t>十二、酒、饮料制造业 15</w:t>
                  </w:r>
                </w:p>
              </w:tc>
            </w:tr>
            <w:tr w14:paraId="49E07AC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90" w:hRule="atLeast"/>
                <w:jc w:val="center"/>
              </w:trPr>
              <w:tc>
                <w:tcPr>
                  <w:tcW w:w="206" w:type="pct"/>
                  <w:vAlign w:val="center"/>
                </w:tcPr>
                <w:p w14:paraId="71D8F807">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535" w:type="pct"/>
                  <w:vAlign w:val="center"/>
                </w:tcPr>
                <w:p w14:paraId="7F026D0D">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酒的制造 151*</w:t>
                  </w:r>
                </w:p>
              </w:tc>
              <w:tc>
                <w:tcPr>
                  <w:tcW w:w="977" w:type="pct"/>
                  <w:vAlign w:val="center"/>
                </w:tcPr>
                <w:p w14:paraId="65ABA2BE">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有发酵工艺的（年生产能力1000千升以下的除外）</w:t>
                  </w:r>
                </w:p>
              </w:tc>
              <w:tc>
                <w:tcPr>
                  <w:tcW w:w="955" w:type="pct"/>
                  <w:vAlign w:val="center"/>
                </w:tcPr>
                <w:p w14:paraId="05FFCA89">
                  <w:pPr>
                    <w:pStyle w:val="31"/>
                    <w:rPr>
                      <w:color w:val="000000" w:themeColor="text1"/>
                      <w14:textFill>
                        <w14:solidFill>
                          <w14:schemeClr w14:val="tx1"/>
                        </w14:solidFill>
                      </w14:textFill>
                    </w:rPr>
                  </w:pPr>
                  <w:r>
                    <w:rPr>
                      <w:color w:val="000000" w:themeColor="text1"/>
                      <w14:textFill>
                        <w14:solidFill>
                          <w14:schemeClr w14:val="tx1"/>
                        </w14:solidFill>
                      </w14:textFill>
                    </w:rPr>
                    <w:t>其他（单纯勾兑的除外）</w:t>
                  </w:r>
                </w:p>
              </w:tc>
              <w:tc>
                <w:tcPr>
                  <w:tcW w:w="547" w:type="pct"/>
                  <w:tcBorders>
                    <w:right w:val="single" w:color="auto" w:sz="4" w:space="0"/>
                  </w:tcBorders>
                  <w:vAlign w:val="center"/>
                </w:tcPr>
                <w:p w14:paraId="6C67848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78" w:type="pct"/>
                  <w:tcBorders>
                    <w:left w:val="single" w:color="auto" w:sz="4" w:space="0"/>
                  </w:tcBorders>
                  <w:vAlign w:val="center"/>
                </w:tcPr>
                <w:p w14:paraId="459580FC">
                  <w:pPr>
                    <w:pStyle w:val="31"/>
                    <w:rPr>
                      <w:rFonts w:hint="eastAsia"/>
                      <w:color w:val="000000" w:themeColor="text1"/>
                      <w14:textFill>
                        <w14:solidFill>
                          <w14:schemeClr w14:val="tx1"/>
                        </w14:solidFill>
                      </w14:textFill>
                    </w:rPr>
                  </w:pPr>
                  <w:r>
                    <w:rPr>
                      <w:color w:val="000000" w:themeColor="text1"/>
                      <w14:textFill>
                        <w14:solidFill>
                          <w14:schemeClr w14:val="tx1"/>
                        </w14:solidFill>
                      </w14:textFill>
                    </w:rPr>
                    <w:t>本项目全厂年产酒类产品合计</w:t>
                  </w:r>
                  <w:r>
                    <w:rPr>
                      <w:color w:val="000000" w:themeColor="text1"/>
                      <w:highlight w:val="none"/>
                      <w14:textFill>
                        <w14:solidFill>
                          <w14:schemeClr w14:val="tx1"/>
                        </w14:solidFill>
                      </w14:textFill>
                    </w:rPr>
                    <w:t>715.</w:t>
                  </w:r>
                  <w:r>
                    <w:rPr>
                      <w:rFonts w:hint="eastAsia"/>
                      <w:color w:val="000000" w:themeColor="text1"/>
                      <w:highlight w:val="none"/>
                      <w:lang w:val="en-US" w:eastAsia="zh-CN"/>
                      <w14:textFill>
                        <w14:solidFill>
                          <w14:schemeClr w14:val="tx1"/>
                        </w14:solidFill>
                      </w14:textFill>
                    </w:rPr>
                    <w:t>66</w:t>
                  </w:r>
                  <w:r>
                    <w:rPr>
                      <w:color w:val="000000" w:themeColor="text1"/>
                      <w:highlight w:val="none"/>
                      <w14:textFill>
                        <w14:solidFill>
                          <w14:schemeClr w14:val="tx1"/>
                        </w14:solidFill>
                      </w14:textFill>
                    </w:rPr>
                    <w:t>千升</w:t>
                  </w:r>
                  <w:r>
                    <w:rPr>
                      <w:color w:val="000000" w:themeColor="text1"/>
                      <w14:textFill>
                        <w14:solidFill>
                          <w14:schemeClr w14:val="tx1"/>
                        </w14:solidFill>
                      </w14:textFill>
                    </w:rPr>
                    <w:t>＜1000千升，故本项目属于报告表</w:t>
                  </w:r>
                </w:p>
              </w:tc>
              <w:tc>
                <w:tcPr>
                  <w:tcW w:w="599" w:type="pct"/>
                  <w:tcBorders>
                    <w:left w:val="single" w:color="auto" w:sz="4" w:space="0"/>
                  </w:tcBorders>
                  <w:vAlign w:val="center"/>
                </w:tcPr>
                <w:p w14:paraId="4DE4A77C">
                  <w:pPr>
                    <w:pStyle w:val="31"/>
                    <w:rPr>
                      <w:color w:val="000000" w:themeColor="text1"/>
                      <w14:textFill>
                        <w14:solidFill>
                          <w14:schemeClr w14:val="tx1"/>
                        </w14:solidFill>
                      </w14:textFill>
                    </w:rPr>
                  </w:pPr>
                  <w:r>
                    <w:rPr>
                      <w:color w:val="000000" w:themeColor="text1"/>
                      <w14:textFill>
                        <w14:solidFill>
                          <w14:schemeClr w14:val="tx1"/>
                        </w14:solidFill>
                      </w14:textFill>
                    </w:rPr>
                    <w:t>报告表</w:t>
                  </w:r>
                </w:p>
              </w:tc>
            </w:tr>
            <w:tr w14:paraId="0024E9E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454" w:hRule="atLeast"/>
                <w:jc w:val="center"/>
              </w:trPr>
              <w:tc>
                <w:tcPr>
                  <w:tcW w:w="206" w:type="pct"/>
                  <w:vAlign w:val="center"/>
                </w:tcPr>
                <w:p w14:paraId="7D4CCFBF">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26</w:t>
                  </w:r>
                </w:p>
              </w:tc>
              <w:tc>
                <w:tcPr>
                  <w:tcW w:w="535" w:type="pct"/>
                  <w:vAlign w:val="center"/>
                </w:tcPr>
                <w:p w14:paraId="72BF1323">
                  <w:pPr>
                    <w:pStyle w:val="31"/>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饮料制造 152*</w:t>
                  </w:r>
                </w:p>
              </w:tc>
              <w:tc>
                <w:tcPr>
                  <w:tcW w:w="977" w:type="pct"/>
                  <w:vAlign w:val="center"/>
                </w:tcPr>
                <w:p w14:paraId="1B91D8A7">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55" w:type="pct"/>
                  <w:vAlign w:val="center"/>
                </w:tcPr>
                <w:p w14:paraId="3C0F06B5">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有发酵工艺、原汁生产的</w:t>
                  </w:r>
                </w:p>
              </w:tc>
              <w:tc>
                <w:tcPr>
                  <w:tcW w:w="547" w:type="pct"/>
                  <w:tcBorders>
                    <w:right w:val="single" w:color="auto" w:sz="4" w:space="0"/>
                  </w:tcBorders>
                  <w:vAlign w:val="center"/>
                </w:tcPr>
                <w:p w14:paraId="3AA2175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78" w:type="pct"/>
                  <w:tcBorders>
                    <w:left w:val="single" w:color="auto" w:sz="4" w:space="0"/>
                  </w:tcBorders>
                  <w:vAlign w:val="center"/>
                </w:tcPr>
                <w:p w14:paraId="03E470BB">
                  <w:pPr>
                    <w:pStyle w:val="31"/>
                    <w:jc w:val="both"/>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本项目植物饮料涉及提取工序，</w:t>
                  </w:r>
                  <w:r>
                    <w:rPr>
                      <w:color w:val="000000" w:themeColor="text1"/>
                      <w14:textFill>
                        <w14:solidFill>
                          <w14:schemeClr w14:val="tx1"/>
                        </w14:solidFill>
                      </w14:textFill>
                    </w:rPr>
                    <w:t>故本项目属于报告表</w:t>
                  </w:r>
                </w:p>
              </w:tc>
              <w:tc>
                <w:tcPr>
                  <w:tcW w:w="599" w:type="pct"/>
                  <w:tcBorders>
                    <w:left w:val="single" w:color="auto" w:sz="4" w:space="0"/>
                  </w:tcBorders>
                  <w:vAlign w:val="center"/>
                </w:tcPr>
                <w:p w14:paraId="1EE1285E">
                  <w:pPr>
                    <w:pStyle w:val="31"/>
                    <w:rPr>
                      <w:color w:val="000000" w:themeColor="text1"/>
                      <w14:textFill>
                        <w14:solidFill>
                          <w14:schemeClr w14:val="tx1"/>
                        </w14:solidFill>
                      </w14:textFill>
                    </w:rPr>
                  </w:pPr>
                  <w:r>
                    <w:rPr>
                      <w:color w:val="000000" w:themeColor="text1"/>
                      <w14:textFill>
                        <w14:solidFill>
                          <w14:schemeClr w14:val="tx1"/>
                        </w14:solidFill>
                      </w14:textFill>
                    </w:rPr>
                    <w:t>报告表</w:t>
                  </w:r>
                </w:p>
              </w:tc>
            </w:tr>
            <w:tr w14:paraId="1CEE54C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454" w:hRule="atLeast"/>
                <w:jc w:val="center"/>
              </w:trPr>
              <w:tc>
                <w:tcPr>
                  <w:tcW w:w="5000" w:type="pct"/>
                  <w:gridSpan w:val="7"/>
                  <w:vAlign w:val="center"/>
                </w:tcPr>
                <w:p w14:paraId="50CC6615">
                  <w:pPr>
                    <w:pStyle w:val="31"/>
                    <w:jc w:val="left"/>
                    <w:rPr>
                      <w:color w:val="000000" w:themeColor="text1"/>
                      <w14:textFill>
                        <w14:solidFill>
                          <w14:schemeClr w14:val="tx1"/>
                        </w14:solidFill>
                      </w14:textFill>
                    </w:rPr>
                  </w:pPr>
                  <w:r>
                    <w:rPr>
                      <w:color w:val="000000" w:themeColor="text1"/>
                      <w14:textFill>
                        <w14:solidFill>
                          <w14:schemeClr w14:val="tx1"/>
                        </w14:solidFill>
                      </w14:textFill>
                    </w:rPr>
                    <w:t>二十四、医药制造业 27</w:t>
                  </w:r>
                </w:p>
              </w:tc>
            </w:tr>
            <w:tr w14:paraId="270054A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454" w:hRule="atLeast"/>
                <w:jc w:val="center"/>
              </w:trPr>
              <w:tc>
                <w:tcPr>
                  <w:tcW w:w="206" w:type="pct"/>
                  <w:vAlign w:val="center"/>
                </w:tcPr>
                <w:p w14:paraId="0DE4F813">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49</w:t>
                  </w:r>
                </w:p>
              </w:tc>
              <w:tc>
                <w:tcPr>
                  <w:tcW w:w="535" w:type="pct"/>
                  <w:vAlign w:val="center"/>
                </w:tcPr>
                <w:p w14:paraId="5B4B527A">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卫生材料及医药用品制造 277；药用辅料及包装材料制造278</w:t>
                  </w:r>
                </w:p>
              </w:tc>
              <w:tc>
                <w:tcPr>
                  <w:tcW w:w="977" w:type="pct"/>
                  <w:vAlign w:val="center"/>
                </w:tcPr>
                <w:p w14:paraId="5E390FB3">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955" w:type="pct"/>
                  <w:vAlign w:val="center"/>
                </w:tcPr>
                <w:p w14:paraId="3BBCD2A4">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卫生材料及医药用品制造（仅组装、分装的除外）；含有机合成反应的药用辅料制造；含有机合成反应的包装材料制造</w:t>
                  </w:r>
                </w:p>
              </w:tc>
              <w:tc>
                <w:tcPr>
                  <w:tcW w:w="547" w:type="pct"/>
                  <w:tcBorders>
                    <w:right w:val="single" w:color="auto" w:sz="4" w:space="0"/>
                  </w:tcBorders>
                  <w:vAlign w:val="center"/>
                </w:tcPr>
                <w:p w14:paraId="097BAD6D">
                  <w:pPr>
                    <w:pStyle w:val="31"/>
                    <w:rPr>
                      <w:color w:val="000000" w:themeColor="text1"/>
                      <w14:textFill>
                        <w14:solidFill>
                          <w14:schemeClr w14:val="tx1"/>
                        </w14:solidFill>
                      </w14:textFill>
                    </w:rPr>
                  </w:pPr>
                  <w:r>
                    <w:rPr>
                      <w:color w:val="000000" w:themeColor="text1"/>
                      <w14:textFill>
                        <w14:solidFill>
                          <w14:schemeClr w14:val="tx1"/>
                        </w14:solidFill>
                      </w14:textFill>
                    </w:rPr>
                    <w:t>/</w:t>
                  </w:r>
                </w:p>
              </w:tc>
              <w:tc>
                <w:tcPr>
                  <w:tcW w:w="1178" w:type="pct"/>
                  <w:tcBorders>
                    <w:left w:val="single" w:color="auto" w:sz="4" w:space="0"/>
                  </w:tcBorders>
                  <w:vAlign w:val="center"/>
                </w:tcPr>
                <w:p w14:paraId="5BCE63CD">
                  <w:pPr>
                    <w:pStyle w:val="31"/>
                    <w:jc w:val="both"/>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本项目医用手术衣、热敷理疗产品及治疗凝胶属于“</w:t>
                  </w:r>
                  <w:r>
                    <w:rPr>
                      <w:color w:val="000000" w:themeColor="text1"/>
                      <w14:textFill>
                        <w14:solidFill>
                          <w14:schemeClr w14:val="tx1"/>
                        </w14:solidFill>
                      </w14:textFill>
                    </w:rPr>
                    <w:t>卫生材料及医药用品制造（仅组装、分装的除外）</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故本项目属于报告表</w:t>
                  </w:r>
                </w:p>
              </w:tc>
              <w:tc>
                <w:tcPr>
                  <w:tcW w:w="599" w:type="pct"/>
                  <w:tcBorders>
                    <w:left w:val="single" w:color="auto" w:sz="4" w:space="0"/>
                  </w:tcBorders>
                  <w:vAlign w:val="center"/>
                </w:tcPr>
                <w:p w14:paraId="13A74376">
                  <w:pPr>
                    <w:pStyle w:val="31"/>
                    <w:rPr>
                      <w:color w:val="000000" w:themeColor="text1"/>
                      <w14:textFill>
                        <w14:solidFill>
                          <w14:schemeClr w14:val="tx1"/>
                        </w14:solidFill>
                      </w14:textFill>
                    </w:rPr>
                  </w:pPr>
                  <w:r>
                    <w:rPr>
                      <w:color w:val="000000" w:themeColor="text1"/>
                      <w14:textFill>
                        <w14:solidFill>
                          <w14:schemeClr w14:val="tx1"/>
                        </w14:solidFill>
                      </w14:textFill>
                    </w:rPr>
                    <w:t>报告表</w:t>
                  </w:r>
                </w:p>
              </w:tc>
            </w:tr>
            <w:tr w14:paraId="31F768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454" w:hRule="atLeast"/>
                <w:jc w:val="center"/>
              </w:trPr>
              <w:tc>
                <w:tcPr>
                  <w:tcW w:w="5000" w:type="pct"/>
                  <w:gridSpan w:val="7"/>
                  <w:vAlign w:val="center"/>
                </w:tcPr>
                <w:p w14:paraId="5D2CB4F3">
                  <w:pPr>
                    <w:pStyle w:val="31"/>
                    <w:jc w:val="both"/>
                    <w:rPr>
                      <w:color w:val="000000" w:themeColor="text1"/>
                      <w14:textFill>
                        <w14:solidFill>
                          <w14:schemeClr w14:val="tx1"/>
                        </w14:solidFill>
                      </w14:textFill>
                    </w:rPr>
                  </w:pPr>
                  <w:r>
                    <w:rPr>
                      <w:color w:val="000000" w:themeColor="text1"/>
                      <w:lang w:val="en-US" w:eastAsia="zh-CN"/>
                      <w14:textFill>
                        <w14:solidFill>
                          <w14:schemeClr w14:val="tx1"/>
                        </w14:solidFill>
                      </w14:textFill>
                    </w:rPr>
                    <w:t>四十一、电力、热力生产和供应业</w:t>
                  </w:r>
                </w:p>
              </w:tc>
            </w:tr>
            <w:tr w14:paraId="212F9D8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57" w:type="dxa"/>
                  <w:bottom w:w="0" w:type="dxa"/>
                  <w:right w:w="57" w:type="dxa"/>
                </w:tblCellMar>
              </w:tblPrEx>
              <w:trPr>
                <w:trHeight w:val="454" w:hRule="atLeast"/>
                <w:jc w:val="center"/>
              </w:trPr>
              <w:tc>
                <w:tcPr>
                  <w:tcW w:w="206" w:type="pct"/>
                  <w:vAlign w:val="center"/>
                </w:tcPr>
                <w:p w14:paraId="00FE215F">
                  <w:pPr>
                    <w:pStyle w:val="31"/>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91</w:t>
                  </w:r>
                </w:p>
              </w:tc>
              <w:tc>
                <w:tcPr>
                  <w:tcW w:w="535" w:type="pct"/>
                  <w:vAlign w:val="center"/>
                </w:tcPr>
                <w:p w14:paraId="639C7625">
                  <w:pPr>
                    <w:pStyle w:val="31"/>
                    <w:jc w:val="both"/>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热力生产和供应工程（包括建设单位自建自用的供热工程）</w:t>
                  </w:r>
                </w:p>
              </w:tc>
              <w:tc>
                <w:tcPr>
                  <w:tcW w:w="977" w:type="pct"/>
                  <w:vAlign w:val="center"/>
                </w:tcPr>
                <w:p w14:paraId="65964B41">
                  <w:pPr>
                    <w:pStyle w:val="31"/>
                    <w:jc w:val="both"/>
                    <w:rPr>
                      <w:rFonts w:hint="eastAsia"/>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燃煤、燃油锅炉总容量65吨/小时（45.5兆瓦）以上的</w:t>
                  </w:r>
                </w:p>
              </w:tc>
              <w:tc>
                <w:tcPr>
                  <w:tcW w:w="955" w:type="pct"/>
                  <w:vAlign w:val="center"/>
                </w:tcPr>
                <w:p w14:paraId="7004CB8D">
                  <w:pPr>
                    <w:pStyle w:val="31"/>
                    <w:jc w:val="both"/>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燃煤、燃油锅炉总容量65吨/小时（45.5兆瓦）及以下的；天然气锅炉总容量1吨/小时（0.7兆瓦）以上的；使用其他高污染燃料的（高污染燃料指国环规大气〔2017〕2号《高污染燃料目录》中规定的燃料）</w:t>
                  </w:r>
                </w:p>
              </w:tc>
              <w:tc>
                <w:tcPr>
                  <w:tcW w:w="547" w:type="pct"/>
                  <w:tcBorders>
                    <w:right w:val="single" w:color="auto" w:sz="4" w:space="0"/>
                  </w:tcBorders>
                  <w:vAlign w:val="center"/>
                </w:tcPr>
                <w:p w14:paraId="7A66A660">
                  <w:pPr>
                    <w:pStyle w:val="31"/>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1178" w:type="pct"/>
                  <w:tcBorders>
                    <w:left w:val="single" w:color="auto" w:sz="4" w:space="0"/>
                  </w:tcBorders>
                  <w:vAlign w:val="center"/>
                </w:tcPr>
                <w:p w14:paraId="56E0CB17">
                  <w:pPr>
                    <w:pStyle w:val="31"/>
                    <w:jc w:val="both"/>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本项目设置1台0.3t/h、1台0.5</w:t>
                  </w:r>
                  <w:bookmarkStart w:id="234" w:name="_GoBack"/>
                  <w:bookmarkEnd w:id="234"/>
                  <w:r>
                    <w:rPr>
                      <w:rFonts w:hint="eastAsia"/>
                      <w:color w:val="000000" w:themeColor="text1"/>
                      <w:lang w:val="en-US" w:eastAsia="zh-CN"/>
                      <w14:textFill>
                        <w14:solidFill>
                          <w14:schemeClr w14:val="tx1"/>
                        </w14:solidFill>
                      </w14:textFill>
                    </w:rPr>
                    <w:t>t/h以及1台1.0t/h的天然气蒸汽发生器，蒸汽发生器总容量为1.8t/h，</w:t>
                  </w:r>
                  <w:r>
                    <w:rPr>
                      <w:color w:val="000000" w:themeColor="text1"/>
                      <w14:textFill>
                        <w14:solidFill>
                          <w14:schemeClr w14:val="tx1"/>
                        </w14:solidFill>
                      </w14:textFill>
                    </w:rPr>
                    <w:t>故本项目属于报告表</w:t>
                  </w:r>
                </w:p>
              </w:tc>
              <w:tc>
                <w:tcPr>
                  <w:tcW w:w="599" w:type="pct"/>
                  <w:tcBorders>
                    <w:left w:val="single" w:color="auto" w:sz="4" w:space="0"/>
                  </w:tcBorders>
                  <w:vAlign w:val="center"/>
                </w:tcPr>
                <w:p w14:paraId="1837317B">
                  <w:pPr>
                    <w:pStyle w:val="31"/>
                    <w:rPr>
                      <w:color w:val="000000" w:themeColor="text1"/>
                      <w14:textFill>
                        <w14:solidFill>
                          <w14:schemeClr w14:val="tx1"/>
                        </w14:solidFill>
                      </w14:textFill>
                    </w:rPr>
                  </w:pPr>
                  <w:r>
                    <w:rPr>
                      <w:color w:val="000000" w:themeColor="text1"/>
                      <w14:textFill>
                        <w14:solidFill>
                          <w14:schemeClr w14:val="tx1"/>
                        </w14:solidFill>
                      </w14:textFill>
                    </w:rPr>
                    <w:t>报告表</w:t>
                  </w:r>
                </w:p>
              </w:tc>
            </w:tr>
          </w:tbl>
          <w:p w14:paraId="231AB7AE">
            <w:pPr>
              <w:pStyle w:val="42"/>
              <w:widowControl/>
              <w:adjustRightInd/>
              <w:ind w:firstLine="480"/>
              <w:jc w:val="both"/>
              <w:rPr>
                <w:bCs/>
                <w:color w:val="000000" w:themeColor="text1"/>
                <w14:textFill>
                  <w14:solidFill>
                    <w14:schemeClr w14:val="tx1"/>
                  </w14:solidFill>
                </w14:textFill>
              </w:rPr>
            </w:pPr>
            <w:r>
              <w:rPr>
                <w:bCs/>
                <w:color w:val="000000" w:themeColor="text1"/>
                <w14:textFill>
                  <w14:solidFill>
                    <w14:schemeClr w14:val="tx1"/>
                  </w14:solidFill>
                </w14:textFill>
              </w:rPr>
              <w:t>本项目年产浓香型原酒（6</w:t>
            </w:r>
            <w:r>
              <w:rPr>
                <w:rFonts w:hint="eastAsia"/>
                <w:bCs/>
                <w:color w:val="000000" w:themeColor="text1"/>
                <w14:textFill>
                  <w14:solidFill>
                    <w14:schemeClr w14:val="tx1"/>
                  </w14:solidFill>
                </w14:textFill>
              </w:rPr>
              <w:t>5</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77.532t，勾调后年产</w:t>
            </w:r>
            <w:r>
              <w:rPr>
                <w:bCs/>
                <w:color w:val="000000" w:themeColor="text1"/>
                <w14:textFill>
                  <w14:solidFill>
                    <w14:schemeClr w14:val="tx1"/>
                  </w14:solidFill>
                </w14:textFill>
              </w:rPr>
              <w:t>浓香型白酒（52°）</w:t>
            </w:r>
            <w:r>
              <w:rPr>
                <w:rFonts w:hint="eastAsia"/>
                <w:bCs/>
                <w:color w:val="000000" w:themeColor="text1"/>
                <w14:textFill>
                  <w14:solidFill>
                    <w14:schemeClr w14:val="tx1"/>
                  </w14:solidFill>
                </w14:textFill>
              </w:rPr>
              <w:t>100t</w:t>
            </w:r>
            <w:r>
              <w:rPr>
                <w:rFonts w:hint="eastAsia"/>
                <w:bCs/>
                <w:color w:val="000000" w:themeColor="text1"/>
                <w:lang w:eastAsia="zh-CN"/>
                <w14:textFill>
                  <w14:solidFill>
                    <w14:schemeClr w14:val="tx1"/>
                  </w14:solidFill>
                </w14:textFill>
              </w:rPr>
              <w:t>；</w:t>
            </w:r>
            <w:r>
              <w:rPr>
                <w:bCs/>
                <w:color w:val="000000" w:themeColor="text1"/>
                <w14:textFill>
                  <w14:solidFill>
                    <w14:schemeClr w14:val="tx1"/>
                  </w14:solidFill>
                </w14:textFill>
              </w:rPr>
              <w:t>年产传统型半甜黄酒原酒（</w:t>
            </w:r>
            <w:r>
              <w:rPr>
                <w:rFonts w:hint="eastAsia"/>
                <w:bCs/>
                <w:color w:val="000000" w:themeColor="text1"/>
                <w14:textFill>
                  <w14:solidFill>
                    <w14:schemeClr w14:val="tx1"/>
                  </w14:solidFill>
                </w14:textFill>
              </w:rPr>
              <w:t>20</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159.302t，勾调后年产</w:t>
            </w:r>
            <w:r>
              <w:rPr>
                <w:bCs/>
                <w:color w:val="000000" w:themeColor="text1"/>
                <w14:textFill>
                  <w14:solidFill>
                    <w14:schemeClr w14:val="tx1"/>
                  </w14:solidFill>
                </w14:textFill>
              </w:rPr>
              <w:t>传统型半甜黄酒</w:t>
            </w:r>
            <w:r>
              <w:rPr>
                <w:rFonts w:hint="eastAsia"/>
                <w:bCs/>
                <w:color w:val="000000" w:themeColor="text1"/>
                <w14:textFill>
                  <w14:solidFill>
                    <w14:schemeClr w14:val="tx1"/>
                  </w14:solidFill>
                </w14:textFill>
              </w:rPr>
              <w:t>（16</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）200t</w:t>
            </w:r>
            <w:r>
              <w:rPr>
                <w:rFonts w:hint="eastAsia"/>
                <w:bCs/>
                <w:color w:val="000000" w:themeColor="text1"/>
                <w:lang w:eastAsia="zh-CN"/>
                <w14:textFill>
                  <w14:solidFill>
                    <w14:schemeClr w14:val="tx1"/>
                  </w14:solidFill>
                </w14:textFill>
              </w:rPr>
              <w:t>；</w:t>
            </w:r>
            <w:r>
              <w:rPr>
                <w:bCs/>
                <w:color w:val="000000" w:themeColor="text1"/>
                <w14:textFill>
                  <w14:solidFill>
                    <w14:schemeClr w14:val="tx1"/>
                  </w14:solidFill>
                </w14:textFill>
              </w:rPr>
              <w:t>年产</w:t>
            </w:r>
            <w:r>
              <w:rPr>
                <w:rFonts w:hint="eastAsia"/>
                <w:bCs/>
                <w:color w:val="000000" w:themeColor="text1"/>
                <w14:textFill>
                  <w14:solidFill>
                    <w14:schemeClr w14:val="tx1"/>
                  </w14:solidFill>
                </w14:textFill>
              </w:rPr>
              <w:t>啤酒（2.5</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）200t，</w:t>
            </w:r>
            <w:r>
              <w:rPr>
                <w:bCs/>
                <w:color w:val="000000" w:themeColor="text1"/>
                <w14:textFill>
                  <w14:solidFill>
                    <w14:schemeClr w14:val="tx1"/>
                  </w14:solidFill>
                </w14:textFill>
              </w:rPr>
              <w:t>年产</w:t>
            </w:r>
            <w:r>
              <w:rPr>
                <w:rFonts w:hint="eastAsia"/>
                <w:bCs/>
                <w:color w:val="000000" w:themeColor="text1"/>
                <w14:textFill>
                  <w14:solidFill>
                    <w14:schemeClr w14:val="tx1"/>
                  </w14:solidFill>
                </w14:textFill>
              </w:rPr>
              <w:t>果酒（6</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）200t，</w:t>
            </w:r>
            <w:r>
              <w:rPr>
                <w:bCs/>
                <w:color w:val="000000" w:themeColor="text1"/>
                <w14:textFill>
                  <w14:solidFill>
                    <w14:schemeClr w14:val="tx1"/>
                  </w14:solidFill>
                </w14:textFill>
              </w:rPr>
              <w:t>根据《酒精体积分数－质量分数－密度对照表》，</w:t>
            </w:r>
            <w:r>
              <w:rPr>
                <w:rFonts w:hint="eastAsia"/>
                <w:bCs/>
                <w:color w:val="000000" w:themeColor="text1"/>
                <w14:textFill>
                  <w14:solidFill>
                    <w14:schemeClr w14:val="tx1"/>
                  </w14:solidFill>
                </w14:textFill>
              </w:rPr>
              <w:t>本项目酒类产品对应密度见下表。</w:t>
            </w:r>
          </w:p>
          <w:p w14:paraId="69366695">
            <w:pPr>
              <w:pStyle w:val="42"/>
              <w:widowControl/>
              <w:adjustRightInd/>
              <w:ind w:firstLine="0" w:firstLineChars="0"/>
              <w:jc w:val="center"/>
              <w:rPr>
                <w:bCs/>
                <w:color w:val="000000" w:themeColor="text1"/>
                <w14:textFill>
                  <w14:solidFill>
                    <w14:schemeClr w14:val="tx1"/>
                  </w14:solidFill>
                </w14:textFill>
              </w:rPr>
            </w:pPr>
            <w:r>
              <w:rPr>
                <w:b/>
                <w:color w:val="000000" w:themeColor="text1"/>
                <w14:textFill>
                  <w14:solidFill>
                    <w14:schemeClr w14:val="tx1"/>
                  </w14:solidFill>
                </w14:textFill>
              </w:rPr>
              <w:t>表2-</w:t>
            </w:r>
            <w:r>
              <w:rPr>
                <w:rFonts w:hint="eastAsia"/>
                <w:b/>
                <w:color w:val="000000" w:themeColor="text1"/>
                <w14:textFill>
                  <w14:solidFill>
                    <w14:schemeClr w14:val="tx1"/>
                  </w14:solidFill>
                </w14:textFill>
              </w:rPr>
              <w:t>2</w:t>
            </w:r>
            <w:r>
              <w:rPr>
                <w:b/>
                <w:color w:val="000000" w:themeColor="text1"/>
                <w14:textFill>
                  <w14:solidFill>
                    <w14:schemeClr w14:val="tx1"/>
                  </w14:solidFill>
                </w14:textFill>
              </w:rPr>
              <w:t xml:space="preserve">  酒精体积分数</w:t>
            </w:r>
            <w:r>
              <w:rPr>
                <w:rFonts w:hint="eastAsia"/>
                <w:b/>
                <w:color w:val="000000" w:themeColor="text1"/>
                <w14:textFill>
                  <w14:solidFill>
                    <w14:schemeClr w14:val="tx1"/>
                  </w14:solidFill>
                </w14:textFill>
              </w:rPr>
              <w:t>、</w:t>
            </w:r>
            <w:r>
              <w:rPr>
                <w:b/>
                <w:color w:val="000000" w:themeColor="text1"/>
                <w14:textFill>
                  <w14:solidFill>
                    <w14:schemeClr w14:val="tx1"/>
                  </w14:solidFill>
                </w14:textFill>
              </w:rPr>
              <w:t>质量分数</w:t>
            </w:r>
            <w:r>
              <w:rPr>
                <w:rFonts w:hint="eastAsia"/>
                <w:b/>
                <w:color w:val="000000" w:themeColor="text1"/>
                <w14:textFill>
                  <w14:solidFill>
                    <w14:schemeClr w14:val="tx1"/>
                  </w14:solidFill>
                </w14:textFill>
              </w:rPr>
              <w:t>及</w:t>
            </w:r>
            <w:r>
              <w:rPr>
                <w:b/>
                <w:color w:val="000000" w:themeColor="text1"/>
                <w14:textFill>
                  <w14:solidFill>
                    <w14:schemeClr w14:val="tx1"/>
                  </w14:solidFill>
                </w14:textFill>
              </w:rPr>
              <w:t>密度对照表</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32"/>
              <w:gridCol w:w="3132"/>
              <w:gridCol w:w="3132"/>
            </w:tblGrid>
            <w:tr w14:paraId="2982A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3132" w:type="dxa"/>
                  <w:vAlign w:val="center"/>
                </w:tcPr>
                <w:p w14:paraId="45DE436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体积分数</w:t>
                  </w:r>
                </w:p>
              </w:tc>
              <w:tc>
                <w:tcPr>
                  <w:tcW w:w="3132" w:type="dxa"/>
                  <w:vAlign w:val="center"/>
                </w:tcPr>
                <w:p w14:paraId="12F76CC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质量分数</w:t>
                  </w:r>
                </w:p>
              </w:tc>
              <w:tc>
                <w:tcPr>
                  <w:tcW w:w="3132" w:type="dxa"/>
                  <w:vAlign w:val="center"/>
                </w:tcPr>
                <w:p w14:paraId="27F0F0C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密度（g/mL）</w:t>
                  </w:r>
                </w:p>
              </w:tc>
            </w:tr>
            <w:tr w14:paraId="0227F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32" w:type="dxa"/>
                  <w:vAlign w:val="center"/>
                </w:tcPr>
                <w:p w14:paraId="0BD9D16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2.5</w:t>
                  </w:r>
                </w:p>
              </w:tc>
              <w:tc>
                <w:tcPr>
                  <w:tcW w:w="3132" w:type="dxa"/>
                  <w:vAlign w:val="center"/>
                </w:tcPr>
                <w:p w14:paraId="213BB54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1.9839</w:t>
                  </w:r>
                </w:p>
              </w:tc>
              <w:tc>
                <w:tcPr>
                  <w:tcW w:w="3132" w:type="dxa"/>
                  <w:vAlign w:val="center"/>
                </w:tcPr>
                <w:p w14:paraId="72553C1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0.99457</w:t>
                  </w:r>
                </w:p>
              </w:tc>
            </w:tr>
            <w:tr w14:paraId="43C28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32" w:type="dxa"/>
                  <w:shd w:val="clear" w:color="auto" w:fill="auto"/>
                  <w:vAlign w:val="center"/>
                </w:tcPr>
                <w:p w14:paraId="3AE5AB5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3132" w:type="dxa"/>
                  <w:shd w:val="clear" w:color="auto" w:fill="auto"/>
                  <w:vAlign w:val="center"/>
                </w:tcPr>
                <w:p w14:paraId="1E51E79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4.7848</w:t>
                  </w:r>
                </w:p>
              </w:tc>
              <w:tc>
                <w:tcPr>
                  <w:tcW w:w="3132" w:type="dxa"/>
                  <w:shd w:val="clear" w:color="auto" w:fill="auto"/>
                  <w:vAlign w:val="center"/>
                </w:tcPr>
                <w:p w14:paraId="27795EF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0.98973</w:t>
                  </w:r>
                </w:p>
              </w:tc>
            </w:tr>
            <w:tr w14:paraId="5E6DC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32" w:type="dxa"/>
                  <w:vAlign w:val="center"/>
                </w:tcPr>
                <w:p w14:paraId="1F6716A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c>
                <w:tcPr>
                  <w:tcW w:w="3132" w:type="dxa"/>
                  <w:vAlign w:val="center"/>
                </w:tcPr>
                <w:p w14:paraId="309AAB3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8.0148</w:t>
                  </w:r>
                </w:p>
              </w:tc>
              <w:tc>
                <w:tcPr>
                  <w:tcW w:w="3132" w:type="dxa"/>
                  <w:vAlign w:val="center"/>
                </w:tcPr>
                <w:p w14:paraId="723020E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0.98476</w:t>
                  </w:r>
                </w:p>
              </w:tc>
            </w:tr>
            <w:tr w14:paraId="77C1D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32" w:type="dxa"/>
                  <w:shd w:val="clear" w:color="auto" w:fill="auto"/>
                  <w:vAlign w:val="center"/>
                </w:tcPr>
                <w:p w14:paraId="19202DF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c>
                <w:tcPr>
                  <w:tcW w:w="3132" w:type="dxa"/>
                  <w:vAlign w:val="center"/>
                </w:tcPr>
                <w:p w14:paraId="20A83BD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12.9141</w:t>
                  </w:r>
                </w:p>
              </w:tc>
              <w:tc>
                <w:tcPr>
                  <w:tcW w:w="3132" w:type="dxa"/>
                  <w:vAlign w:val="center"/>
                </w:tcPr>
                <w:p w14:paraId="0F91C20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0.97787</w:t>
                  </w:r>
                </w:p>
              </w:tc>
            </w:tr>
            <w:tr w14:paraId="4749F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32" w:type="dxa"/>
                  <w:shd w:val="clear" w:color="auto" w:fill="auto"/>
                  <w:vAlign w:val="center"/>
                </w:tcPr>
                <w:p w14:paraId="0CCE1FD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20</w:t>
                  </w:r>
                </w:p>
              </w:tc>
              <w:tc>
                <w:tcPr>
                  <w:tcW w:w="3132" w:type="dxa"/>
                  <w:vAlign w:val="center"/>
                </w:tcPr>
                <w:p w14:paraId="4C4DE54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16.2134</w:t>
                  </w:r>
                </w:p>
              </w:tc>
              <w:tc>
                <w:tcPr>
                  <w:tcW w:w="3132" w:type="dxa"/>
                  <w:vAlign w:val="center"/>
                </w:tcPr>
                <w:p w14:paraId="7C75793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0.9736</w:t>
                  </w:r>
                </w:p>
              </w:tc>
            </w:tr>
            <w:tr w14:paraId="11AF7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32" w:type="dxa"/>
                  <w:shd w:val="clear" w:color="auto" w:fill="auto"/>
                  <w:vAlign w:val="center"/>
                </w:tcPr>
                <w:p w14:paraId="7C8FFA3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c>
                <w:tcPr>
                  <w:tcW w:w="3132" w:type="dxa"/>
                  <w:vAlign w:val="center"/>
                </w:tcPr>
                <w:p w14:paraId="597B371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44.3118</w:t>
                  </w:r>
                </w:p>
              </w:tc>
              <w:tc>
                <w:tcPr>
                  <w:tcW w:w="3132" w:type="dxa"/>
                  <w:vAlign w:val="center"/>
                </w:tcPr>
                <w:p w14:paraId="5D6E85A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0.92621</w:t>
                  </w:r>
                </w:p>
              </w:tc>
            </w:tr>
            <w:tr w14:paraId="7C886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132" w:type="dxa"/>
                  <w:shd w:val="clear" w:color="auto" w:fill="auto"/>
                  <w:vAlign w:val="center"/>
                </w:tcPr>
                <w:p w14:paraId="1EA1D60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65</w:t>
                  </w:r>
                </w:p>
              </w:tc>
              <w:tc>
                <w:tcPr>
                  <w:tcW w:w="3132" w:type="dxa"/>
                  <w:vAlign w:val="center"/>
                </w:tcPr>
                <w:p w14:paraId="5245C61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57.1527</w:t>
                  </w:r>
                </w:p>
              </w:tc>
              <w:tc>
                <w:tcPr>
                  <w:tcW w:w="3132" w:type="dxa"/>
                  <w:vAlign w:val="center"/>
                </w:tcPr>
                <w:p w14:paraId="0E21B15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0.89764</w:t>
                  </w:r>
                </w:p>
              </w:tc>
            </w:tr>
          </w:tbl>
          <w:p w14:paraId="60D74670">
            <w:pPr>
              <w:pStyle w:val="42"/>
              <w:widowControl/>
              <w:adjustRightInd/>
              <w:ind w:firstLine="48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由上表可知，</w:t>
            </w:r>
            <w:r>
              <w:rPr>
                <w:bCs/>
                <w:color w:val="000000" w:themeColor="text1"/>
                <w14:textFill>
                  <w14:solidFill>
                    <w14:schemeClr w14:val="tx1"/>
                  </w14:solidFill>
                </w14:textFill>
              </w:rPr>
              <w:t>项目年产浓香型白酒（52°）折合体积</w:t>
            </w:r>
            <w:r>
              <w:rPr>
                <w:rFonts w:hint="eastAsia"/>
                <w:bCs/>
                <w:color w:val="000000" w:themeColor="text1"/>
                <w14:textFill>
                  <w14:solidFill>
                    <w14:schemeClr w14:val="tx1"/>
                  </w14:solidFill>
                </w14:textFill>
              </w:rPr>
              <w:t>=100/</w:t>
            </w:r>
            <w:r>
              <w:rPr>
                <w:rFonts w:hint="eastAsia"/>
                <w:color w:val="000000" w:themeColor="text1"/>
                <w14:textFill>
                  <w14:solidFill>
                    <w14:schemeClr w14:val="tx1"/>
                  </w14:solidFill>
                </w14:textFill>
              </w:rPr>
              <w:t>0.92621=</w:t>
            </w:r>
            <w:r>
              <w:rPr>
                <w:rFonts w:hint="eastAsia"/>
                <w:bCs/>
                <w:color w:val="000000" w:themeColor="text1"/>
                <w14:textFill>
                  <w14:solidFill>
                    <w14:schemeClr w14:val="tx1"/>
                  </w14:solidFill>
                </w14:textFill>
              </w:rPr>
              <w:t>107.967</w:t>
            </w:r>
            <w:r>
              <w:rPr>
                <w:bCs/>
                <w:color w:val="000000" w:themeColor="text1"/>
                <w14:textFill>
                  <w14:solidFill>
                    <w14:schemeClr w14:val="tx1"/>
                  </w14:solidFill>
                </w14:textFill>
              </w:rPr>
              <w:t>千升</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传统型半甜黄酒</w:t>
            </w:r>
            <w:r>
              <w:rPr>
                <w:rFonts w:hint="eastAsia"/>
                <w:bCs/>
                <w:color w:val="000000" w:themeColor="text1"/>
                <w14:textFill>
                  <w14:solidFill>
                    <w14:schemeClr w14:val="tx1"/>
                  </w14:solidFill>
                </w14:textFill>
              </w:rPr>
              <w:t>（16</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折合体积</w:t>
            </w:r>
            <w:r>
              <w:rPr>
                <w:rFonts w:hint="eastAsia"/>
                <w:bCs/>
                <w:color w:val="000000" w:themeColor="text1"/>
                <w14:textFill>
                  <w14:solidFill>
                    <w14:schemeClr w14:val="tx1"/>
                  </w14:solidFill>
                </w14:textFill>
              </w:rPr>
              <w:t>=200/</w:t>
            </w:r>
            <w:r>
              <w:rPr>
                <w:rFonts w:hint="eastAsia"/>
                <w:color w:val="000000" w:themeColor="text1"/>
                <w14:textFill>
                  <w14:solidFill>
                    <w14:schemeClr w14:val="tx1"/>
                  </w14:solidFill>
                </w14:textFill>
              </w:rPr>
              <w:t>0.97787=</w:t>
            </w:r>
            <w:r>
              <w:rPr>
                <w:rFonts w:hint="eastAsia"/>
                <w:bCs/>
                <w:color w:val="000000" w:themeColor="text1"/>
                <w14:textFill>
                  <w14:solidFill>
                    <w14:schemeClr w14:val="tx1"/>
                  </w14:solidFill>
                </w14:textFill>
              </w:rPr>
              <w:t>204.</w:t>
            </w:r>
            <w:r>
              <w:rPr>
                <w:rFonts w:hint="eastAsia"/>
                <w:bCs/>
                <w:color w:val="000000" w:themeColor="text1"/>
                <w:lang w:val="en-US" w:eastAsia="zh-CN"/>
                <w14:textFill>
                  <w14:solidFill>
                    <w14:schemeClr w14:val="tx1"/>
                  </w14:solidFill>
                </w14:textFill>
              </w:rPr>
              <w:t>52</w:t>
            </w:r>
            <w:r>
              <w:rPr>
                <w:rFonts w:hint="eastAsia"/>
                <w:bCs/>
                <w:color w:val="000000" w:themeColor="text1"/>
                <w14:textFill>
                  <w14:solidFill>
                    <w14:schemeClr w14:val="tx1"/>
                  </w14:solidFill>
                </w14:textFill>
              </w:rPr>
              <w:t>6</w:t>
            </w:r>
            <w:r>
              <w:rPr>
                <w:bCs/>
                <w:color w:val="000000" w:themeColor="text1"/>
                <w14:textFill>
                  <w14:solidFill>
                    <w14:schemeClr w14:val="tx1"/>
                  </w14:solidFill>
                </w14:textFill>
              </w:rPr>
              <w:t>千升</w:t>
            </w:r>
            <w:r>
              <w:rPr>
                <w:rFonts w:hint="eastAsia"/>
                <w:bCs/>
                <w:color w:val="000000" w:themeColor="text1"/>
                <w14:textFill>
                  <w14:solidFill>
                    <w14:schemeClr w14:val="tx1"/>
                  </w14:solidFill>
                </w14:textFill>
              </w:rPr>
              <w:t>，啤酒（2.5</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折合体积</w:t>
            </w:r>
            <w:r>
              <w:rPr>
                <w:rFonts w:hint="eastAsia"/>
                <w:bCs/>
                <w:color w:val="000000" w:themeColor="text1"/>
                <w14:textFill>
                  <w14:solidFill>
                    <w14:schemeClr w14:val="tx1"/>
                  </w14:solidFill>
                </w14:textFill>
              </w:rPr>
              <w:t>=200/</w:t>
            </w:r>
            <w:r>
              <w:rPr>
                <w:rFonts w:hint="eastAsia"/>
                <w:color w:val="000000" w:themeColor="text1"/>
                <w14:textFill>
                  <w14:solidFill>
                    <w14:schemeClr w14:val="tx1"/>
                  </w14:solidFill>
                </w14:textFill>
              </w:rPr>
              <w:t>0.99457=</w:t>
            </w:r>
            <w:r>
              <w:rPr>
                <w:rFonts w:hint="eastAsia"/>
                <w:bCs/>
                <w:color w:val="000000" w:themeColor="text1"/>
                <w14:textFill>
                  <w14:solidFill>
                    <w14:schemeClr w14:val="tx1"/>
                  </w14:solidFill>
                </w14:textFill>
              </w:rPr>
              <w:t>201.092</w:t>
            </w:r>
            <w:r>
              <w:rPr>
                <w:bCs/>
                <w:color w:val="000000" w:themeColor="text1"/>
                <w14:textFill>
                  <w14:solidFill>
                    <w14:schemeClr w14:val="tx1"/>
                  </w14:solidFill>
                </w14:textFill>
              </w:rPr>
              <w:t>千升</w:t>
            </w:r>
            <w:r>
              <w:rPr>
                <w:rFonts w:hint="eastAsia"/>
                <w:bCs/>
                <w:color w:val="000000" w:themeColor="text1"/>
                <w14:textFill>
                  <w14:solidFill>
                    <w14:schemeClr w14:val="tx1"/>
                  </w14:solidFill>
                </w14:textFill>
              </w:rPr>
              <w:t>，果酒（6</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）折合体积=200/</w:t>
            </w:r>
            <w:r>
              <w:rPr>
                <w:rFonts w:hint="eastAsia"/>
                <w:color w:val="000000" w:themeColor="text1"/>
                <w14:textFill>
                  <w14:solidFill>
                    <w14:schemeClr w14:val="tx1"/>
                  </w14:solidFill>
                </w14:textFill>
              </w:rPr>
              <w:t>0.98973=</w:t>
            </w:r>
            <w:r>
              <w:rPr>
                <w:rFonts w:hint="eastAsia"/>
                <w:bCs/>
                <w:color w:val="000000" w:themeColor="text1"/>
                <w14:textFill>
                  <w14:solidFill>
                    <w14:schemeClr w14:val="tx1"/>
                  </w14:solidFill>
                </w14:textFill>
              </w:rPr>
              <w:t>202.075</w:t>
            </w:r>
            <w:r>
              <w:rPr>
                <w:bCs/>
                <w:color w:val="000000" w:themeColor="text1"/>
                <w14:textFill>
                  <w14:solidFill>
                    <w14:schemeClr w14:val="tx1"/>
                  </w14:solidFill>
                </w14:textFill>
              </w:rPr>
              <w:t>千升</w:t>
            </w:r>
            <w:r>
              <w:rPr>
                <w:rFonts w:hint="eastAsia"/>
                <w:bCs/>
                <w:color w:val="000000" w:themeColor="text1"/>
                <w14:textFill>
                  <w14:solidFill>
                    <w14:schemeClr w14:val="tx1"/>
                  </w14:solidFill>
                </w14:textFill>
              </w:rPr>
              <w:t>；综上，项目白酒、黄酒、啤酒及果酒年产量合计</w:t>
            </w:r>
            <w:r>
              <w:rPr>
                <w:rFonts w:hint="eastAsia"/>
                <w:bCs/>
                <w:color w:val="000000" w:themeColor="text1"/>
                <w14:textFill>
                  <w14:solidFill>
                    <w14:schemeClr w14:val="tx1"/>
                  </w14:solidFill>
                </w14:textFill>
              </w:rPr>
              <w:t>715.</w:t>
            </w:r>
            <w:r>
              <w:rPr>
                <w:rFonts w:hint="eastAsia"/>
                <w:bCs/>
                <w:color w:val="000000" w:themeColor="text1"/>
                <w:lang w:val="en-US" w:eastAsia="zh-CN"/>
                <w14:textFill>
                  <w14:solidFill>
                    <w14:schemeClr w14:val="tx1"/>
                  </w14:solidFill>
                </w14:textFill>
              </w:rPr>
              <w:t>66</w:t>
            </w:r>
            <w:r>
              <w:rPr>
                <w:rFonts w:hint="eastAsia"/>
                <w:bCs/>
                <w:color w:val="000000" w:themeColor="text1"/>
                <w14:textFill>
                  <w14:solidFill>
                    <w14:schemeClr w14:val="tx1"/>
                  </w14:solidFill>
                </w14:textFill>
              </w:rPr>
              <w:t>千升。</w:t>
            </w:r>
          </w:p>
          <w:p w14:paraId="0C05D0FC">
            <w:pPr>
              <w:pStyle w:val="42"/>
              <w:widowControl/>
              <w:adjustRightInd/>
              <w:ind w:firstLine="480"/>
              <w:jc w:val="both"/>
              <w:rPr>
                <w:color w:val="000000" w:themeColor="text1"/>
                <w14:textFill>
                  <w14:solidFill>
                    <w14:schemeClr w14:val="tx1"/>
                  </w14:solidFill>
                </w14:textFill>
              </w:rPr>
            </w:pPr>
            <w:r>
              <w:rPr>
                <w:color w:val="000000" w:themeColor="text1"/>
                <w14:textFill>
                  <w14:solidFill>
                    <w14:schemeClr w14:val="tx1"/>
                  </w14:solidFill>
                </w14:textFill>
              </w:rPr>
              <w:t>根据《中华人民共和国环境影响评价法》和国务院令第682号《建设项目环境保护管理条例》有关规定，该项目需进行环境影响评价。受华陀酒业（河南）有限公司委托，我公司承担了该项目的环境影响评价工作。经比对《建设项目环境影响评价分类管理名录（2021年版）》（生态环境部令 第16号）</w:t>
            </w:r>
            <w:r>
              <w:rPr>
                <w:rFonts w:hint="eastAsia"/>
                <w:color w:val="000000" w:themeColor="text1"/>
                <w14:textFill>
                  <w14:solidFill>
                    <w14:schemeClr w14:val="tx1"/>
                  </w14:solidFill>
                </w14:textFill>
              </w:rPr>
              <w:t>：“建设内容涉及本名录中两个及以上项目类别的建设项目，其环境影响评价类别按照其中单项等级最高的确定。”故本项目需编制环境影响评价报告表。</w:t>
            </w:r>
          </w:p>
          <w:p w14:paraId="5F85630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评价单位在现场踏勘、资料收集、充分类比分析等工作的基础上，按照《建设项目环境影响报告表编制技术指南（污染影响类）（试行）》相关要求，编制完成了本项目的环境影响报告表。</w:t>
            </w:r>
          </w:p>
          <w:p w14:paraId="4DE2FB06">
            <w:pPr>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2、建设规模</w:t>
            </w:r>
          </w:p>
          <w:p w14:paraId="35465D25">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本项目主要从事</w:t>
            </w:r>
            <w:r>
              <w:rPr>
                <w:rFonts w:hint="eastAsia"/>
                <w:color w:val="000000" w:themeColor="text1"/>
                <w:sz w:val="24"/>
                <w14:textFill>
                  <w14:solidFill>
                    <w14:schemeClr w14:val="tx1"/>
                  </w14:solidFill>
                </w14:textFill>
              </w:rPr>
              <w:t>白酒、黄酒、啤酒、果酒</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植物饮料</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袋泡茶及医疗器械的生产</w:t>
            </w:r>
            <w:r>
              <w:rPr>
                <w:color w:val="000000" w:themeColor="text1"/>
                <w:sz w:val="24"/>
                <w14:textFill>
                  <w14:solidFill>
                    <w14:schemeClr w14:val="tx1"/>
                  </w14:solidFill>
                </w14:textFill>
              </w:rPr>
              <w:t>。根据市场需求及企业发展规划，预计本项目建成投产后可达</w:t>
            </w:r>
            <w:r>
              <w:rPr>
                <w:rFonts w:hint="eastAsia"/>
                <w:color w:val="000000" w:themeColor="text1"/>
                <w:sz w:val="24"/>
                <w14:textFill>
                  <w14:solidFill>
                    <w14:schemeClr w14:val="tx1"/>
                  </w14:solidFill>
                </w14:textFill>
              </w:rPr>
              <w:t>年产100吨白酒、200吨黄酒、200吨啤酒、200吨果酒、200吨植物饮料、100吨袋泡茶、20万件医用手术衣、100万贴热敷理疗产品和100万支治疗凝胶的生产规模</w:t>
            </w:r>
            <w:r>
              <w:rPr>
                <w:color w:val="000000" w:themeColor="text1"/>
                <w:sz w:val="24"/>
                <w14:textFill>
                  <w14:solidFill>
                    <w14:schemeClr w14:val="tx1"/>
                  </w14:solidFill>
                </w14:textFill>
              </w:rPr>
              <w:t>。</w:t>
            </w:r>
          </w:p>
          <w:p w14:paraId="53EDEECE">
            <w:pPr>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3、建设内容</w:t>
            </w:r>
          </w:p>
          <w:p w14:paraId="59D2028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本次项目总投资</w:t>
            </w:r>
            <w:r>
              <w:rPr>
                <w:rFonts w:hint="eastAsia"/>
                <w:color w:val="000000" w:themeColor="text1"/>
                <w:sz w:val="24"/>
                <w14:textFill>
                  <w14:solidFill>
                    <w14:schemeClr w14:val="tx1"/>
                  </w14:solidFill>
                </w14:textFill>
              </w:rPr>
              <w:t>11000</w:t>
            </w:r>
            <w:r>
              <w:rPr>
                <w:color w:val="000000" w:themeColor="text1"/>
                <w:sz w:val="24"/>
                <w14:textFill>
                  <w14:solidFill>
                    <w14:schemeClr w14:val="tx1"/>
                  </w14:solidFill>
                </w14:textFill>
              </w:rPr>
              <w:t>万元，占地面积</w:t>
            </w:r>
            <w:r>
              <w:rPr>
                <w:rFonts w:hint="eastAsia"/>
                <w:color w:val="000000" w:themeColor="text1"/>
                <w:sz w:val="24"/>
                <w14:textFill>
                  <w14:solidFill>
                    <w14:schemeClr w14:val="tx1"/>
                  </w14:solidFill>
                </w14:textFill>
              </w:rPr>
              <w:t>33320</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，建筑面积18749m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，本项目主要主体工程：生产车间及其他配套辅助设施：办公区等；公用工程：供电、供水等，项目建设与备案内容相符性分析见下表：</w:t>
            </w:r>
          </w:p>
          <w:p w14:paraId="543D821C">
            <w:pPr>
              <w:spacing w:line="360" w:lineRule="auto"/>
              <w:ind w:firstLine="482" w:firstLineChars="200"/>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表2-</w:t>
            </w:r>
            <w:r>
              <w:rPr>
                <w:rFonts w:hint="eastAsia"/>
                <w:b/>
                <w:bCs/>
                <w:color w:val="000000" w:themeColor="text1"/>
                <w:sz w:val="24"/>
                <w14:textFill>
                  <w14:solidFill>
                    <w14:schemeClr w14:val="tx1"/>
                  </w14:solidFill>
                </w14:textFill>
              </w:rPr>
              <w:t xml:space="preserve">3  </w:t>
            </w:r>
            <w:r>
              <w:rPr>
                <w:b/>
                <w:bCs/>
                <w:color w:val="000000" w:themeColor="text1"/>
                <w:sz w:val="24"/>
                <w14:textFill>
                  <w14:solidFill>
                    <w14:schemeClr w14:val="tx1"/>
                  </w14:solidFill>
                </w14:textFill>
              </w:rPr>
              <w:t>项目建设与备案内容相符性分析</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6"/>
              <w:gridCol w:w="1261"/>
              <w:gridCol w:w="3106"/>
              <w:gridCol w:w="3065"/>
              <w:gridCol w:w="1033"/>
            </w:tblGrid>
            <w:tr w14:paraId="7378C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vAlign w:val="center"/>
                </w:tcPr>
                <w:p w14:paraId="2C02DCD7">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671" w:type="pct"/>
                  <w:vAlign w:val="center"/>
                </w:tcPr>
                <w:p w14:paraId="0494BCAA">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1653" w:type="pct"/>
                  <w:vAlign w:val="center"/>
                </w:tcPr>
                <w:p w14:paraId="5663A433">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备案情况</w:t>
                  </w:r>
                </w:p>
              </w:tc>
              <w:tc>
                <w:tcPr>
                  <w:tcW w:w="1631" w:type="pct"/>
                  <w:vAlign w:val="center"/>
                </w:tcPr>
                <w:p w14:paraId="128E332B">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环评情况</w:t>
                  </w:r>
                </w:p>
              </w:tc>
              <w:tc>
                <w:tcPr>
                  <w:tcW w:w="550" w:type="pct"/>
                  <w:vAlign w:val="center"/>
                </w:tcPr>
                <w:p w14:paraId="7E72CD1B">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相符性</w:t>
                  </w:r>
                </w:p>
              </w:tc>
            </w:tr>
            <w:tr w14:paraId="6A6E2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vAlign w:val="center"/>
                </w:tcPr>
                <w:p w14:paraId="271F03EB">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671" w:type="pct"/>
                  <w:vAlign w:val="center"/>
                </w:tcPr>
                <w:p w14:paraId="70A3C4E5">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建设单位</w:t>
                  </w:r>
                </w:p>
              </w:tc>
              <w:tc>
                <w:tcPr>
                  <w:tcW w:w="1653" w:type="pct"/>
                  <w:vAlign w:val="center"/>
                </w:tcPr>
                <w:p w14:paraId="5A770C34">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华陀酒业（河南）有限公司</w:t>
                  </w:r>
                </w:p>
              </w:tc>
              <w:tc>
                <w:tcPr>
                  <w:tcW w:w="1631" w:type="pct"/>
                  <w:vAlign w:val="center"/>
                </w:tcPr>
                <w:p w14:paraId="7E06CF23">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华陀酒业（河南）有限公司</w:t>
                  </w:r>
                </w:p>
              </w:tc>
              <w:tc>
                <w:tcPr>
                  <w:tcW w:w="550" w:type="pct"/>
                  <w:vAlign w:val="center"/>
                </w:tcPr>
                <w:p w14:paraId="2E3FC905">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53831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vAlign w:val="center"/>
                </w:tcPr>
                <w:p w14:paraId="1C1AD295">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671" w:type="pct"/>
                  <w:vAlign w:val="center"/>
                </w:tcPr>
                <w:p w14:paraId="4046FFAE">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建设地点</w:t>
                  </w:r>
                </w:p>
              </w:tc>
              <w:tc>
                <w:tcPr>
                  <w:tcW w:w="1653" w:type="pct"/>
                  <w:vAlign w:val="center"/>
                </w:tcPr>
                <w:p w14:paraId="0D85AD2B">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南阳市镇平县玉都工业园区新星路8号</w:t>
                  </w:r>
                </w:p>
              </w:tc>
              <w:tc>
                <w:tcPr>
                  <w:tcW w:w="1631" w:type="pct"/>
                  <w:vAlign w:val="center"/>
                </w:tcPr>
                <w:p w14:paraId="6EEE4B01">
                  <w:pPr>
                    <w:pStyle w:val="3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南阳市镇平县玉都工业园区新星路8号</w:t>
                  </w:r>
                </w:p>
              </w:tc>
              <w:tc>
                <w:tcPr>
                  <w:tcW w:w="550" w:type="pct"/>
                  <w:vAlign w:val="center"/>
                </w:tcPr>
                <w:p w14:paraId="57C7CD6F">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28115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vAlign w:val="center"/>
                </w:tcPr>
                <w:p w14:paraId="0D9EB7C0">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671" w:type="pct"/>
                  <w:vAlign w:val="center"/>
                </w:tcPr>
                <w:p w14:paraId="099D9FF1">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投资</w:t>
                  </w:r>
                </w:p>
              </w:tc>
              <w:tc>
                <w:tcPr>
                  <w:tcW w:w="1653" w:type="pct"/>
                  <w:vAlign w:val="center"/>
                </w:tcPr>
                <w:p w14:paraId="2B52CF54">
                  <w:pPr>
                    <w:pStyle w:val="3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11000</w:t>
                  </w:r>
                  <w:r>
                    <w:rPr>
                      <w:color w:val="000000" w:themeColor="text1"/>
                      <w:szCs w:val="21"/>
                      <w14:textFill>
                        <w14:solidFill>
                          <w14:schemeClr w14:val="tx1"/>
                        </w14:solidFill>
                      </w14:textFill>
                    </w:rPr>
                    <w:t>万元</w:t>
                  </w:r>
                </w:p>
              </w:tc>
              <w:tc>
                <w:tcPr>
                  <w:tcW w:w="1631" w:type="pct"/>
                  <w:vAlign w:val="center"/>
                </w:tcPr>
                <w:p w14:paraId="0547C4C1">
                  <w:pPr>
                    <w:pStyle w:val="3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11000</w:t>
                  </w:r>
                  <w:r>
                    <w:rPr>
                      <w:color w:val="000000" w:themeColor="text1"/>
                      <w:szCs w:val="21"/>
                      <w14:textFill>
                        <w14:solidFill>
                          <w14:schemeClr w14:val="tx1"/>
                        </w14:solidFill>
                      </w14:textFill>
                    </w:rPr>
                    <w:t>万元</w:t>
                  </w:r>
                </w:p>
              </w:tc>
              <w:tc>
                <w:tcPr>
                  <w:tcW w:w="550" w:type="pct"/>
                  <w:vAlign w:val="center"/>
                </w:tcPr>
                <w:p w14:paraId="263F29C7">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0884D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vAlign w:val="center"/>
                </w:tcPr>
                <w:p w14:paraId="1B831CA7">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671" w:type="pct"/>
                  <w:vAlign w:val="center"/>
                </w:tcPr>
                <w:p w14:paraId="045D3ADD">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建设内容</w:t>
                  </w:r>
                </w:p>
              </w:tc>
              <w:tc>
                <w:tcPr>
                  <w:tcW w:w="1653" w:type="pct"/>
                  <w:vAlign w:val="center"/>
                </w:tcPr>
                <w:p w14:paraId="6DFD6246">
                  <w:pPr>
                    <w:pStyle w:val="3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占地面积33320平方米，建筑面积18749平方米，主要以外购的高粱、小麦、玉米和大米等为主要原材料，进行白酒（已购买原河南健生酒业有限公司酒类食品生产许可证，文号为：SC11541132400130）、黄酒、啤酒、果酒、植物饮料、袋泡茶及医疗器械的生产，项目建成投产后可达年产100吨白酒、200吨黄酒、200吨啤酒、200吨果酒、200吨植物饮料、100吨袋泡茶、20万件医用手术衣、100万贴热敷理疗产品和100万支治疗凝胶的生产规模</w:t>
                  </w:r>
                </w:p>
              </w:tc>
              <w:tc>
                <w:tcPr>
                  <w:tcW w:w="1631" w:type="pct"/>
                  <w:vAlign w:val="center"/>
                </w:tcPr>
                <w:p w14:paraId="6ADE7FF1">
                  <w:pPr>
                    <w:pStyle w:val="3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本项目占地面积33320平方米，建筑面积18749平方米，主要以外购的高粱、小麦、玉米和大米等为主要原材料，进行白酒（已购买原河南健生酒业有限公司酒类食品生产许可证，文号为：SC11541132400130）、黄酒、啤酒、果酒、植物饮料、袋泡茶及医疗器械的生产，项目建成投产后可达年产100吨白酒、200吨黄酒、200吨啤酒、200吨果酒、200吨植物饮料、100吨袋泡茶、20万件医用手术衣、100万贴热敷理疗产品和100万支治疗凝胶的生产规模</w:t>
                  </w:r>
                </w:p>
              </w:tc>
              <w:tc>
                <w:tcPr>
                  <w:tcW w:w="550" w:type="pct"/>
                  <w:vAlign w:val="center"/>
                </w:tcPr>
                <w:p w14:paraId="528A856E">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r w14:paraId="58BAB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93" w:type="pct"/>
                  <w:vAlign w:val="center"/>
                </w:tcPr>
                <w:p w14:paraId="724E05CC">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671" w:type="pct"/>
                  <w:vAlign w:val="center"/>
                </w:tcPr>
                <w:p w14:paraId="6231008D">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生产能力</w:t>
                  </w:r>
                </w:p>
              </w:tc>
              <w:tc>
                <w:tcPr>
                  <w:tcW w:w="1653" w:type="pct"/>
                  <w:vAlign w:val="center"/>
                </w:tcPr>
                <w:p w14:paraId="097A79ED">
                  <w:pPr>
                    <w:pStyle w:val="3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年产100吨白酒、200吨黄酒、200吨啤酒、200吨果酒、200吨植物饮料、100吨袋泡茶、20万件医用手术衣、100万贴热敷理疗产品和100万支治疗凝胶</w:t>
                  </w:r>
                </w:p>
              </w:tc>
              <w:tc>
                <w:tcPr>
                  <w:tcW w:w="1631" w:type="pct"/>
                  <w:vAlign w:val="center"/>
                </w:tcPr>
                <w:p w14:paraId="6C319F81">
                  <w:pPr>
                    <w:pStyle w:val="3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年产100吨白酒、200吨黄酒、200吨啤酒、200吨果酒、200吨植物饮料、100吨袋泡茶、20万件医用手术衣、100万贴热敷理疗产品和100万支治疗凝胶</w:t>
                  </w:r>
                </w:p>
              </w:tc>
              <w:tc>
                <w:tcPr>
                  <w:tcW w:w="550" w:type="pct"/>
                  <w:vAlign w:val="center"/>
                </w:tcPr>
                <w:p w14:paraId="78EA629E">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相符</w:t>
                  </w:r>
                </w:p>
              </w:tc>
            </w:tr>
          </w:tbl>
          <w:p w14:paraId="40F429F1">
            <w:pPr>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本次项目工程组成见下表。</w:t>
            </w:r>
          </w:p>
          <w:p w14:paraId="6E83B801">
            <w:pPr>
              <w:pStyle w:val="24"/>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表2-</w:t>
            </w:r>
            <w:r>
              <w:rPr>
                <w:rFonts w:hint="eastAsia" w:ascii="Times New Roman" w:hAnsi="Times New Roman"/>
                <w:b/>
                <w:color w:val="000000" w:themeColor="text1"/>
                <w:sz w:val="24"/>
                <w14:textFill>
                  <w14:solidFill>
                    <w14:schemeClr w14:val="tx1"/>
                  </w14:solidFill>
                </w14:textFill>
              </w:rPr>
              <w:t xml:space="preserve">4  </w:t>
            </w:r>
            <w:r>
              <w:rPr>
                <w:rFonts w:ascii="Times New Roman" w:hAnsi="Times New Roman"/>
                <w:b/>
                <w:color w:val="000000" w:themeColor="text1"/>
                <w:sz w:val="24"/>
                <w14:textFill>
                  <w14:solidFill>
                    <w14:schemeClr w14:val="tx1"/>
                  </w14:solidFill>
                </w14:textFill>
              </w:rPr>
              <w:t>项目主要建设内容一览表</w:t>
            </w:r>
          </w:p>
          <w:tbl>
            <w:tblPr>
              <w:tblStyle w:val="25"/>
              <w:tblW w:w="95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1237"/>
              <w:gridCol w:w="376"/>
              <w:gridCol w:w="2501"/>
              <w:gridCol w:w="1345"/>
              <w:gridCol w:w="3333"/>
            </w:tblGrid>
            <w:tr w14:paraId="7FA1E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Align w:val="center"/>
                </w:tcPr>
                <w:p w14:paraId="65C04792">
                  <w:pPr>
                    <w:pStyle w:val="31"/>
                    <w:rPr>
                      <w:color w:val="000000" w:themeColor="text1"/>
                      <w14:textFill>
                        <w14:solidFill>
                          <w14:schemeClr w14:val="tx1"/>
                        </w14:solidFill>
                      </w14:textFill>
                    </w:rPr>
                  </w:pPr>
                  <w:r>
                    <w:rPr>
                      <w:color w:val="000000" w:themeColor="text1"/>
                      <w14:textFill>
                        <w14:solidFill>
                          <w14:schemeClr w14:val="tx1"/>
                        </w14:solidFill>
                      </w14:textFill>
                    </w:rPr>
                    <w:t>类型</w:t>
                  </w:r>
                </w:p>
              </w:tc>
              <w:tc>
                <w:tcPr>
                  <w:tcW w:w="848" w:type="pct"/>
                  <w:gridSpan w:val="2"/>
                  <w:vAlign w:val="center"/>
                </w:tcPr>
                <w:p w14:paraId="7CDE9431">
                  <w:pPr>
                    <w:pStyle w:val="31"/>
                    <w:rPr>
                      <w:color w:val="000000" w:themeColor="text1"/>
                      <w14:textFill>
                        <w14:solidFill>
                          <w14:schemeClr w14:val="tx1"/>
                        </w14:solidFill>
                      </w14:textFill>
                    </w:rPr>
                  </w:pPr>
                  <w:r>
                    <w:rPr>
                      <w:color w:val="000000" w:themeColor="text1"/>
                      <w14:textFill>
                        <w14:solidFill>
                          <w14:schemeClr w14:val="tx1"/>
                        </w14:solidFill>
                      </w14:textFill>
                    </w:rPr>
                    <w:t>构筑物名称</w:t>
                  </w:r>
                </w:p>
              </w:tc>
              <w:tc>
                <w:tcPr>
                  <w:tcW w:w="1316" w:type="pct"/>
                  <w:tcBorders>
                    <w:right w:val="single" w:color="auto" w:sz="6" w:space="0"/>
                  </w:tcBorders>
                  <w:vAlign w:val="center"/>
                </w:tcPr>
                <w:p w14:paraId="3D193B36">
                  <w:pPr>
                    <w:pStyle w:val="31"/>
                    <w:rPr>
                      <w:color w:val="000000" w:themeColor="text1"/>
                      <w14:textFill>
                        <w14:solidFill>
                          <w14:schemeClr w14:val="tx1"/>
                        </w14:solidFill>
                      </w14:textFill>
                    </w:rPr>
                  </w:pPr>
                  <w:r>
                    <w:rPr>
                      <w:color w:val="000000" w:themeColor="text1"/>
                      <w14:textFill>
                        <w14:solidFill>
                          <w14:schemeClr w14:val="tx1"/>
                        </w14:solidFill>
                      </w14:textFill>
                    </w:rPr>
                    <w:t>建筑面积</w:t>
                  </w:r>
                </w:p>
              </w:tc>
              <w:tc>
                <w:tcPr>
                  <w:tcW w:w="2462" w:type="pct"/>
                  <w:gridSpan w:val="2"/>
                  <w:tcBorders>
                    <w:left w:val="single" w:color="auto" w:sz="6" w:space="0"/>
                  </w:tcBorders>
                  <w:vAlign w:val="center"/>
                </w:tcPr>
                <w:p w14:paraId="5ED3D338">
                  <w:pPr>
                    <w:pStyle w:val="31"/>
                    <w:rPr>
                      <w:color w:val="000000" w:themeColor="text1"/>
                      <w14:textFill>
                        <w14:solidFill>
                          <w14:schemeClr w14:val="tx1"/>
                        </w14:solidFill>
                      </w14:textFill>
                    </w:rPr>
                  </w:pPr>
                  <w:r>
                    <w:rPr>
                      <w:color w:val="000000" w:themeColor="text1"/>
                      <w14:textFill>
                        <w14:solidFill>
                          <w14:schemeClr w14:val="tx1"/>
                        </w14:solidFill>
                      </w14:textFill>
                    </w:rPr>
                    <w:t>备注</w:t>
                  </w:r>
                </w:p>
              </w:tc>
            </w:tr>
            <w:tr w14:paraId="72F4D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restart"/>
                  <w:vAlign w:val="center"/>
                </w:tcPr>
                <w:p w14:paraId="178B531B">
                  <w:pPr>
                    <w:pStyle w:val="31"/>
                    <w:rPr>
                      <w:color w:val="000000" w:themeColor="text1"/>
                      <w14:textFill>
                        <w14:solidFill>
                          <w14:schemeClr w14:val="tx1"/>
                        </w14:solidFill>
                      </w14:textFill>
                    </w:rPr>
                  </w:pPr>
                  <w:r>
                    <w:rPr>
                      <w:color w:val="000000" w:themeColor="text1"/>
                      <w14:textFill>
                        <w14:solidFill>
                          <w14:schemeClr w14:val="tx1"/>
                        </w14:solidFill>
                      </w14:textFill>
                    </w:rPr>
                    <w:t>主体工程</w:t>
                  </w:r>
                </w:p>
              </w:tc>
              <w:tc>
                <w:tcPr>
                  <w:tcW w:w="848" w:type="pct"/>
                  <w:gridSpan w:val="2"/>
                  <w:vAlign w:val="center"/>
                </w:tcPr>
                <w:p w14:paraId="6631310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黄酒车间</w:t>
                  </w:r>
                </w:p>
              </w:tc>
              <w:tc>
                <w:tcPr>
                  <w:tcW w:w="1316" w:type="pct"/>
                  <w:tcBorders>
                    <w:right w:val="single" w:color="auto" w:sz="6" w:space="0"/>
                  </w:tcBorders>
                  <w:vAlign w:val="center"/>
                </w:tcPr>
                <w:p w14:paraId="6F275E34">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1380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2462" w:type="pct"/>
                  <w:gridSpan w:val="2"/>
                  <w:tcBorders>
                    <w:left w:val="single" w:color="auto" w:sz="6" w:space="0"/>
                  </w:tcBorders>
                  <w:vAlign w:val="center"/>
                </w:tcPr>
                <w:p w14:paraId="117D249F">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1F</w:t>
                  </w:r>
                  <w:r>
                    <w:rPr>
                      <w:color w:val="000000" w:themeColor="text1"/>
                      <w14:textFill>
                        <w14:solidFill>
                          <w14:schemeClr w14:val="tx1"/>
                        </w14:solidFill>
                      </w14:textFill>
                    </w:rPr>
                    <w:t>，钢结构，</w:t>
                  </w:r>
                  <w:r>
                    <w:rPr>
                      <w:rFonts w:hint="eastAsia"/>
                      <w:color w:val="000000" w:themeColor="text1"/>
                      <w:lang w:val="en-US" w:eastAsia="zh-CN"/>
                      <w14:textFill>
                        <w14:solidFill>
                          <w14:schemeClr w14:val="tx1"/>
                        </w14:solidFill>
                      </w14:textFill>
                    </w:rPr>
                    <w:t>依托现有，</w:t>
                  </w:r>
                  <w:r>
                    <w:rPr>
                      <w:color w:val="000000" w:themeColor="text1"/>
                      <w:szCs w:val="21"/>
                      <w14:textFill>
                        <w14:solidFill>
                          <w14:schemeClr w14:val="tx1"/>
                        </w14:solidFill>
                      </w14:textFill>
                    </w:rPr>
                    <w:t>车间密闭</w:t>
                  </w:r>
                  <w:r>
                    <w:rPr>
                      <w:rFonts w:hint="eastAsia"/>
                      <w:color w:val="000000" w:themeColor="text1"/>
                      <w:szCs w:val="21"/>
                      <w:lang w:eastAsia="zh-CN"/>
                      <w14:textFill>
                        <w14:solidFill>
                          <w14:schemeClr w14:val="tx1"/>
                        </w14:solidFill>
                      </w14:textFill>
                    </w:rPr>
                    <w:t>；</w:t>
                  </w:r>
                  <w:r>
                    <w:rPr>
                      <w:color w:val="000000" w:themeColor="text1"/>
                      <w14:textFill>
                        <w14:solidFill>
                          <w14:schemeClr w14:val="tx1"/>
                        </w14:solidFill>
                      </w14:textFill>
                    </w:rPr>
                    <w:t>主要布设的</w:t>
                  </w:r>
                  <w:r>
                    <w:rPr>
                      <w:rFonts w:hint="eastAsia"/>
                      <w:color w:val="000000" w:themeColor="text1"/>
                      <w14:textFill>
                        <w14:solidFill>
                          <w14:schemeClr w14:val="tx1"/>
                        </w14:solidFill>
                      </w14:textFill>
                    </w:rPr>
                    <w:t>为1条黄酒生产线；</w:t>
                  </w:r>
                </w:p>
              </w:tc>
            </w:tr>
            <w:tr w14:paraId="712A3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07A2480">
                  <w:pPr>
                    <w:pStyle w:val="31"/>
                    <w:rPr>
                      <w:color w:val="000000" w:themeColor="text1"/>
                      <w14:textFill>
                        <w14:solidFill>
                          <w14:schemeClr w14:val="tx1"/>
                        </w14:solidFill>
                      </w14:textFill>
                    </w:rPr>
                  </w:pPr>
                </w:p>
              </w:tc>
              <w:tc>
                <w:tcPr>
                  <w:tcW w:w="848" w:type="pct"/>
                  <w:gridSpan w:val="2"/>
                  <w:vAlign w:val="center"/>
                </w:tcPr>
                <w:p w14:paraId="60B86D86">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综合车间</w:t>
                  </w:r>
                </w:p>
              </w:tc>
              <w:tc>
                <w:tcPr>
                  <w:tcW w:w="1316" w:type="pct"/>
                  <w:tcBorders>
                    <w:right w:val="single" w:color="auto" w:sz="6" w:space="0"/>
                  </w:tcBorders>
                  <w:vAlign w:val="center"/>
                </w:tcPr>
                <w:p w14:paraId="1AF7970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9120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2462" w:type="pct"/>
                  <w:gridSpan w:val="2"/>
                  <w:tcBorders>
                    <w:left w:val="single" w:color="auto" w:sz="6" w:space="0"/>
                  </w:tcBorders>
                  <w:vAlign w:val="center"/>
                </w:tcPr>
                <w:p w14:paraId="6B9B392B">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2F</w:t>
                  </w:r>
                  <w:r>
                    <w:rPr>
                      <w:color w:val="000000" w:themeColor="text1"/>
                      <w14:textFill>
                        <w14:solidFill>
                          <w14:schemeClr w14:val="tx1"/>
                        </w14:solidFill>
                      </w14:textFill>
                    </w:rPr>
                    <w:t>，钢结构，</w:t>
                  </w:r>
                  <w:r>
                    <w:rPr>
                      <w:rFonts w:hint="eastAsia"/>
                      <w:color w:val="000000" w:themeColor="text1"/>
                      <w:lang w:val="en-US" w:eastAsia="zh-CN"/>
                      <w14:textFill>
                        <w14:solidFill>
                          <w14:schemeClr w14:val="tx1"/>
                        </w14:solidFill>
                      </w14:textFill>
                    </w:rPr>
                    <w:t>新建，</w:t>
                  </w:r>
                  <w:r>
                    <w:rPr>
                      <w:color w:val="000000" w:themeColor="text1"/>
                      <w:szCs w:val="21"/>
                      <w14:textFill>
                        <w14:solidFill>
                          <w14:schemeClr w14:val="tx1"/>
                        </w14:solidFill>
                      </w14:textFill>
                    </w:rPr>
                    <w:t>车间密闭</w:t>
                  </w:r>
                  <w:r>
                    <w:rPr>
                      <w:rFonts w:hint="eastAsia"/>
                      <w:color w:val="000000" w:themeColor="text1"/>
                      <w:szCs w:val="21"/>
                      <w:lang w:eastAsia="zh-CN"/>
                      <w14:textFill>
                        <w14:solidFill>
                          <w14:schemeClr w14:val="tx1"/>
                        </w14:solidFill>
                      </w14:textFill>
                    </w:rPr>
                    <w:t>；</w:t>
                  </w:r>
                  <w:r>
                    <w:rPr>
                      <w:rFonts w:hint="eastAsia"/>
                      <w:color w:val="000000" w:themeColor="text1"/>
                      <w14:textFill>
                        <w14:solidFill>
                          <w14:schemeClr w14:val="tx1"/>
                        </w14:solidFill>
                      </w14:textFill>
                    </w:rPr>
                    <w:t>1F</w:t>
                  </w:r>
                  <w:r>
                    <w:rPr>
                      <w:color w:val="000000" w:themeColor="text1"/>
                      <w14:textFill>
                        <w14:solidFill>
                          <w14:schemeClr w14:val="tx1"/>
                        </w14:solidFill>
                      </w14:textFill>
                    </w:rPr>
                    <w:t>主要布设的</w:t>
                  </w:r>
                  <w:r>
                    <w:rPr>
                      <w:rFonts w:hint="eastAsia"/>
                      <w:color w:val="000000" w:themeColor="text1"/>
                      <w14:textFill>
                        <w14:solidFill>
                          <w14:schemeClr w14:val="tx1"/>
                        </w14:solidFill>
                      </w14:textFill>
                    </w:rPr>
                    <w:t>为白酒生产线、黄酒生产线、啤酒生产线、果酒生产线、袋泡茶生产线以及植物饮料生产线，2F为原料库</w:t>
                  </w:r>
                </w:p>
              </w:tc>
            </w:tr>
            <w:tr w14:paraId="4B958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6FCD8A08">
                  <w:pPr>
                    <w:pStyle w:val="31"/>
                    <w:rPr>
                      <w:color w:val="000000" w:themeColor="text1"/>
                      <w14:textFill>
                        <w14:solidFill>
                          <w14:schemeClr w14:val="tx1"/>
                        </w14:solidFill>
                      </w14:textFill>
                    </w:rPr>
                  </w:pPr>
                </w:p>
              </w:tc>
              <w:tc>
                <w:tcPr>
                  <w:tcW w:w="848" w:type="pct"/>
                  <w:gridSpan w:val="2"/>
                  <w:vAlign w:val="center"/>
                </w:tcPr>
                <w:p w14:paraId="0055CBA5">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1#二类器械车间</w:t>
                  </w:r>
                </w:p>
              </w:tc>
              <w:tc>
                <w:tcPr>
                  <w:tcW w:w="1316" w:type="pct"/>
                  <w:tcBorders>
                    <w:right w:val="single" w:color="auto" w:sz="6" w:space="0"/>
                  </w:tcBorders>
                  <w:vAlign w:val="center"/>
                </w:tcPr>
                <w:p w14:paraId="54CDC1B4">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2300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2462" w:type="pct"/>
                  <w:gridSpan w:val="2"/>
                  <w:tcBorders>
                    <w:left w:val="single" w:color="auto" w:sz="6" w:space="0"/>
                  </w:tcBorders>
                  <w:vAlign w:val="center"/>
                </w:tcPr>
                <w:p w14:paraId="42CEEFF5">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2F</w:t>
                  </w:r>
                  <w:r>
                    <w:rPr>
                      <w:color w:val="000000" w:themeColor="text1"/>
                      <w14:textFill>
                        <w14:solidFill>
                          <w14:schemeClr w14:val="tx1"/>
                        </w14:solidFill>
                      </w14:textFill>
                    </w:rPr>
                    <w:t>，钢结构，</w:t>
                  </w:r>
                  <w:r>
                    <w:rPr>
                      <w:rFonts w:hint="eastAsia"/>
                      <w:color w:val="000000" w:themeColor="text1"/>
                      <w:lang w:val="en-US" w:eastAsia="zh-CN"/>
                      <w14:textFill>
                        <w14:solidFill>
                          <w14:schemeClr w14:val="tx1"/>
                        </w14:solidFill>
                      </w14:textFill>
                    </w:rPr>
                    <w:t>新建，</w:t>
                  </w:r>
                  <w:r>
                    <w:rPr>
                      <w:color w:val="000000" w:themeColor="text1"/>
                      <w:szCs w:val="21"/>
                      <w14:textFill>
                        <w14:solidFill>
                          <w14:schemeClr w14:val="tx1"/>
                        </w14:solidFill>
                      </w14:textFill>
                    </w:rPr>
                    <w:t>车间</w:t>
                  </w:r>
                  <w:r>
                    <w:rPr>
                      <w:rFonts w:hint="eastAsia"/>
                      <w:color w:val="000000" w:themeColor="text1"/>
                      <w:szCs w:val="21"/>
                      <w:lang w:val="en-US" w:eastAsia="zh-CN"/>
                      <w14:textFill>
                        <w14:solidFill>
                          <w14:schemeClr w14:val="tx1"/>
                        </w14:solidFill>
                      </w14:textFill>
                    </w:rPr>
                    <w:t>采用</w:t>
                  </w:r>
                  <w:r>
                    <w:rPr>
                      <w:color w:val="000000" w:themeColor="text1"/>
                      <w:szCs w:val="21"/>
                      <w14:textFill>
                        <w14:solidFill>
                          <w14:schemeClr w14:val="tx1"/>
                        </w14:solidFill>
                      </w14:textFill>
                    </w:rPr>
                    <w:t>循环净风</w:t>
                  </w:r>
                  <w:r>
                    <w:rPr>
                      <w:rFonts w:hint="eastAsia"/>
                      <w:color w:val="000000" w:themeColor="text1"/>
                      <w:szCs w:val="21"/>
                      <w:lang w:val="en-US" w:eastAsia="zh-CN"/>
                      <w14:textFill>
                        <w14:solidFill>
                          <w14:schemeClr w14:val="tx1"/>
                        </w14:solidFill>
                      </w14:textFill>
                    </w:rPr>
                    <w:t>系统</w:t>
                  </w:r>
                  <w:r>
                    <w:rPr>
                      <w:rFonts w:hint="eastAsia"/>
                      <w:color w:val="000000" w:themeColor="text1"/>
                      <w:szCs w:val="21"/>
                      <w14:textFill>
                        <w14:solidFill>
                          <w14:schemeClr w14:val="tx1"/>
                        </w14:solidFill>
                      </w14:textFill>
                    </w:rPr>
                    <w:t>处理</w:t>
                  </w:r>
                  <w:r>
                    <w:rPr>
                      <w:rFonts w:hint="eastAsia"/>
                      <w:color w:val="000000" w:themeColor="text1"/>
                      <w:szCs w:val="21"/>
                      <w:lang w:eastAsia="zh-CN"/>
                      <w14:textFill>
                        <w14:solidFill>
                          <w14:schemeClr w14:val="tx1"/>
                        </w14:solidFill>
                      </w14:textFill>
                    </w:rPr>
                    <w:t>；</w:t>
                  </w:r>
                  <w:r>
                    <w:rPr>
                      <w:rFonts w:hint="eastAsia"/>
                      <w:color w:val="000000" w:themeColor="text1"/>
                      <w14:textFill>
                        <w14:solidFill>
                          <w14:schemeClr w14:val="tx1"/>
                        </w14:solidFill>
                      </w14:textFill>
                    </w:rPr>
                    <w:t>1F</w:t>
                  </w:r>
                  <w:r>
                    <w:rPr>
                      <w:color w:val="000000" w:themeColor="text1"/>
                      <w14:textFill>
                        <w14:solidFill>
                          <w14:schemeClr w14:val="tx1"/>
                        </w14:solidFill>
                      </w14:textFill>
                    </w:rPr>
                    <w:t>主要布设的</w:t>
                  </w:r>
                  <w:r>
                    <w:rPr>
                      <w:rFonts w:hint="eastAsia"/>
                      <w:color w:val="000000" w:themeColor="text1"/>
                      <w14:textFill>
                        <w14:solidFill>
                          <w14:schemeClr w14:val="tx1"/>
                        </w14:solidFill>
                      </w14:textFill>
                    </w:rPr>
                    <w:t>为治疗凝胶生产线，2F为医用手术衣生产线</w:t>
                  </w:r>
                </w:p>
              </w:tc>
            </w:tr>
            <w:tr w14:paraId="26AEC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1C1098A4">
                  <w:pPr>
                    <w:pStyle w:val="31"/>
                    <w:rPr>
                      <w:color w:val="000000" w:themeColor="text1"/>
                      <w14:textFill>
                        <w14:solidFill>
                          <w14:schemeClr w14:val="tx1"/>
                        </w14:solidFill>
                      </w14:textFill>
                    </w:rPr>
                  </w:pPr>
                </w:p>
              </w:tc>
              <w:tc>
                <w:tcPr>
                  <w:tcW w:w="848" w:type="pct"/>
                  <w:gridSpan w:val="2"/>
                  <w:vAlign w:val="center"/>
                </w:tcPr>
                <w:p w14:paraId="68835899">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2#二类器械车间</w:t>
                  </w:r>
                </w:p>
              </w:tc>
              <w:tc>
                <w:tcPr>
                  <w:tcW w:w="1316" w:type="pct"/>
                  <w:tcBorders>
                    <w:right w:val="single" w:color="auto" w:sz="6" w:space="0"/>
                  </w:tcBorders>
                  <w:vAlign w:val="center"/>
                </w:tcPr>
                <w:p w14:paraId="4AE1715E">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900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2462" w:type="pct"/>
                  <w:gridSpan w:val="2"/>
                  <w:tcBorders>
                    <w:left w:val="single" w:color="auto" w:sz="6" w:space="0"/>
                  </w:tcBorders>
                  <w:vAlign w:val="center"/>
                </w:tcPr>
                <w:p w14:paraId="49893A84">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1F</w:t>
                  </w:r>
                  <w:r>
                    <w:rPr>
                      <w:color w:val="000000" w:themeColor="text1"/>
                      <w14:textFill>
                        <w14:solidFill>
                          <w14:schemeClr w14:val="tx1"/>
                        </w14:solidFill>
                      </w14:textFill>
                    </w:rPr>
                    <w:t>，钢结构，</w:t>
                  </w:r>
                  <w:r>
                    <w:rPr>
                      <w:rFonts w:hint="eastAsia"/>
                      <w:color w:val="000000" w:themeColor="text1"/>
                      <w:lang w:val="en-US" w:eastAsia="zh-CN"/>
                      <w14:textFill>
                        <w14:solidFill>
                          <w14:schemeClr w14:val="tx1"/>
                        </w14:solidFill>
                      </w14:textFill>
                    </w:rPr>
                    <w:t>新建，车间采用循环净风系统处理</w:t>
                  </w:r>
                  <w:r>
                    <w:rPr>
                      <w:rFonts w:hint="eastAsia"/>
                      <w:color w:val="000000" w:themeColor="text1"/>
                      <w:szCs w:val="21"/>
                      <w:lang w:eastAsia="zh-CN"/>
                      <w14:textFill>
                        <w14:solidFill>
                          <w14:schemeClr w14:val="tx1"/>
                        </w14:solidFill>
                      </w14:textFill>
                    </w:rPr>
                    <w:t>；</w:t>
                  </w:r>
                  <w:r>
                    <w:rPr>
                      <w:color w:val="000000" w:themeColor="text1"/>
                      <w14:textFill>
                        <w14:solidFill>
                          <w14:schemeClr w14:val="tx1"/>
                        </w14:solidFill>
                      </w14:textFill>
                    </w:rPr>
                    <w:t>主要布设的</w:t>
                  </w:r>
                  <w:r>
                    <w:rPr>
                      <w:rFonts w:hint="eastAsia"/>
                      <w:color w:val="000000" w:themeColor="text1"/>
                      <w14:textFill>
                        <w14:solidFill>
                          <w14:schemeClr w14:val="tx1"/>
                        </w14:solidFill>
                      </w14:textFill>
                    </w:rPr>
                    <w:t>为1条热敷理疗产品生产线</w:t>
                  </w:r>
                </w:p>
              </w:tc>
            </w:tr>
            <w:tr w14:paraId="72E52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restart"/>
                  <w:vAlign w:val="center"/>
                </w:tcPr>
                <w:p w14:paraId="4EC912B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储运工程</w:t>
                  </w:r>
                </w:p>
              </w:tc>
              <w:tc>
                <w:tcPr>
                  <w:tcW w:w="848" w:type="pct"/>
                  <w:gridSpan w:val="2"/>
                  <w:vAlign w:val="center"/>
                </w:tcPr>
                <w:p w14:paraId="381B0D96">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包材仓库</w:t>
                  </w:r>
                </w:p>
              </w:tc>
              <w:tc>
                <w:tcPr>
                  <w:tcW w:w="1316" w:type="pct"/>
                  <w:tcBorders>
                    <w:right w:val="single" w:color="auto" w:sz="6" w:space="0"/>
                  </w:tcBorders>
                  <w:shd w:val="clear" w:color="auto" w:fill="auto"/>
                  <w:vAlign w:val="center"/>
                </w:tcPr>
                <w:p w14:paraId="066EE87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1920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2462" w:type="pct"/>
                  <w:gridSpan w:val="2"/>
                  <w:tcBorders>
                    <w:left w:val="single" w:color="auto" w:sz="6" w:space="0"/>
                  </w:tcBorders>
                  <w:shd w:val="clear" w:color="auto" w:fill="auto"/>
                  <w:vAlign w:val="center"/>
                </w:tcPr>
                <w:p w14:paraId="10C71F12">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1F</w:t>
                  </w:r>
                  <w:r>
                    <w:rPr>
                      <w:color w:val="000000" w:themeColor="text1"/>
                      <w14:textFill>
                        <w14:solidFill>
                          <w14:schemeClr w14:val="tx1"/>
                        </w14:solidFill>
                      </w14:textFill>
                    </w:rPr>
                    <w:t>，钢结构，</w:t>
                  </w:r>
                  <w:r>
                    <w:rPr>
                      <w:rFonts w:hint="eastAsia"/>
                      <w:color w:val="000000" w:themeColor="text1"/>
                      <w:lang w:val="en-US" w:eastAsia="zh-CN"/>
                      <w14:textFill>
                        <w14:solidFill>
                          <w14:schemeClr w14:val="tx1"/>
                        </w14:solidFill>
                      </w14:textFill>
                    </w:rPr>
                    <w:t>依托现有，</w:t>
                  </w:r>
                  <w:r>
                    <w:rPr>
                      <w:color w:val="000000" w:themeColor="text1"/>
                      <w14:textFill>
                        <w14:solidFill>
                          <w14:schemeClr w14:val="tx1"/>
                        </w14:solidFill>
                      </w14:textFill>
                    </w:rPr>
                    <w:t>主要</w:t>
                  </w:r>
                  <w:r>
                    <w:rPr>
                      <w:rFonts w:hint="eastAsia"/>
                      <w:color w:val="000000" w:themeColor="text1"/>
                      <w14:textFill>
                        <w14:solidFill>
                          <w14:schemeClr w14:val="tx1"/>
                        </w14:solidFill>
                      </w14:textFill>
                    </w:rPr>
                    <w:t>用于包装材料储存</w:t>
                  </w:r>
                </w:p>
              </w:tc>
            </w:tr>
            <w:tr w14:paraId="4C0F8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3865D027">
                  <w:pPr>
                    <w:pStyle w:val="31"/>
                    <w:rPr>
                      <w:color w:val="000000" w:themeColor="text1"/>
                      <w14:textFill>
                        <w14:solidFill>
                          <w14:schemeClr w14:val="tx1"/>
                        </w14:solidFill>
                      </w14:textFill>
                    </w:rPr>
                  </w:pPr>
                </w:p>
              </w:tc>
              <w:tc>
                <w:tcPr>
                  <w:tcW w:w="848" w:type="pct"/>
                  <w:gridSpan w:val="2"/>
                  <w:vAlign w:val="center"/>
                </w:tcPr>
                <w:p w14:paraId="27A7C734">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封坛区域</w:t>
                  </w:r>
                </w:p>
              </w:tc>
              <w:tc>
                <w:tcPr>
                  <w:tcW w:w="1316" w:type="pct"/>
                  <w:tcBorders>
                    <w:right w:val="single" w:color="auto" w:sz="6" w:space="0"/>
                  </w:tcBorders>
                  <w:vAlign w:val="center"/>
                </w:tcPr>
                <w:p w14:paraId="6B78D3AB">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529</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2462" w:type="pct"/>
                  <w:gridSpan w:val="2"/>
                  <w:tcBorders>
                    <w:left w:val="single" w:color="auto" w:sz="6" w:space="0"/>
                  </w:tcBorders>
                  <w:vAlign w:val="center"/>
                </w:tcPr>
                <w:p w14:paraId="2B6FA205">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1F</w:t>
                  </w:r>
                  <w:r>
                    <w:rPr>
                      <w:color w:val="000000" w:themeColor="text1"/>
                      <w14:textFill>
                        <w14:solidFill>
                          <w14:schemeClr w14:val="tx1"/>
                        </w14:solidFill>
                      </w14:textFill>
                    </w:rPr>
                    <w:t>，钢结构，</w:t>
                  </w:r>
                  <w:r>
                    <w:rPr>
                      <w:rFonts w:hint="eastAsia"/>
                      <w:color w:val="000000" w:themeColor="text1"/>
                      <w:lang w:val="en-US" w:eastAsia="zh-CN"/>
                      <w14:textFill>
                        <w14:solidFill>
                          <w14:schemeClr w14:val="tx1"/>
                        </w14:solidFill>
                      </w14:textFill>
                    </w:rPr>
                    <w:t>新建，</w:t>
                  </w:r>
                  <w:r>
                    <w:rPr>
                      <w:color w:val="000000" w:themeColor="text1"/>
                      <w:szCs w:val="21"/>
                      <w14:textFill>
                        <w14:solidFill>
                          <w14:schemeClr w14:val="tx1"/>
                        </w14:solidFill>
                      </w14:textFill>
                    </w:rPr>
                    <w:t>车间密闭</w:t>
                  </w:r>
                  <w:r>
                    <w:rPr>
                      <w:rFonts w:hint="eastAsia"/>
                      <w:color w:val="000000" w:themeColor="text1"/>
                      <w:szCs w:val="21"/>
                      <w:lang w:eastAsia="zh-CN"/>
                      <w14:textFill>
                        <w14:solidFill>
                          <w14:schemeClr w14:val="tx1"/>
                        </w14:solidFill>
                      </w14:textFill>
                    </w:rPr>
                    <w:t>；</w:t>
                  </w:r>
                  <w:r>
                    <w:rPr>
                      <w:color w:val="000000" w:themeColor="text1"/>
                      <w14:textFill>
                        <w14:solidFill>
                          <w14:schemeClr w14:val="tx1"/>
                        </w14:solidFill>
                      </w14:textFill>
                    </w:rPr>
                    <w:t>主要</w:t>
                  </w:r>
                  <w:r>
                    <w:rPr>
                      <w:rFonts w:hint="eastAsia"/>
                      <w:color w:val="000000" w:themeColor="text1"/>
                      <w14:textFill>
                        <w14:solidFill>
                          <w14:schemeClr w14:val="tx1"/>
                        </w14:solidFill>
                      </w14:textFill>
                    </w:rPr>
                    <w:t>用于黄酒车间黄酒的封坛发酵</w:t>
                  </w:r>
                </w:p>
              </w:tc>
            </w:tr>
            <w:tr w14:paraId="46B7A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1E33D80F">
                  <w:pPr>
                    <w:pStyle w:val="31"/>
                    <w:rPr>
                      <w:color w:val="000000" w:themeColor="text1"/>
                      <w14:textFill>
                        <w14:solidFill>
                          <w14:schemeClr w14:val="tx1"/>
                        </w14:solidFill>
                      </w14:textFill>
                    </w:rPr>
                  </w:pPr>
                </w:p>
              </w:tc>
              <w:tc>
                <w:tcPr>
                  <w:tcW w:w="848" w:type="pct"/>
                  <w:gridSpan w:val="2"/>
                  <w:vAlign w:val="center"/>
                </w:tcPr>
                <w:p w14:paraId="1F2224E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封坛发酵车间</w:t>
                  </w:r>
                </w:p>
              </w:tc>
              <w:tc>
                <w:tcPr>
                  <w:tcW w:w="1316" w:type="pct"/>
                  <w:tcBorders>
                    <w:right w:val="single" w:color="auto" w:sz="6" w:space="0"/>
                  </w:tcBorders>
                  <w:shd w:val="clear" w:color="auto" w:fill="auto"/>
                  <w:vAlign w:val="center"/>
                </w:tcPr>
                <w:p w14:paraId="4713C321">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1080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2462" w:type="pct"/>
                  <w:gridSpan w:val="2"/>
                  <w:tcBorders>
                    <w:left w:val="single" w:color="auto" w:sz="6" w:space="0"/>
                  </w:tcBorders>
                  <w:shd w:val="clear" w:color="auto" w:fill="auto"/>
                  <w:vAlign w:val="center"/>
                </w:tcPr>
                <w:p w14:paraId="23AFDF31">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1F</w:t>
                  </w:r>
                  <w:r>
                    <w:rPr>
                      <w:color w:val="000000" w:themeColor="text1"/>
                      <w14:textFill>
                        <w14:solidFill>
                          <w14:schemeClr w14:val="tx1"/>
                        </w14:solidFill>
                      </w14:textFill>
                    </w:rPr>
                    <w:t>，钢结构，</w:t>
                  </w:r>
                  <w:r>
                    <w:rPr>
                      <w:rFonts w:hint="eastAsia"/>
                      <w:color w:val="000000" w:themeColor="text1"/>
                      <w:lang w:val="en-US" w:eastAsia="zh-CN"/>
                      <w14:textFill>
                        <w14:solidFill>
                          <w14:schemeClr w14:val="tx1"/>
                        </w14:solidFill>
                      </w14:textFill>
                    </w:rPr>
                    <w:t>依托现有，</w:t>
                  </w:r>
                  <w:r>
                    <w:rPr>
                      <w:color w:val="000000" w:themeColor="text1"/>
                      <w:szCs w:val="21"/>
                      <w14:textFill>
                        <w14:solidFill>
                          <w14:schemeClr w14:val="tx1"/>
                        </w14:solidFill>
                      </w14:textFill>
                    </w:rPr>
                    <w:t>车间密闭</w:t>
                  </w:r>
                  <w:r>
                    <w:rPr>
                      <w:rFonts w:hint="eastAsia"/>
                      <w:color w:val="000000" w:themeColor="text1"/>
                      <w:szCs w:val="21"/>
                      <w:lang w:eastAsia="zh-CN"/>
                      <w14:textFill>
                        <w14:solidFill>
                          <w14:schemeClr w14:val="tx1"/>
                        </w14:solidFill>
                      </w14:textFill>
                    </w:rPr>
                    <w:t>；</w:t>
                  </w:r>
                  <w:r>
                    <w:rPr>
                      <w:color w:val="000000" w:themeColor="text1"/>
                      <w14:textFill>
                        <w14:solidFill>
                          <w14:schemeClr w14:val="tx1"/>
                        </w14:solidFill>
                      </w14:textFill>
                    </w:rPr>
                    <w:t>主要</w:t>
                  </w:r>
                  <w:r>
                    <w:rPr>
                      <w:rFonts w:hint="eastAsia"/>
                      <w:color w:val="000000" w:themeColor="text1"/>
                      <w14:textFill>
                        <w14:solidFill>
                          <w14:schemeClr w14:val="tx1"/>
                        </w14:solidFill>
                      </w14:textFill>
                    </w:rPr>
                    <w:t>用于黄酒的封坛发酵</w:t>
                  </w:r>
                </w:p>
              </w:tc>
            </w:tr>
            <w:tr w14:paraId="61CEBC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restart"/>
                  <w:vAlign w:val="center"/>
                </w:tcPr>
                <w:p w14:paraId="0611F458">
                  <w:pPr>
                    <w:pStyle w:val="31"/>
                    <w:rPr>
                      <w:color w:val="000000" w:themeColor="text1"/>
                      <w14:textFill>
                        <w14:solidFill>
                          <w14:schemeClr w14:val="tx1"/>
                        </w14:solidFill>
                      </w14:textFill>
                    </w:rPr>
                  </w:pPr>
                  <w:r>
                    <w:rPr>
                      <w:color w:val="000000" w:themeColor="text1"/>
                      <w14:textFill>
                        <w14:solidFill>
                          <w14:schemeClr w14:val="tx1"/>
                        </w14:solidFill>
                      </w14:textFill>
                    </w:rPr>
                    <w:t>辅助工程</w:t>
                  </w:r>
                </w:p>
              </w:tc>
              <w:tc>
                <w:tcPr>
                  <w:tcW w:w="848" w:type="pct"/>
                  <w:gridSpan w:val="2"/>
                  <w:vAlign w:val="center"/>
                </w:tcPr>
                <w:p w14:paraId="2AC67F95">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办公楼</w:t>
                  </w:r>
                </w:p>
              </w:tc>
              <w:tc>
                <w:tcPr>
                  <w:tcW w:w="1316" w:type="pct"/>
                  <w:tcBorders>
                    <w:right w:val="single" w:color="auto" w:sz="6" w:space="0"/>
                  </w:tcBorders>
                  <w:vAlign w:val="center"/>
                </w:tcPr>
                <w:p w14:paraId="640E073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912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2462" w:type="pct"/>
                  <w:gridSpan w:val="2"/>
                  <w:tcBorders>
                    <w:left w:val="single" w:color="auto" w:sz="6" w:space="0"/>
                  </w:tcBorders>
                  <w:vAlign w:val="center"/>
                </w:tcPr>
                <w:p w14:paraId="19E954D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3F</w:t>
                  </w:r>
                  <w:r>
                    <w:rPr>
                      <w:color w:val="000000" w:themeColor="text1"/>
                      <w14:textFill>
                        <w14:solidFill>
                          <w14:schemeClr w14:val="tx1"/>
                        </w14:solidFill>
                      </w14:textFill>
                    </w:rPr>
                    <w:t>，钢结构，</w:t>
                  </w:r>
                  <w:r>
                    <w:rPr>
                      <w:rFonts w:hint="eastAsia"/>
                      <w:color w:val="000000" w:themeColor="text1"/>
                      <w:lang w:val="en-US" w:eastAsia="zh-CN"/>
                      <w14:textFill>
                        <w14:solidFill>
                          <w14:schemeClr w14:val="tx1"/>
                        </w14:solidFill>
                      </w14:textFill>
                    </w:rPr>
                    <w:t>新建，</w:t>
                  </w:r>
                  <w:r>
                    <w:rPr>
                      <w:color w:val="000000" w:themeColor="text1"/>
                      <w14:textFill>
                        <w14:solidFill>
                          <w14:schemeClr w14:val="tx1"/>
                        </w14:solidFill>
                      </w14:textFill>
                    </w:rPr>
                    <w:t>主要</w:t>
                  </w:r>
                  <w:r>
                    <w:rPr>
                      <w:rFonts w:hint="eastAsia"/>
                      <w:color w:val="000000" w:themeColor="text1"/>
                      <w14:textFill>
                        <w14:solidFill>
                          <w14:schemeClr w14:val="tx1"/>
                        </w14:solidFill>
                      </w14:textFill>
                    </w:rPr>
                    <w:t>用于职工的日常生活及办公</w:t>
                  </w:r>
                </w:p>
              </w:tc>
            </w:tr>
            <w:tr w14:paraId="0BAED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12213FF1">
                  <w:pPr>
                    <w:pStyle w:val="31"/>
                    <w:rPr>
                      <w:color w:val="000000" w:themeColor="text1"/>
                      <w14:textFill>
                        <w14:solidFill>
                          <w14:schemeClr w14:val="tx1"/>
                        </w14:solidFill>
                      </w14:textFill>
                    </w:rPr>
                  </w:pPr>
                </w:p>
              </w:tc>
              <w:tc>
                <w:tcPr>
                  <w:tcW w:w="848" w:type="pct"/>
                  <w:gridSpan w:val="2"/>
                  <w:vAlign w:val="center"/>
                </w:tcPr>
                <w:p w14:paraId="519A76E6">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文创展区</w:t>
                  </w:r>
                </w:p>
              </w:tc>
              <w:tc>
                <w:tcPr>
                  <w:tcW w:w="1316" w:type="pct"/>
                  <w:tcBorders>
                    <w:right w:val="single" w:color="auto" w:sz="6" w:space="0"/>
                  </w:tcBorders>
                  <w:vAlign w:val="center"/>
                </w:tcPr>
                <w:p w14:paraId="4F78FAAB">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608</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2</w:t>
                  </w:r>
                </w:p>
              </w:tc>
              <w:tc>
                <w:tcPr>
                  <w:tcW w:w="2462" w:type="pct"/>
                  <w:gridSpan w:val="2"/>
                  <w:tcBorders>
                    <w:left w:val="single" w:color="auto" w:sz="6" w:space="0"/>
                  </w:tcBorders>
                  <w:vAlign w:val="center"/>
                </w:tcPr>
                <w:p w14:paraId="056F5DA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1F</w:t>
                  </w:r>
                  <w:r>
                    <w:rPr>
                      <w:color w:val="000000" w:themeColor="text1"/>
                      <w14:textFill>
                        <w14:solidFill>
                          <w14:schemeClr w14:val="tx1"/>
                        </w14:solidFill>
                      </w14:textFill>
                    </w:rPr>
                    <w:t>，钢结构，</w:t>
                  </w:r>
                  <w:r>
                    <w:rPr>
                      <w:rFonts w:hint="eastAsia"/>
                      <w:color w:val="000000" w:themeColor="text1"/>
                      <w:lang w:val="en-US" w:eastAsia="zh-CN"/>
                      <w14:textFill>
                        <w14:solidFill>
                          <w14:schemeClr w14:val="tx1"/>
                        </w14:solidFill>
                      </w14:textFill>
                    </w:rPr>
                    <w:t>新建，</w:t>
                  </w:r>
                  <w:r>
                    <w:rPr>
                      <w:color w:val="000000" w:themeColor="text1"/>
                      <w14:textFill>
                        <w14:solidFill>
                          <w14:schemeClr w14:val="tx1"/>
                        </w14:solidFill>
                      </w14:textFill>
                    </w:rPr>
                    <w:t>主要</w:t>
                  </w:r>
                  <w:r>
                    <w:rPr>
                      <w:rFonts w:hint="eastAsia"/>
                      <w:color w:val="000000" w:themeColor="text1"/>
                      <w14:textFill>
                        <w14:solidFill>
                          <w14:schemeClr w14:val="tx1"/>
                        </w14:solidFill>
                      </w14:textFill>
                    </w:rPr>
                    <w:t>用于本项目产品的展示</w:t>
                  </w:r>
                </w:p>
              </w:tc>
            </w:tr>
            <w:tr w14:paraId="2293C9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restart"/>
                  <w:vAlign w:val="center"/>
                </w:tcPr>
                <w:p w14:paraId="1153CE58">
                  <w:pPr>
                    <w:pStyle w:val="31"/>
                    <w:rPr>
                      <w:color w:val="000000" w:themeColor="text1"/>
                      <w14:textFill>
                        <w14:solidFill>
                          <w14:schemeClr w14:val="tx1"/>
                        </w14:solidFill>
                      </w14:textFill>
                    </w:rPr>
                  </w:pPr>
                  <w:r>
                    <w:rPr>
                      <w:color w:val="000000" w:themeColor="text1"/>
                      <w14:textFill>
                        <w14:solidFill>
                          <w14:schemeClr w14:val="tx1"/>
                        </w14:solidFill>
                      </w14:textFill>
                    </w:rPr>
                    <w:t>公用工程</w:t>
                  </w:r>
                </w:p>
              </w:tc>
              <w:tc>
                <w:tcPr>
                  <w:tcW w:w="848" w:type="pct"/>
                  <w:gridSpan w:val="2"/>
                  <w:vAlign w:val="center"/>
                </w:tcPr>
                <w:p w14:paraId="2DCD37A9">
                  <w:pPr>
                    <w:pStyle w:val="31"/>
                    <w:rPr>
                      <w:color w:val="000000" w:themeColor="text1"/>
                      <w14:textFill>
                        <w14:solidFill>
                          <w14:schemeClr w14:val="tx1"/>
                        </w14:solidFill>
                      </w14:textFill>
                    </w:rPr>
                  </w:pPr>
                  <w:r>
                    <w:rPr>
                      <w:color w:val="000000" w:themeColor="text1"/>
                      <w14:textFill>
                        <w14:solidFill>
                          <w14:schemeClr w14:val="tx1"/>
                        </w14:solidFill>
                      </w14:textFill>
                    </w:rPr>
                    <w:t>供水</w:t>
                  </w:r>
                </w:p>
              </w:tc>
              <w:tc>
                <w:tcPr>
                  <w:tcW w:w="3778" w:type="pct"/>
                  <w:gridSpan w:val="3"/>
                  <w:tcBorders>
                    <w:top w:val="single" w:color="auto" w:sz="6" w:space="0"/>
                  </w:tcBorders>
                  <w:vAlign w:val="center"/>
                </w:tcPr>
                <w:p w14:paraId="5402BD2F">
                  <w:pPr>
                    <w:pStyle w:val="31"/>
                    <w:rPr>
                      <w:color w:val="000000" w:themeColor="text1"/>
                      <w14:textFill>
                        <w14:solidFill>
                          <w14:schemeClr w14:val="tx1"/>
                        </w14:solidFill>
                      </w14:textFill>
                    </w:rPr>
                  </w:pPr>
                  <w:r>
                    <w:rPr>
                      <w:color w:val="000000" w:themeColor="text1"/>
                      <w14:textFill>
                        <w14:solidFill>
                          <w14:schemeClr w14:val="tx1"/>
                        </w14:solidFill>
                      </w14:textFill>
                    </w:rPr>
                    <w:t>由</w:t>
                  </w:r>
                  <w:r>
                    <w:rPr>
                      <w:rFonts w:hint="eastAsia"/>
                      <w:color w:val="000000" w:themeColor="text1"/>
                      <w14:textFill>
                        <w14:solidFill>
                          <w14:schemeClr w14:val="tx1"/>
                        </w14:solidFill>
                      </w14:textFill>
                    </w:rPr>
                    <w:t>镇平县</w:t>
                  </w:r>
                  <w:r>
                    <w:rPr>
                      <w:color w:val="000000" w:themeColor="text1"/>
                      <w14:textFill>
                        <w14:solidFill>
                          <w14:schemeClr w14:val="tx1"/>
                        </w14:solidFill>
                      </w14:textFill>
                    </w:rPr>
                    <w:t>先进制造业开发区市政供水管网供给</w:t>
                  </w:r>
                </w:p>
              </w:tc>
            </w:tr>
            <w:tr w14:paraId="1EED36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A7BDCA3">
                  <w:pPr>
                    <w:pStyle w:val="31"/>
                    <w:rPr>
                      <w:color w:val="000000" w:themeColor="text1"/>
                      <w14:textFill>
                        <w14:solidFill>
                          <w14:schemeClr w14:val="tx1"/>
                        </w14:solidFill>
                      </w14:textFill>
                    </w:rPr>
                  </w:pPr>
                </w:p>
              </w:tc>
              <w:tc>
                <w:tcPr>
                  <w:tcW w:w="848" w:type="pct"/>
                  <w:gridSpan w:val="2"/>
                  <w:vAlign w:val="center"/>
                </w:tcPr>
                <w:p w14:paraId="7330660A">
                  <w:pPr>
                    <w:pStyle w:val="31"/>
                    <w:rPr>
                      <w:color w:val="000000" w:themeColor="text1"/>
                      <w14:textFill>
                        <w14:solidFill>
                          <w14:schemeClr w14:val="tx1"/>
                        </w14:solidFill>
                      </w14:textFill>
                    </w:rPr>
                  </w:pPr>
                  <w:r>
                    <w:rPr>
                      <w:color w:val="000000" w:themeColor="text1"/>
                      <w14:textFill>
                        <w14:solidFill>
                          <w14:schemeClr w14:val="tx1"/>
                        </w14:solidFill>
                      </w14:textFill>
                    </w:rPr>
                    <w:t>排水</w:t>
                  </w:r>
                </w:p>
              </w:tc>
              <w:tc>
                <w:tcPr>
                  <w:tcW w:w="3778" w:type="pct"/>
                  <w:gridSpan w:val="3"/>
                  <w:tcBorders>
                    <w:top w:val="single" w:color="auto" w:sz="6" w:space="0"/>
                  </w:tcBorders>
                  <w:vAlign w:val="center"/>
                </w:tcPr>
                <w:p w14:paraId="71CF0473">
                  <w:pPr>
                    <w:pStyle w:val="31"/>
                    <w:rPr>
                      <w:color w:val="000000" w:themeColor="text1"/>
                      <w14:textFill>
                        <w14:solidFill>
                          <w14:schemeClr w14:val="tx1"/>
                        </w14:solidFill>
                      </w14:textFill>
                    </w:rPr>
                  </w:pPr>
                  <w:r>
                    <w:rPr>
                      <w:color w:val="000000" w:themeColor="text1"/>
                      <w14:textFill>
                        <w14:solidFill>
                          <w14:schemeClr w14:val="tx1"/>
                        </w14:solidFill>
                      </w14:textFill>
                    </w:rPr>
                    <w:t>采用雨污分流排水系统，雨水排放：项目区雨水经厂区雨水排放口依地势排入项目西侧</w:t>
                  </w:r>
                  <w:r>
                    <w:rPr>
                      <w:rFonts w:hint="eastAsia"/>
                      <w:color w:val="000000" w:themeColor="text1"/>
                      <w14:textFill>
                        <w14:solidFill>
                          <w14:schemeClr w14:val="tx1"/>
                        </w14:solidFill>
                      </w14:textFill>
                    </w:rPr>
                    <w:t>935</w:t>
                  </w:r>
                  <w:r>
                    <w:rPr>
                      <w:color w:val="000000" w:themeColor="text1"/>
                      <w14:textFill>
                        <w14:solidFill>
                          <w14:schemeClr w14:val="tx1"/>
                        </w14:solidFill>
                      </w14:textFill>
                    </w:rPr>
                    <w:t>m处的九曲河，向南汇入赵河；污水排放：项目营运期职工生活污水经化粪池处理后与各生产废水一并进入厂区污水处理站处理后，出水水质能够满足《发酵酒精和白酒工业水污染物排放标准》（GB27631-2011）及其修改单表2间接排放标准</w:t>
                  </w:r>
                  <w:r>
                    <w:rPr>
                      <w:rFonts w:hint="eastAsia"/>
                      <w:color w:val="000000" w:themeColor="text1"/>
                      <w14:textFill>
                        <w14:solidFill>
                          <w14:schemeClr w14:val="tx1"/>
                        </w14:solidFill>
                      </w14:textFill>
                    </w:rPr>
                    <w:t>、</w:t>
                  </w:r>
                  <w:r>
                    <w:rPr>
                      <w:rFonts w:hint="eastAsia"/>
                      <w:color w:val="000000" w:themeColor="text1"/>
                      <w:szCs w:val="21"/>
                      <w14:textFill>
                        <w14:solidFill>
                          <w14:schemeClr w14:val="tx1"/>
                        </w14:solidFill>
                      </w14:textFill>
                    </w:rPr>
                    <w:t>《啤酒工业水污染物排放标准》（DB41/681-2011）</w:t>
                  </w:r>
                  <w:r>
                    <w:rPr>
                      <w:color w:val="000000" w:themeColor="text1"/>
                      <w14:textFill>
                        <w14:solidFill>
                          <w14:schemeClr w14:val="tx1"/>
                        </w14:solidFill>
                      </w14:textFill>
                    </w:rPr>
                    <w:t>及镇平县第二污水处理厂进水水质指标要求后经市政污水管网进入镇平县第二污水处理厂进一步处理达到《城镇污水处理厂污染物排放标准》（GB18918-2002）一级A标准后排入赵河。</w:t>
                  </w:r>
                </w:p>
              </w:tc>
            </w:tr>
            <w:tr w14:paraId="431A4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2EB6FFE3">
                  <w:pPr>
                    <w:pStyle w:val="31"/>
                    <w:rPr>
                      <w:color w:val="000000" w:themeColor="text1"/>
                      <w14:textFill>
                        <w14:solidFill>
                          <w14:schemeClr w14:val="tx1"/>
                        </w14:solidFill>
                      </w14:textFill>
                    </w:rPr>
                  </w:pPr>
                </w:p>
              </w:tc>
              <w:tc>
                <w:tcPr>
                  <w:tcW w:w="848" w:type="pct"/>
                  <w:gridSpan w:val="2"/>
                  <w:vAlign w:val="center"/>
                </w:tcPr>
                <w:p w14:paraId="0A78DDDF">
                  <w:pPr>
                    <w:pStyle w:val="31"/>
                    <w:rPr>
                      <w:color w:val="000000" w:themeColor="text1"/>
                      <w14:textFill>
                        <w14:solidFill>
                          <w14:schemeClr w14:val="tx1"/>
                        </w14:solidFill>
                      </w14:textFill>
                    </w:rPr>
                  </w:pPr>
                  <w:r>
                    <w:rPr>
                      <w:color w:val="000000" w:themeColor="text1"/>
                      <w14:textFill>
                        <w14:solidFill>
                          <w14:schemeClr w14:val="tx1"/>
                        </w14:solidFill>
                      </w14:textFill>
                    </w:rPr>
                    <w:t>供电</w:t>
                  </w:r>
                </w:p>
              </w:tc>
              <w:tc>
                <w:tcPr>
                  <w:tcW w:w="3778" w:type="pct"/>
                  <w:gridSpan w:val="3"/>
                  <w:tcBorders>
                    <w:top w:val="single" w:color="auto" w:sz="6" w:space="0"/>
                  </w:tcBorders>
                  <w:vAlign w:val="center"/>
                </w:tcPr>
                <w:p w14:paraId="40A0FCEF">
                  <w:pPr>
                    <w:pStyle w:val="31"/>
                    <w:rPr>
                      <w:color w:val="000000" w:themeColor="text1"/>
                      <w14:textFill>
                        <w14:solidFill>
                          <w14:schemeClr w14:val="tx1"/>
                        </w14:solidFill>
                      </w14:textFill>
                    </w:rPr>
                  </w:pPr>
                  <w:r>
                    <w:rPr>
                      <w:color w:val="000000" w:themeColor="text1"/>
                      <w14:textFill>
                        <w14:solidFill>
                          <w14:schemeClr w14:val="tx1"/>
                        </w14:solidFill>
                      </w14:textFill>
                    </w:rPr>
                    <w:t>由</w:t>
                  </w:r>
                  <w:r>
                    <w:rPr>
                      <w:rFonts w:hint="eastAsia"/>
                      <w:color w:val="000000" w:themeColor="text1"/>
                      <w14:textFill>
                        <w14:solidFill>
                          <w14:schemeClr w14:val="tx1"/>
                        </w14:solidFill>
                      </w14:textFill>
                    </w:rPr>
                    <w:t>镇平县</w:t>
                  </w:r>
                  <w:r>
                    <w:rPr>
                      <w:color w:val="000000" w:themeColor="text1"/>
                      <w14:textFill>
                        <w14:solidFill>
                          <w14:schemeClr w14:val="tx1"/>
                        </w14:solidFill>
                      </w14:textFill>
                    </w:rPr>
                    <w:t>先进制造业开发区市政供电系统提供</w:t>
                  </w:r>
                </w:p>
              </w:tc>
            </w:tr>
            <w:tr w14:paraId="171CA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D2E57F1">
                  <w:pPr>
                    <w:pStyle w:val="31"/>
                    <w:rPr>
                      <w:color w:val="000000" w:themeColor="text1"/>
                      <w14:textFill>
                        <w14:solidFill>
                          <w14:schemeClr w14:val="tx1"/>
                        </w14:solidFill>
                      </w14:textFill>
                    </w:rPr>
                  </w:pPr>
                </w:p>
              </w:tc>
              <w:tc>
                <w:tcPr>
                  <w:tcW w:w="848" w:type="pct"/>
                  <w:gridSpan w:val="2"/>
                  <w:vAlign w:val="center"/>
                </w:tcPr>
                <w:p w14:paraId="5FD03F3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供气</w:t>
                  </w:r>
                </w:p>
              </w:tc>
              <w:tc>
                <w:tcPr>
                  <w:tcW w:w="3778" w:type="pct"/>
                  <w:gridSpan w:val="3"/>
                  <w:tcBorders>
                    <w:top w:val="single" w:color="auto" w:sz="6" w:space="0"/>
                  </w:tcBorders>
                  <w:vAlign w:val="center"/>
                </w:tcPr>
                <w:p w14:paraId="181A04A5">
                  <w:pPr>
                    <w:pStyle w:val="31"/>
                    <w:rPr>
                      <w:color w:val="000000" w:themeColor="text1"/>
                      <w14:textFill>
                        <w14:solidFill>
                          <w14:schemeClr w14:val="tx1"/>
                        </w14:solidFill>
                      </w14:textFill>
                    </w:rPr>
                  </w:pPr>
                  <w:r>
                    <w:rPr>
                      <w:bCs/>
                      <w:color w:val="000000" w:themeColor="text1"/>
                      <w:szCs w:val="21"/>
                      <w14:textFill>
                        <w14:solidFill>
                          <w14:schemeClr w14:val="tx1"/>
                        </w14:solidFill>
                      </w14:textFill>
                    </w:rPr>
                    <w:t>由</w:t>
                  </w:r>
                  <w:r>
                    <w:rPr>
                      <w:rFonts w:hint="eastAsia"/>
                      <w:color w:val="000000" w:themeColor="text1"/>
                      <w14:textFill>
                        <w14:solidFill>
                          <w14:schemeClr w14:val="tx1"/>
                        </w14:solidFill>
                      </w14:textFill>
                    </w:rPr>
                    <w:t>镇平县</w:t>
                  </w:r>
                  <w:r>
                    <w:rPr>
                      <w:color w:val="000000" w:themeColor="text1"/>
                      <w14:textFill>
                        <w14:solidFill>
                          <w14:schemeClr w14:val="tx1"/>
                        </w14:solidFill>
                      </w14:textFill>
                    </w:rPr>
                    <w:t>先进制造业开发区</w:t>
                  </w:r>
                  <w:r>
                    <w:rPr>
                      <w:bCs/>
                      <w:color w:val="000000" w:themeColor="text1"/>
                      <w:szCs w:val="21"/>
                      <w14:textFill>
                        <w14:solidFill>
                          <w14:schemeClr w14:val="tx1"/>
                        </w14:solidFill>
                      </w14:textFill>
                    </w:rPr>
                    <w:t>市政天然气管网提供</w:t>
                  </w:r>
                </w:p>
              </w:tc>
            </w:tr>
            <w:tr w14:paraId="6009BD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F4693CF">
                  <w:pPr>
                    <w:pStyle w:val="31"/>
                    <w:rPr>
                      <w:color w:val="000000" w:themeColor="text1"/>
                      <w14:textFill>
                        <w14:solidFill>
                          <w14:schemeClr w14:val="tx1"/>
                        </w14:solidFill>
                      </w14:textFill>
                    </w:rPr>
                  </w:pPr>
                </w:p>
              </w:tc>
              <w:tc>
                <w:tcPr>
                  <w:tcW w:w="848" w:type="pct"/>
                  <w:gridSpan w:val="2"/>
                  <w:vAlign w:val="center"/>
                </w:tcPr>
                <w:p w14:paraId="40AFF8F1">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制冷</w:t>
                  </w:r>
                </w:p>
              </w:tc>
              <w:tc>
                <w:tcPr>
                  <w:tcW w:w="3778" w:type="pct"/>
                  <w:gridSpan w:val="3"/>
                  <w:tcBorders>
                    <w:top w:val="single" w:color="auto" w:sz="6" w:space="0"/>
                  </w:tcBorders>
                  <w:vAlign w:val="center"/>
                </w:tcPr>
                <w:p w14:paraId="5E2C2F51">
                  <w:pPr>
                    <w:widowControl/>
                    <w:rPr>
                      <w:bCs/>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冷水：冷水由制冷机制备，制冷机采用</w:t>
                  </w:r>
                  <w:r>
                    <w:rPr>
                      <w:rFonts w:hint="eastAsia" w:eastAsiaTheme="minorEastAsia"/>
                      <w:color w:val="000000" w:themeColor="text1"/>
                      <w:kern w:val="0"/>
                      <w:szCs w:val="21"/>
                      <w14:textFill>
                        <w14:solidFill>
                          <w14:schemeClr w14:val="tx1"/>
                        </w14:solidFill>
                      </w14:textFill>
                    </w:rPr>
                    <w:t>R</w:t>
                  </w:r>
                  <w:r>
                    <w:rPr>
                      <w:rFonts w:eastAsiaTheme="minorEastAsia"/>
                      <w:color w:val="000000" w:themeColor="text1"/>
                      <w:kern w:val="0"/>
                      <w:szCs w:val="21"/>
                      <w14:textFill>
                        <w14:solidFill>
                          <w14:schemeClr w14:val="tx1"/>
                        </w14:solidFill>
                      </w14:textFill>
                    </w:rPr>
                    <w:t>507环保型制冷剂；冰水：载冷剂乙二醇，为乙二醇与水的混合液。</w:t>
                  </w:r>
                </w:p>
              </w:tc>
            </w:tr>
            <w:tr w14:paraId="7DAD4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restart"/>
                  <w:vAlign w:val="center"/>
                </w:tcPr>
                <w:p w14:paraId="349CDA60">
                  <w:pPr>
                    <w:tabs>
                      <w:tab w:val="left" w:pos="5250"/>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环保工程</w:t>
                  </w:r>
                </w:p>
              </w:tc>
              <w:tc>
                <w:tcPr>
                  <w:tcW w:w="651" w:type="pct"/>
                  <w:vMerge w:val="restart"/>
                  <w:vAlign w:val="center"/>
                </w:tcPr>
                <w:p w14:paraId="4CAF2276">
                  <w:pPr>
                    <w:tabs>
                      <w:tab w:val="left" w:pos="5250"/>
                    </w:tabs>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废气治理设施</w:t>
                  </w:r>
                </w:p>
              </w:tc>
              <w:tc>
                <w:tcPr>
                  <w:tcW w:w="197" w:type="pct"/>
                  <w:vMerge w:val="restart"/>
                  <w:shd w:val="clear" w:color="auto" w:fill="auto"/>
                  <w:vAlign w:val="center"/>
                </w:tcPr>
                <w:p w14:paraId="7ED7D577">
                  <w:pPr>
                    <w:tabs>
                      <w:tab w:val="left" w:pos="5250"/>
                    </w:tabs>
                    <w:adjustRightInd w:val="0"/>
                    <w:snapToGrid w:val="0"/>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有组织</w:t>
                  </w:r>
                </w:p>
              </w:tc>
              <w:tc>
                <w:tcPr>
                  <w:tcW w:w="1316" w:type="pct"/>
                  <w:shd w:val="clear" w:color="auto" w:fill="auto"/>
                  <w:vAlign w:val="center"/>
                </w:tcPr>
                <w:p w14:paraId="6985D919">
                  <w:pPr>
                    <w:jc w:val="center"/>
                    <w:outlineLvl w:val="9"/>
                    <w:rPr>
                      <w:color w:val="000000" w:themeColor="text1"/>
                      <w:szCs w:val="21"/>
                      <w14:textFill>
                        <w14:solidFill>
                          <w14:schemeClr w14:val="tx1"/>
                        </w14:solidFill>
                      </w14:textFill>
                    </w:rPr>
                  </w:pPr>
                  <w:bookmarkStart w:id="24" w:name="_Toc16358"/>
                  <w:r>
                    <w:rPr>
                      <w:rFonts w:hint="eastAsia"/>
                      <w:color w:val="000000" w:themeColor="text1"/>
                      <w:szCs w:val="21"/>
                      <w14:textFill>
                        <w14:solidFill>
                          <w14:schemeClr w14:val="tx1"/>
                        </w14:solidFill>
                      </w14:textFill>
                    </w:rPr>
                    <w:t>原料投料、粉碎工序和袋泡茶生产过程粉尘</w:t>
                  </w:r>
                  <w:bookmarkEnd w:id="24"/>
                </w:p>
              </w:tc>
              <w:tc>
                <w:tcPr>
                  <w:tcW w:w="707" w:type="pct"/>
                  <w:shd w:val="clear" w:color="auto" w:fill="auto"/>
                  <w:vAlign w:val="center"/>
                </w:tcPr>
                <w:p w14:paraId="2BC7E706">
                  <w:pPr>
                    <w:jc w:val="center"/>
                    <w:outlineLvl w:val="9"/>
                    <w:rPr>
                      <w:color w:val="000000" w:themeColor="text1"/>
                      <w:szCs w:val="21"/>
                      <w14:textFill>
                        <w14:solidFill>
                          <w14:schemeClr w14:val="tx1"/>
                        </w14:solidFill>
                      </w14:textFill>
                    </w:rPr>
                  </w:pPr>
                  <w:bookmarkStart w:id="25" w:name="_Toc9659"/>
                  <w:r>
                    <w:rPr>
                      <w:rFonts w:hint="eastAsia"/>
                      <w:color w:val="000000" w:themeColor="text1"/>
                      <w:szCs w:val="21"/>
                      <w14:textFill>
                        <w14:solidFill>
                          <w14:schemeClr w14:val="tx1"/>
                        </w14:solidFill>
                      </w14:textFill>
                    </w:rPr>
                    <w:t>颗粒物</w:t>
                  </w:r>
                  <w:bookmarkEnd w:id="25"/>
                </w:p>
              </w:tc>
              <w:tc>
                <w:tcPr>
                  <w:tcW w:w="1754" w:type="pct"/>
                  <w:shd w:val="clear" w:color="auto" w:fill="auto"/>
                  <w:vAlign w:val="center"/>
                </w:tcPr>
                <w:p w14:paraId="6835D79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经集气罩收集引入1套覆膜袋式除尘器（TA001）处理后通过1根15m高排气筒（DA001）排放</w:t>
                  </w:r>
                </w:p>
              </w:tc>
            </w:tr>
            <w:tr w14:paraId="6292B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4A128E4A">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120A6AEE">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25C1A688">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1EE7C634">
                  <w:pPr>
                    <w:jc w:val="center"/>
                    <w:outlineLvl w:val="9"/>
                    <w:rPr>
                      <w:color w:val="000000" w:themeColor="text1"/>
                      <w:szCs w:val="21"/>
                      <w14:textFill>
                        <w14:solidFill>
                          <w14:schemeClr w14:val="tx1"/>
                        </w14:solidFill>
                      </w14:textFill>
                    </w:rPr>
                  </w:pPr>
                  <w:bookmarkStart w:id="26" w:name="_Toc23603"/>
                  <w:r>
                    <w:rPr>
                      <w:rFonts w:hint="eastAsia"/>
                      <w:color w:val="000000" w:themeColor="text1"/>
                      <w:szCs w:val="21"/>
                      <w14:textFill>
                        <w14:solidFill>
                          <w14:schemeClr w14:val="tx1"/>
                        </w14:solidFill>
                      </w14:textFill>
                    </w:rPr>
                    <w:t>1t/h蒸汽发生器天然气燃烧废气</w:t>
                  </w:r>
                  <w:bookmarkEnd w:id="26"/>
                </w:p>
              </w:tc>
              <w:tc>
                <w:tcPr>
                  <w:tcW w:w="707" w:type="pct"/>
                  <w:shd w:val="clear" w:color="auto" w:fill="auto"/>
                  <w:vAlign w:val="center"/>
                </w:tcPr>
                <w:p w14:paraId="0B0A386F">
                  <w:pPr>
                    <w:jc w:val="center"/>
                    <w:outlineLvl w:val="9"/>
                    <w:rPr>
                      <w:color w:val="000000" w:themeColor="text1"/>
                      <w:szCs w:val="21"/>
                      <w14:textFill>
                        <w14:solidFill>
                          <w14:schemeClr w14:val="tx1"/>
                        </w14:solidFill>
                      </w14:textFill>
                    </w:rPr>
                  </w:pPr>
                  <w:bookmarkStart w:id="27" w:name="_Toc28819"/>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bookmarkEnd w:id="27"/>
                </w:p>
              </w:tc>
              <w:tc>
                <w:tcPr>
                  <w:tcW w:w="1754" w:type="pct"/>
                  <w:shd w:val="clear" w:color="auto" w:fill="auto"/>
                  <w:vAlign w:val="center"/>
                </w:tcPr>
                <w:p w14:paraId="2645507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（TA002）</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排放</w:t>
                  </w:r>
                </w:p>
              </w:tc>
            </w:tr>
            <w:tr w14:paraId="12A11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197FDA21">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0C3F6A6E">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703F429C">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0BE90E7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0.3t/h蒸汽发生器天然气燃烧废气</w:t>
                  </w:r>
                </w:p>
              </w:tc>
              <w:tc>
                <w:tcPr>
                  <w:tcW w:w="707" w:type="pct"/>
                  <w:shd w:val="clear" w:color="auto" w:fill="auto"/>
                  <w:vAlign w:val="center"/>
                </w:tcPr>
                <w:p w14:paraId="43A07271">
                  <w:pPr>
                    <w:jc w:val="center"/>
                    <w:outlineLvl w:val="9"/>
                    <w:rPr>
                      <w:color w:val="000000" w:themeColor="text1"/>
                      <w:szCs w:val="21"/>
                      <w14:textFill>
                        <w14:solidFill>
                          <w14:schemeClr w14:val="tx1"/>
                        </w14:solidFill>
                      </w14:textFill>
                    </w:rPr>
                  </w:pPr>
                  <w:bookmarkStart w:id="28" w:name="_Toc32013"/>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bookmarkEnd w:id="28"/>
                </w:p>
              </w:tc>
              <w:tc>
                <w:tcPr>
                  <w:tcW w:w="1754" w:type="pct"/>
                  <w:shd w:val="clear" w:color="auto" w:fill="auto"/>
                  <w:vAlign w:val="center"/>
                </w:tcPr>
                <w:p w14:paraId="4712707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（TA003）</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排放</w:t>
                  </w:r>
                </w:p>
              </w:tc>
            </w:tr>
            <w:tr w14:paraId="391C7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78878C9D">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76DE8AD2">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1D916753">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5F526B8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0.5t/h蒸汽发生器天然气燃烧废气</w:t>
                  </w:r>
                </w:p>
              </w:tc>
              <w:tc>
                <w:tcPr>
                  <w:tcW w:w="707" w:type="pct"/>
                  <w:shd w:val="clear" w:color="auto" w:fill="auto"/>
                  <w:vAlign w:val="center"/>
                </w:tcPr>
                <w:p w14:paraId="5B58B5D6">
                  <w:pPr>
                    <w:jc w:val="center"/>
                    <w:outlineLvl w:val="9"/>
                    <w:rPr>
                      <w:color w:val="000000" w:themeColor="text1"/>
                      <w:szCs w:val="21"/>
                      <w14:textFill>
                        <w14:solidFill>
                          <w14:schemeClr w14:val="tx1"/>
                        </w14:solidFill>
                      </w14:textFill>
                    </w:rPr>
                  </w:pPr>
                  <w:bookmarkStart w:id="29" w:name="_Toc26625"/>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bookmarkEnd w:id="29"/>
                </w:p>
              </w:tc>
              <w:tc>
                <w:tcPr>
                  <w:tcW w:w="1754" w:type="pct"/>
                  <w:shd w:val="clear" w:color="auto" w:fill="auto"/>
                  <w:vAlign w:val="center"/>
                </w:tcPr>
                <w:p w14:paraId="21C128D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（TA004）</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排放</w:t>
                  </w:r>
                </w:p>
              </w:tc>
            </w:tr>
            <w:tr w14:paraId="5CA33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2922EF05">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1B4E2F20">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6BFDC7A4">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44E8DE4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治疗凝胶生产线乳化工序废气</w:t>
                  </w:r>
                </w:p>
              </w:tc>
              <w:tc>
                <w:tcPr>
                  <w:tcW w:w="707" w:type="pct"/>
                  <w:shd w:val="clear" w:color="auto" w:fill="auto"/>
                  <w:vAlign w:val="center"/>
                </w:tcPr>
                <w:p w14:paraId="14C7D685">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1754" w:type="pct"/>
                  <w:shd w:val="clear" w:color="auto" w:fill="auto"/>
                  <w:vAlign w:val="center"/>
                </w:tcPr>
                <w:p w14:paraId="6195711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w:t>
                  </w: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套</w:t>
                  </w:r>
                  <w:r>
                    <w:rPr>
                      <w:rFonts w:hint="eastAsia"/>
                      <w:color w:val="000000" w:themeColor="text1"/>
                      <w:szCs w:val="21"/>
                      <w14:textFill>
                        <w14:solidFill>
                          <w14:schemeClr w14:val="tx1"/>
                        </w14:solidFill>
                      </w14:textFill>
                    </w:rPr>
                    <w:t>“二级</w:t>
                  </w:r>
                  <w:r>
                    <w:rPr>
                      <w:color w:val="000000" w:themeColor="text1"/>
                      <w:szCs w:val="21"/>
                      <w14:textFill>
                        <w14:solidFill>
                          <w14:schemeClr w14:val="tx1"/>
                        </w14:solidFill>
                      </w14:textFill>
                    </w:rPr>
                    <w:t>活性炭吸附</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（TA00</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）设施</w:t>
                  </w:r>
                  <w:r>
                    <w:rPr>
                      <w:rFonts w:hint="eastAsia"/>
                      <w:color w:val="000000" w:themeColor="text1"/>
                      <w:szCs w:val="21"/>
                      <w14:textFill>
                        <w14:solidFill>
                          <w14:schemeClr w14:val="tx1"/>
                        </w14:solidFill>
                      </w14:textFill>
                    </w:rPr>
                    <w:t>处理</w:t>
                  </w:r>
                  <w:r>
                    <w:rPr>
                      <w:color w:val="000000" w:themeColor="text1"/>
                      <w:szCs w:val="21"/>
                      <w14:textFill>
                        <w14:solidFill>
                          <w14:schemeClr w14:val="tx1"/>
                        </w14:solidFill>
                      </w14:textFill>
                    </w:rPr>
                    <w:t>后通过</w:t>
                  </w:r>
                  <w:r>
                    <w:rPr>
                      <w:rFonts w:hint="eastAsia"/>
                      <w:color w:val="000000" w:themeColor="text1"/>
                      <w:szCs w:val="21"/>
                      <w14:textFill>
                        <w14:solidFill>
                          <w14:schemeClr w14:val="tx1"/>
                        </w14:solidFill>
                      </w14:textFill>
                    </w:rPr>
                    <w:t>1根15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排放</w:t>
                  </w:r>
                </w:p>
              </w:tc>
            </w:tr>
            <w:tr w14:paraId="3C3CC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B446C9E">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52331CEC">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584CABC2">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598F564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热敷理疗产品上料粉尘</w:t>
                  </w:r>
                </w:p>
              </w:tc>
              <w:tc>
                <w:tcPr>
                  <w:tcW w:w="707" w:type="pct"/>
                  <w:shd w:val="clear" w:color="auto" w:fill="auto"/>
                  <w:vAlign w:val="center"/>
                </w:tcPr>
                <w:p w14:paraId="7AD3872B">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1754" w:type="pct"/>
                  <w:shd w:val="clear" w:color="auto" w:fill="auto"/>
                  <w:vAlign w:val="center"/>
                </w:tcPr>
                <w:p w14:paraId="13E8895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覆膜袋式除尘器</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（TA00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处理后通过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排放</w:t>
                  </w:r>
                </w:p>
              </w:tc>
            </w:tr>
            <w:tr w14:paraId="724F7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2" w:hRule="atLeast"/>
                <w:jc w:val="center"/>
              </w:trPr>
              <w:tc>
                <w:tcPr>
                  <w:tcW w:w="372" w:type="pct"/>
                  <w:vMerge w:val="continue"/>
                  <w:vAlign w:val="center"/>
                </w:tcPr>
                <w:p w14:paraId="2F7708A9">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02AD8560">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76EFFA39">
                  <w:pPr>
                    <w:snapToGrid w:val="0"/>
                    <w:jc w:val="center"/>
                    <w:rPr>
                      <w:color w:val="000000" w:themeColor="text1"/>
                      <w:szCs w:val="21"/>
                      <w14:textFill>
                        <w14:solidFill>
                          <w14:schemeClr w14:val="tx1"/>
                        </w14:solidFill>
                      </w14:textFill>
                    </w:rPr>
                  </w:pPr>
                </w:p>
              </w:tc>
              <w:tc>
                <w:tcPr>
                  <w:tcW w:w="1316" w:type="pct"/>
                  <w:shd w:val="clear" w:color="auto" w:fill="auto"/>
                  <w:vAlign w:val="center"/>
                </w:tcPr>
                <w:p w14:paraId="63961D58">
                  <w:pPr>
                    <w:jc w:val="center"/>
                    <w:rPr>
                      <w:color w:val="000000" w:themeColor="text1"/>
                      <w:szCs w:val="21"/>
                      <w14:textFill>
                        <w14:solidFill>
                          <w14:schemeClr w14:val="tx1"/>
                        </w14:solidFill>
                      </w14:textFill>
                    </w:rPr>
                  </w:pPr>
                  <w:r>
                    <w:rPr>
                      <w:color w:val="000000" w:themeColor="text1"/>
                      <w:kern w:val="52"/>
                      <w14:textFill>
                        <w14:solidFill>
                          <w14:schemeClr w14:val="tx1"/>
                        </w14:solidFill>
                      </w14:textFill>
                    </w:rPr>
                    <w:t>污水处理站</w:t>
                  </w:r>
                  <w:r>
                    <w:rPr>
                      <w:rFonts w:hint="eastAsia"/>
                      <w:color w:val="000000" w:themeColor="text1"/>
                      <w:kern w:val="52"/>
                      <w14:textFill>
                        <w14:solidFill>
                          <w14:schemeClr w14:val="tx1"/>
                        </w14:solidFill>
                      </w14:textFill>
                    </w:rPr>
                    <w:t>及酒糟暂存恶臭气体</w:t>
                  </w:r>
                </w:p>
              </w:tc>
              <w:tc>
                <w:tcPr>
                  <w:tcW w:w="707" w:type="pct"/>
                  <w:shd w:val="clear" w:color="auto" w:fill="auto"/>
                  <w:vAlign w:val="center"/>
                </w:tcPr>
                <w:p w14:paraId="1094B5F9">
                  <w:pPr>
                    <w:jc w:val="center"/>
                    <w:outlineLvl w:val="9"/>
                    <w:rPr>
                      <w:color w:val="000000" w:themeColor="text1"/>
                      <w:szCs w:val="21"/>
                      <w14:textFill>
                        <w14:solidFill>
                          <w14:schemeClr w14:val="tx1"/>
                        </w14:solidFill>
                      </w14:textFill>
                    </w:rPr>
                  </w:pPr>
                  <w:bookmarkStart w:id="30" w:name="_Toc28268"/>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bookmarkEnd w:id="30"/>
                </w:p>
              </w:tc>
              <w:tc>
                <w:tcPr>
                  <w:tcW w:w="1754" w:type="pct"/>
                  <w:shd w:val="clear" w:color="auto" w:fill="auto"/>
                  <w:vAlign w:val="center"/>
                </w:tcPr>
                <w:p w14:paraId="264F21C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污水处理站加盖密闭，通过管道收集后经1套“UV光氧+活性炭吸附装置”（TA007）进行处理，处理达标后由1根15m高排气筒（DA007）排放</w:t>
                  </w:r>
                </w:p>
              </w:tc>
            </w:tr>
            <w:tr w14:paraId="1CB80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1F42B3AF">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62FC931B">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restart"/>
                  <w:shd w:val="clear" w:color="auto" w:fill="auto"/>
                  <w:vAlign w:val="center"/>
                </w:tcPr>
                <w:p w14:paraId="4E8F702A">
                  <w:pPr>
                    <w:tabs>
                      <w:tab w:val="left" w:pos="5250"/>
                    </w:tabs>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无组织</w:t>
                  </w:r>
                </w:p>
              </w:tc>
              <w:tc>
                <w:tcPr>
                  <w:tcW w:w="1316" w:type="pct"/>
                  <w:shd w:val="clear" w:color="auto" w:fill="auto"/>
                  <w:vAlign w:val="center"/>
                </w:tcPr>
                <w:p w14:paraId="7DF87768">
                  <w:pPr>
                    <w:jc w:val="center"/>
                    <w:outlineLvl w:val="9"/>
                    <w:rPr>
                      <w:color w:val="000000" w:themeColor="text1"/>
                      <w:szCs w:val="21"/>
                      <w14:textFill>
                        <w14:solidFill>
                          <w14:schemeClr w14:val="tx1"/>
                        </w14:solidFill>
                      </w14:textFill>
                    </w:rPr>
                  </w:pPr>
                  <w:bookmarkStart w:id="31" w:name="_Toc23559"/>
                  <w:r>
                    <w:rPr>
                      <w:rFonts w:hint="eastAsia"/>
                      <w:color w:val="000000" w:themeColor="text1"/>
                      <w:szCs w:val="21"/>
                      <w14:textFill>
                        <w14:solidFill>
                          <w14:schemeClr w14:val="tx1"/>
                        </w14:solidFill>
                      </w14:textFill>
                    </w:rPr>
                    <w:t>白酒、啤酒生产线辅料投料粉尘</w:t>
                  </w:r>
                  <w:bookmarkEnd w:id="31"/>
                </w:p>
              </w:tc>
              <w:tc>
                <w:tcPr>
                  <w:tcW w:w="707" w:type="pct"/>
                  <w:shd w:val="clear" w:color="auto" w:fill="auto"/>
                  <w:vAlign w:val="center"/>
                </w:tcPr>
                <w:p w14:paraId="4E9942B2">
                  <w:pPr>
                    <w:jc w:val="center"/>
                    <w:outlineLvl w:val="9"/>
                    <w:rPr>
                      <w:color w:val="000000" w:themeColor="text1"/>
                      <w:szCs w:val="21"/>
                      <w14:textFill>
                        <w14:solidFill>
                          <w14:schemeClr w14:val="tx1"/>
                        </w14:solidFill>
                      </w14:textFill>
                    </w:rPr>
                  </w:pPr>
                  <w:bookmarkStart w:id="32" w:name="_Toc19596"/>
                  <w:r>
                    <w:rPr>
                      <w:rFonts w:hint="eastAsia"/>
                      <w:color w:val="000000" w:themeColor="text1"/>
                      <w:szCs w:val="21"/>
                      <w14:textFill>
                        <w14:solidFill>
                          <w14:schemeClr w14:val="tx1"/>
                        </w14:solidFill>
                      </w14:textFill>
                    </w:rPr>
                    <w:t>颗粒物</w:t>
                  </w:r>
                  <w:bookmarkEnd w:id="32"/>
                </w:p>
              </w:tc>
              <w:tc>
                <w:tcPr>
                  <w:tcW w:w="1754" w:type="pct"/>
                  <w:vMerge w:val="restart"/>
                  <w:shd w:val="clear" w:color="auto" w:fill="auto"/>
                  <w:vAlign w:val="center"/>
                </w:tcPr>
                <w:p w14:paraId="7871AA16">
                  <w:pPr>
                    <w:jc w:val="center"/>
                    <w:rPr>
                      <w:color w:val="000000" w:themeColor="text1"/>
                      <w:spacing w:val="-16"/>
                      <w:szCs w:val="21"/>
                      <w14:textFill>
                        <w14:solidFill>
                          <w14:schemeClr w14:val="tx1"/>
                        </w14:solidFill>
                      </w14:textFill>
                    </w:rPr>
                  </w:pPr>
                  <w:r>
                    <w:rPr>
                      <w:color w:val="000000" w:themeColor="text1"/>
                      <w:szCs w:val="21"/>
                      <w14:textFill>
                        <w14:solidFill>
                          <w14:schemeClr w14:val="tx1"/>
                        </w14:solidFill>
                      </w14:textFill>
                    </w:rPr>
                    <w:t>车间密闭，定期对废气环保设备维护，保证废气收集效率</w:t>
                  </w:r>
                </w:p>
              </w:tc>
            </w:tr>
            <w:tr w14:paraId="45B08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D58A2C2">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0D520AF5">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1A0174EB">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411FDFD2">
                  <w:pPr>
                    <w:jc w:val="center"/>
                    <w:outlineLvl w:val="9"/>
                    <w:rPr>
                      <w:color w:val="000000" w:themeColor="text1"/>
                      <w:szCs w:val="21"/>
                      <w14:textFill>
                        <w14:solidFill>
                          <w14:schemeClr w14:val="tx1"/>
                        </w14:solidFill>
                      </w14:textFill>
                    </w:rPr>
                  </w:pPr>
                  <w:bookmarkStart w:id="33" w:name="_Toc23342"/>
                  <w:r>
                    <w:rPr>
                      <w:rFonts w:hint="eastAsia"/>
                      <w:color w:val="000000" w:themeColor="text1"/>
                      <w:szCs w:val="21"/>
                      <w14:textFill>
                        <w14:solidFill>
                          <w14:schemeClr w14:val="tx1"/>
                        </w14:solidFill>
                      </w14:textFill>
                    </w:rPr>
                    <w:t>白酒、啤酒以及植物饮料生产线原料投料、破碎工序和袋泡茶生产过程未收集粉尘</w:t>
                  </w:r>
                  <w:bookmarkEnd w:id="33"/>
                </w:p>
              </w:tc>
              <w:tc>
                <w:tcPr>
                  <w:tcW w:w="707" w:type="pct"/>
                  <w:shd w:val="clear" w:color="auto" w:fill="auto"/>
                  <w:vAlign w:val="center"/>
                </w:tcPr>
                <w:p w14:paraId="61A26791">
                  <w:pPr>
                    <w:jc w:val="center"/>
                    <w:outlineLvl w:val="9"/>
                    <w:rPr>
                      <w:color w:val="000000" w:themeColor="text1"/>
                      <w:szCs w:val="21"/>
                      <w14:textFill>
                        <w14:solidFill>
                          <w14:schemeClr w14:val="tx1"/>
                        </w14:solidFill>
                      </w14:textFill>
                    </w:rPr>
                  </w:pPr>
                  <w:bookmarkStart w:id="34" w:name="_Toc10792"/>
                  <w:r>
                    <w:rPr>
                      <w:rFonts w:hint="eastAsia"/>
                      <w:color w:val="000000" w:themeColor="text1"/>
                      <w:szCs w:val="21"/>
                      <w14:textFill>
                        <w14:solidFill>
                          <w14:schemeClr w14:val="tx1"/>
                        </w14:solidFill>
                      </w14:textFill>
                    </w:rPr>
                    <w:t>颗粒物</w:t>
                  </w:r>
                  <w:bookmarkEnd w:id="34"/>
                </w:p>
              </w:tc>
              <w:tc>
                <w:tcPr>
                  <w:tcW w:w="1754" w:type="pct"/>
                  <w:vMerge w:val="continue"/>
                  <w:vAlign w:val="center"/>
                </w:tcPr>
                <w:p w14:paraId="143868E4">
                  <w:pPr>
                    <w:snapToGrid w:val="0"/>
                    <w:jc w:val="center"/>
                    <w:rPr>
                      <w:color w:val="000000" w:themeColor="text1"/>
                      <w:szCs w:val="21"/>
                      <w14:textFill>
                        <w14:solidFill>
                          <w14:schemeClr w14:val="tx1"/>
                        </w14:solidFill>
                      </w14:textFill>
                    </w:rPr>
                  </w:pPr>
                </w:p>
              </w:tc>
            </w:tr>
            <w:tr w14:paraId="67082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59007D76">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0BDBD735">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2B6E871F">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4B924E38">
                  <w:pPr>
                    <w:jc w:val="center"/>
                    <w:outlineLvl w:val="9"/>
                    <w:rPr>
                      <w:color w:val="000000" w:themeColor="text1"/>
                      <w:szCs w:val="21"/>
                      <w14:textFill>
                        <w14:solidFill>
                          <w14:schemeClr w14:val="tx1"/>
                        </w14:solidFill>
                      </w14:textFill>
                    </w:rPr>
                  </w:pPr>
                  <w:bookmarkStart w:id="35" w:name="_Toc14924"/>
                  <w:r>
                    <w:rPr>
                      <w:rFonts w:hint="eastAsia"/>
                      <w:color w:val="000000" w:themeColor="text1"/>
                      <w:szCs w:val="21"/>
                      <w14:textFill>
                        <w14:solidFill>
                          <w14:schemeClr w14:val="tx1"/>
                        </w14:solidFill>
                      </w14:textFill>
                    </w:rPr>
                    <w:t>综合车间发酵工序废气</w:t>
                  </w:r>
                  <w:bookmarkEnd w:id="35"/>
                </w:p>
              </w:tc>
              <w:tc>
                <w:tcPr>
                  <w:tcW w:w="707" w:type="pct"/>
                  <w:shd w:val="clear" w:color="auto" w:fill="auto"/>
                  <w:vAlign w:val="center"/>
                </w:tcPr>
                <w:p w14:paraId="5392C6DF">
                  <w:pPr>
                    <w:jc w:val="center"/>
                    <w:outlineLvl w:val="9"/>
                    <w:rPr>
                      <w:color w:val="000000" w:themeColor="text1"/>
                      <w:szCs w:val="21"/>
                      <w14:textFill>
                        <w14:solidFill>
                          <w14:schemeClr w14:val="tx1"/>
                        </w14:solidFill>
                      </w14:textFill>
                    </w:rPr>
                  </w:pPr>
                  <w:bookmarkStart w:id="36" w:name="_Toc2461"/>
                  <w:r>
                    <w:rPr>
                      <w:rFonts w:hint="eastAsia"/>
                      <w:color w:val="000000" w:themeColor="text1"/>
                      <w:szCs w:val="21"/>
                      <w14:textFill>
                        <w14:solidFill>
                          <w14:schemeClr w14:val="tx1"/>
                        </w14:solidFill>
                      </w14:textFill>
                    </w:rPr>
                    <w:t>二氧化碳</w:t>
                  </w:r>
                  <w:bookmarkEnd w:id="36"/>
                </w:p>
              </w:tc>
              <w:tc>
                <w:tcPr>
                  <w:tcW w:w="1754" w:type="pct"/>
                  <w:vMerge w:val="continue"/>
                  <w:vAlign w:val="center"/>
                </w:tcPr>
                <w:p w14:paraId="44EEA60D">
                  <w:pPr>
                    <w:snapToGrid w:val="0"/>
                    <w:jc w:val="center"/>
                    <w:rPr>
                      <w:color w:val="000000" w:themeColor="text1"/>
                      <w:szCs w:val="21"/>
                      <w14:textFill>
                        <w14:solidFill>
                          <w14:schemeClr w14:val="tx1"/>
                        </w14:solidFill>
                      </w14:textFill>
                    </w:rPr>
                  </w:pPr>
                </w:p>
              </w:tc>
            </w:tr>
            <w:tr w14:paraId="38DD69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39610CF">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1489F15B">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79D8781D">
                  <w:pPr>
                    <w:snapToGrid w:val="0"/>
                    <w:jc w:val="center"/>
                    <w:rPr>
                      <w:color w:val="000000" w:themeColor="text1"/>
                      <w:szCs w:val="21"/>
                      <w14:textFill>
                        <w14:solidFill>
                          <w14:schemeClr w14:val="tx1"/>
                        </w14:solidFill>
                      </w14:textFill>
                    </w:rPr>
                  </w:pPr>
                </w:p>
              </w:tc>
              <w:tc>
                <w:tcPr>
                  <w:tcW w:w="1316" w:type="pct"/>
                  <w:shd w:val="clear" w:color="auto" w:fill="auto"/>
                  <w:vAlign w:val="center"/>
                </w:tcPr>
                <w:p w14:paraId="0FD575E3">
                  <w:pPr>
                    <w:jc w:val="center"/>
                    <w:outlineLvl w:val="9"/>
                    <w:rPr>
                      <w:color w:val="000000" w:themeColor="text1"/>
                      <w:szCs w:val="21"/>
                      <w14:textFill>
                        <w14:solidFill>
                          <w14:schemeClr w14:val="tx1"/>
                        </w14:solidFill>
                      </w14:textFill>
                    </w:rPr>
                  </w:pPr>
                  <w:bookmarkStart w:id="37" w:name="_Toc30625"/>
                  <w:r>
                    <w:rPr>
                      <w:rFonts w:hint="eastAsia"/>
                      <w:color w:val="000000" w:themeColor="text1"/>
                      <w:szCs w:val="21"/>
                      <w14:textFill>
                        <w14:solidFill>
                          <w14:schemeClr w14:val="tx1"/>
                        </w14:solidFill>
                      </w14:textFill>
                    </w:rPr>
                    <w:t>白酒储存过程产生的废气</w:t>
                  </w:r>
                  <w:bookmarkEnd w:id="37"/>
                </w:p>
              </w:tc>
              <w:tc>
                <w:tcPr>
                  <w:tcW w:w="707" w:type="pct"/>
                  <w:shd w:val="clear" w:color="auto" w:fill="auto"/>
                  <w:vAlign w:val="center"/>
                </w:tcPr>
                <w:p w14:paraId="51FFA2DD">
                  <w:pPr>
                    <w:jc w:val="center"/>
                    <w:outlineLvl w:val="9"/>
                    <w:rPr>
                      <w:color w:val="000000" w:themeColor="text1"/>
                      <w:szCs w:val="21"/>
                      <w14:textFill>
                        <w14:solidFill>
                          <w14:schemeClr w14:val="tx1"/>
                        </w14:solidFill>
                      </w14:textFill>
                    </w:rPr>
                  </w:pPr>
                  <w:bookmarkStart w:id="38" w:name="_Toc18458"/>
                  <w:r>
                    <w:rPr>
                      <w:rFonts w:hint="eastAsia"/>
                      <w:color w:val="000000" w:themeColor="text1"/>
                      <w:szCs w:val="21"/>
                      <w14:textFill>
                        <w14:solidFill>
                          <w14:schemeClr w14:val="tx1"/>
                        </w14:solidFill>
                      </w14:textFill>
                    </w:rPr>
                    <w:t>非甲烷总烃</w:t>
                  </w:r>
                  <w:bookmarkEnd w:id="38"/>
                </w:p>
              </w:tc>
              <w:tc>
                <w:tcPr>
                  <w:tcW w:w="1754" w:type="pct"/>
                  <w:vMerge w:val="continue"/>
                  <w:vAlign w:val="center"/>
                </w:tcPr>
                <w:p w14:paraId="5670E6B6">
                  <w:pPr>
                    <w:snapToGrid w:val="0"/>
                    <w:jc w:val="center"/>
                    <w:rPr>
                      <w:color w:val="000000" w:themeColor="text1"/>
                      <w:spacing w:val="-16"/>
                      <w:szCs w:val="21"/>
                      <w14:textFill>
                        <w14:solidFill>
                          <w14:schemeClr w14:val="tx1"/>
                        </w14:solidFill>
                      </w14:textFill>
                    </w:rPr>
                  </w:pPr>
                </w:p>
              </w:tc>
            </w:tr>
            <w:tr w14:paraId="01800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6A505AD6">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7873A247">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7B06608A">
                  <w:pPr>
                    <w:snapToGrid w:val="0"/>
                    <w:jc w:val="center"/>
                    <w:rPr>
                      <w:color w:val="000000" w:themeColor="text1"/>
                      <w:szCs w:val="21"/>
                      <w14:textFill>
                        <w14:solidFill>
                          <w14:schemeClr w14:val="tx1"/>
                        </w14:solidFill>
                      </w14:textFill>
                    </w:rPr>
                  </w:pPr>
                </w:p>
              </w:tc>
              <w:tc>
                <w:tcPr>
                  <w:tcW w:w="1316" w:type="pct"/>
                  <w:shd w:val="clear" w:color="auto" w:fill="auto"/>
                  <w:vAlign w:val="center"/>
                </w:tcPr>
                <w:p w14:paraId="2534C5F2">
                  <w:pPr>
                    <w:jc w:val="center"/>
                    <w:outlineLvl w:val="9"/>
                    <w:rPr>
                      <w:color w:val="000000" w:themeColor="text1"/>
                      <w:szCs w:val="21"/>
                      <w14:textFill>
                        <w14:solidFill>
                          <w14:schemeClr w14:val="tx1"/>
                        </w14:solidFill>
                      </w14:textFill>
                    </w:rPr>
                  </w:pPr>
                  <w:bookmarkStart w:id="39" w:name="_Toc15311"/>
                  <w:r>
                    <w:rPr>
                      <w:rFonts w:hint="eastAsia"/>
                      <w:color w:val="000000" w:themeColor="text1"/>
                      <w:kern w:val="52"/>
                      <w14:textFill>
                        <w14:solidFill>
                          <w14:schemeClr w14:val="tx1"/>
                        </w14:solidFill>
                      </w14:textFill>
                    </w:rPr>
                    <w:t>黄酒生产线原辅料投料过程粉尘</w:t>
                  </w:r>
                  <w:bookmarkEnd w:id="39"/>
                </w:p>
              </w:tc>
              <w:tc>
                <w:tcPr>
                  <w:tcW w:w="707" w:type="pct"/>
                  <w:shd w:val="clear" w:color="auto" w:fill="auto"/>
                  <w:vAlign w:val="center"/>
                </w:tcPr>
                <w:p w14:paraId="26085EDD">
                  <w:pPr>
                    <w:jc w:val="center"/>
                    <w:outlineLvl w:val="9"/>
                    <w:rPr>
                      <w:color w:val="000000" w:themeColor="text1"/>
                      <w:szCs w:val="21"/>
                      <w14:textFill>
                        <w14:solidFill>
                          <w14:schemeClr w14:val="tx1"/>
                        </w14:solidFill>
                      </w14:textFill>
                    </w:rPr>
                  </w:pPr>
                  <w:bookmarkStart w:id="40" w:name="_Toc21313"/>
                  <w:r>
                    <w:rPr>
                      <w:rFonts w:hint="eastAsia"/>
                      <w:color w:val="000000" w:themeColor="text1"/>
                      <w:szCs w:val="21"/>
                      <w14:textFill>
                        <w14:solidFill>
                          <w14:schemeClr w14:val="tx1"/>
                        </w14:solidFill>
                      </w14:textFill>
                    </w:rPr>
                    <w:t>颗粒物</w:t>
                  </w:r>
                  <w:bookmarkEnd w:id="40"/>
                </w:p>
              </w:tc>
              <w:tc>
                <w:tcPr>
                  <w:tcW w:w="1754" w:type="pct"/>
                  <w:vAlign w:val="center"/>
                </w:tcPr>
                <w:p w14:paraId="442A94C4">
                  <w:pPr>
                    <w:jc w:val="center"/>
                    <w:rPr>
                      <w:color w:val="000000" w:themeColor="text1"/>
                      <w:spacing w:val="-16"/>
                      <w:szCs w:val="21"/>
                      <w14:textFill>
                        <w14:solidFill>
                          <w14:schemeClr w14:val="tx1"/>
                        </w14:solidFill>
                      </w14:textFill>
                    </w:rPr>
                  </w:pPr>
                  <w:r>
                    <w:rPr>
                      <w:color w:val="000000" w:themeColor="text1"/>
                      <w:szCs w:val="21"/>
                      <w14:textFill>
                        <w14:solidFill>
                          <w14:schemeClr w14:val="tx1"/>
                        </w14:solidFill>
                      </w14:textFill>
                    </w:rPr>
                    <w:t>车间密闭</w:t>
                  </w:r>
                </w:p>
              </w:tc>
            </w:tr>
            <w:tr w14:paraId="026AC1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69A1EC3C">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1227E990">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596B9BCC">
                  <w:pPr>
                    <w:snapToGrid w:val="0"/>
                    <w:jc w:val="center"/>
                    <w:rPr>
                      <w:color w:val="000000" w:themeColor="text1"/>
                      <w:szCs w:val="21"/>
                      <w14:textFill>
                        <w14:solidFill>
                          <w14:schemeClr w14:val="tx1"/>
                        </w14:solidFill>
                      </w14:textFill>
                    </w:rPr>
                  </w:pPr>
                </w:p>
              </w:tc>
              <w:tc>
                <w:tcPr>
                  <w:tcW w:w="1316" w:type="pct"/>
                  <w:shd w:val="clear" w:color="auto" w:fill="auto"/>
                  <w:vAlign w:val="center"/>
                </w:tcPr>
                <w:p w14:paraId="12B08EC5">
                  <w:pPr>
                    <w:jc w:val="center"/>
                    <w:outlineLvl w:val="9"/>
                    <w:rPr>
                      <w:color w:val="000000" w:themeColor="text1"/>
                      <w:szCs w:val="21"/>
                      <w14:textFill>
                        <w14:solidFill>
                          <w14:schemeClr w14:val="tx1"/>
                        </w14:solidFill>
                      </w14:textFill>
                    </w:rPr>
                  </w:pPr>
                  <w:bookmarkStart w:id="41" w:name="_Toc3945"/>
                  <w:r>
                    <w:rPr>
                      <w:rFonts w:hint="eastAsia"/>
                      <w:color w:val="000000" w:themeColor="text1"/>
                      <w:kern w:val="52"/>
                      <w14:textFill>
                        <w14:solidFill>
                          <w14:schemeClr w14:val="tx1"/>
                        </w14:solidFill>
                      </w14:textFill>
                    </w:rPr>
                    <w:t>封坛发酵车间废气</w:t>
                  </w:r>
                  <w:bookmarkEnd w:id="41"/>
                </w:p>
              </w:tc>
              <w:tc>
                <w:tcPr>
                  <w:tcW w:w="707" w:type="pct"/>
                  <w:shd w:val="clear" w:color="auto" w:fill="auto"/>
                  <w:vAlign w:val="center"/>
                </w:tcPr>
                <w:p w14:paraId="51D57CDF">
                  <w:pPr>
                    <w:jc w:val="center"/>
                    <w:outlineLvl w:val="9"/>
                    <w:rPr>
                      <w:color w:val="000000" w:themeColor="text1"/>
                      <w:szCs w:val="21"/>
                      <w14:textFill>
                        <w14:solidFill>
                          <w14:schemeClr w14:val="tx1"/>
                        </w14:solidFill>
                      </w14:textFill>
                    </w:rPr>
                  </w:pPr>
                  <w:bookmarkStart w:id="42" w:name="_Toc1256"/>
                  <w:r>
                    <w:rPr>
                      <w:rFonts w:hint="eastAsia"/>
                      <w:color w:val="000000" w:themeColor="text1"/>
                      <w:szCs w:val="21"/>
                      <w14:textFill>
                        <w14:solidFill>
                          <w14:schemeClr w14:val="tx1"/>
                        </w14:solidFill>
                      </w14:textFill>
                    </w:rPr>
                    <w:t>二氧化碳</w:t>
                  </w:r>
                  <w:bookmarkEnd w:id="42"/>
                </w:p>
              </w:tc>
              <w:tc>
                <w:tcPr>
                  <w:tcW w:w="1754" w:type="pct"/>
                  <w:vAlign w:val="center"/>
                </w:tcPr>
                <w:p w14:paraId="4D4BA636">
                  <w:pPr>
                    <w:jc w:val="center"/>
                    <w:rPr>
                      <w:color w:val="000000" w:themeColor="text1"/>
                      <w:spacing w:val="-16"/>
                      <w:szCs w:val="21"/>
                      <w14:textFill>
                        <w14:solidFill>
                          <w14:schemeClr w14:val="tx1"/>
                        </w14:solidFill>
                      </w14:textFill>
                    </w:rPr>
                  </w:pPr>
                  <w:r>
                    <w:rPr>
                      <w:color w:val="000000" w:themeColor="text1"/>
                      <w:szCs w:val="21"/>
                      <w14:textFill>
                        <w14:solidFill>
                          <w14:schemeClr w14:val="tx1"/>
                        </w14:solidFill>
                      </w14:textFill>
                    </w:rPr>
                    <w:t>车间密闭</w:t>
                  </w:r>
                </w:p>
              </w:tc>
            </w:tr>
            <w:tr w14:paraId="2E1B2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714F091F">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73511A6A">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16F62DA2">
                  <w:pPr>
                    <w:snapToGrid w:val="0"/>
                    <w:jc w:val="center"/>
                    <w:rPr>
                      <w:color w:val="000000" w:themeColor="text1"/>
                      <w:szCs w:val="21"/>
                      <w14:textFill>
                        <w14:solidFill>
                          <w14:schemeClr w14:val="tx1"/>
                        </w14:solidFill>
                      </w14:textFill>
                    </w:rPr>
                  </w:pPr>
                </w:p>
              </w:tc>
              <w:tc>
                <w:tcPr>
                  <w:tcW w:w="1316" w:type="pct"/>
                  <w:shd w:val="clear" w:color="auto" w:fill="auto"/>
                  <w:vAlign w:val="center"/>
                </w:tcPr>
                <w:p w14:paraId="075D96E8">
                  <w:pPr>
                    <w:jc w:val="center"/>
                    <w:outlineLvl w:val="9"/>
                    <w:rPr>
                      <w:color w:val="000000" w:themeColor="text1"/>
                      <w:szCs w:val="21"/>
                      <w14:textFill>
                        <w14:solidFill>
                          <w14:schemeClr w14:val="tx1"/>
                        </w14:solidFill>
                      </w14:textFill>
                    </w:rPr>
                  </w:pPr>
                  <w:bookmarkStart w:id="43" w:name="_Toc21044"/>
                  <w:r>
                    <w:rPr>
                      <w:rFonts w:hint="eastAsia"/>
                      <w:color w:val="000000" w:themeColor="text1"/>
                      <w:kern w:val="52"/>
                      <w14:textFill>
                        <w14:solidFill>
                          <w14:schemeClr w14:val="tx1"/>
                        </w14:solidFill>
                      </w14:textFill>
                    </w:rPr>
                    <w:t>封坛区域废气</w:t>
                  </w:r>
                  <w:bookmarkEnd w:id="43"/>
                </w:p>
              </w:tc>
              <w:tc>
                <w:tcPr>
                  <w:tcW w:w="707" w:type="pct"/>
                  <w:shd w:val="clear" w:color="auto" w:fill="auto"/>
                  <w:vAlign w:val="center"/>
                </w:tcPr>
                <w:p w14:paraId="6C4E370A">
                  <w:pPr>
                    <w:jc w:val="center"/>
                    <w:outlineLvl w:val="9"/>
                    <w:rPr>
                      <w:color w:val="000000" w:themeColor="text1"/>
                      <w:szCs w:val="21"/>
                      <w14:textFill>
                        <w14:solidFill>
                          <w14:schemeClr w14:val="tx1"/>
                        </w14:solidFill>
                      </w14:textFill>
                    </w:rPr>
                  </w:pPr>
                  <w:bookmarkStart w:id="44" w:name="_Toc7650"/>
                  <w:r>
                    <w:rPr>
                      <w:rFonts w:hint="eastAsia"/>
                      <w:color w:val="000000" w:themeColor="text1"/>
                      <w:szCs w:val="21"/>
                      <w14:textFill>
                        <w14:solidFill>
                          <w14:schemeClr w14:val="tx1"/>
                        </w14:solidFill>
                      </w14:textFill>
                    </w:rPr>
                    <w:t>二氧化碳</w:t>
                  </w:r>
                  <w:bookmarkEnd w:id="44"/>
                </w:p>
              </w:tc>
              <w:tc>
                <w:tcPr>
                  <w:tcW w:w="1754" w:type="pct"/>
                  <w:vAlign w:val="center"/>
                </w:tcPr>
                <w:p w14:paraId="6FC84368">
                  <w:pPr>
                    <w:jc w:val="center"/>
                    <w:rPr>
                      <w:color w:val="000000" w:themeColor="text1"/>
                      <w:spacing w:val="-16"/>
                      <w:szCs w:val="21"/>
                      <w14:textFill>
                        <w14:solidFill>
                          <w14:schemeClr w14:val="tx1"/>
                        </w14:solidFill>
                      </w14:textFill>
                    </w:rPr>
                  </w:pPr>
                  <w:r>
                    <w:rPr>
                      <w:color w:val="000000" w:themeColor="text1"/>
                      <w:szCs w:val="21"/>
                      <w14:textFill>
                        <w14:solidFill>
                          <w14:schemeClr w14:val="tx1"/>
                        </w14:solidFill>
                      </w14:textFill>
                    </w:rPr>
                    <w:t>车间密闭</w:t>
                  </w:r>
                </w:p>
              </w:tc>
            </w:tr>
            <w:tr w14:paraId="2D2B4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1C0DF3B2">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0E0A19F7">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6B1EA1EF">
                  <w:pPr>
                    <w:snapToGrid w:val="0"/>
                    <w:jc w:val="center"/>
                    <w:rPr>
                      <w:color w:val="000000" w:themeColor="text1"/>
                      <w:szCs w:val="21"/>
                      <w14:textFill>
                        <w14:solidFill>
                          <w14:schemeClr w14:val="tx1"/>
                        </w14:solidFill>
                      </w14:textFill>
                    </w:rPr>
                  </w:pPr>
                </w:p>
              </w:tc>
              <w:tc>
                <w:tcPr>
                  <w:tcW w:w="1316" w:type="pct"/>
                  <w:shd w:val="clear" w:color="auto" w:fill="auto"/>
                  <w:vAlign w:val="center"/>
                </w:tcPr>
                <w:p w14:paraId="6257E953">
                  <w:pPr>
                    <w:jc w:val="center"/>
                    <w:outlineLvl w:val="9"/>
                    <w:rPr>
                      <w:color w:val="000000" w:themeColor="text1"/>
                      <w:szCs w:val="21"/>
                      <w14:textFill>
                        <w14:solidFill>
                          <w14:schemeClr w14:val="tx1"/>
                        </w14:solidFill>
                      </w14:textFill>
                    </w:rPr>
                  </w:pPr>
                  <w:bookmarkStart w:id="45" w:name="_Toc10584"/>
                  <w:r>
                    <w:rPr>
                      <w:rFonts w:hint="eastAsia"/>
                      <w:color w:val="000000" w:themeColor="text1"/>
                      <w:szCs w:val="21"/>
                      <w14:textFill>
                        <w14:solidFill>
                          <w14:schemeClr w14:val="tx1"/>
                        </w14:solidFill>
                      </w14:textFill>
                    </w:rPr>
                    <w:t>医用手术衣生产线超声波缝合工序废气</w:t>
                  </w:r>
                  <w:bookmarkEnd w:id="45"/>
                </w:p>
              </w:tc>
              <w:tc>
                <w:tcPr>
                  <w:tcW w:w="707" w:type="pct"/>
                  <w:shd w:val="clear" w:color="auto" w:fill="auto"/>
                  <w:vAlign w:val="center"/>
                </w:tcPr>
                <w:p w14:paraId="27E4C074">
                  <w:pPr>
                    <w:jc w:val="center"/>
                    <w:outlineLvl w:val="9"/>
                    <w:rPr>
                      <w:color w:val="000000" w:themeColor="text1"/>
                      <w:szCs w:val="21"/>
                      <w14:textFill>
                        <w14:solidFill>
                          <w14:schemeClr w14:val="tx1"/>
                        </w14:solidFill>
                      </w14:textFill>
                    </w:rPr>
                  </w:pPr>
                  <w:bookmarkStart w:id="46" w:name="_Toc24555"/>
                  <w:r>
                    <w:rPr>
                      <w:rFonts w:hint="eastAsia"/>
                      <w:color w:val="000000" w:themeColor="text1"/>
                      <w:szCs w:val="21"/>
                      <w14:textFill>
                        <w14:solidFill>
                          <w14:schemeClr w14:val="tx1"/>
                        </w14:solidFill>
                      </w14:textFill>
                    </w:rPr>
                    <w:t>非甲烷总烃</w:t>
                  </w:r>
                  <w:bookmarkEnd w:id="46"/>
                </w:p>
              </w:tc>
              <w:tc>
                <w:tcPr>
                  <w:tcW w:w="1754" w:type="pct"/>
                  <w:vMerge w:val="restart"/>
                  <w:shd w:val="clear" w:color="auto" w:fill="auto"/>
                  <w:vAlign w:val="center"/>
                </w:tcPr>
                <w:p w14:paraId="03DDC460">
                  <w:pPr>
                    <w:jc w:val="center"/>
                    <w:rPr>
                      <w:rFonts w:hint="eastAsia" w:eastAsia="宋体"/>
                      <w:bCs/>
                      <w:color w:val="000000" w:themeColor="text1"/>
                      <w:szCs w:val="21"/>
                      <w:lang w:val="en-GB" w:eastAsia="zh-CN"/>
                      <w14:textFill>
                        <w14:solidFill>
                          <w14:schemeClr w14:val="tx1"/>
                        </w14:solidFill>
                      </w14:textFill>
                    </w:rPr>
                  </w:pPr>
                  <w:r>
                    <w:rPr>
                      <w:rFonts w:hint="eastAsia"/>
                      <w:color w:val="000000" w:themeColor="text1"/>
                      <w:szCs w:val="21"/>
                      <w:lang w:eastAsia="zh-CN"/>
                      <w14:textFill>
                        <w14:solidFill>
                          <w14:schemeClr w14:val="tx1"/>
                        </w14:solidFill>
                      </w14:textFill>
                    </w:rPr>
                    <w:t>车间产生的废气经循环净风（采用三级过滤器+活性炭吸附装置）净化后循环利用，不外排</w:t>
                  </w:r>
                </w:p>
              </w:tc>
            </w:tr>
            <w:tr w14:paraId="1E7C1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2D9B9372">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550A348D">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71361C44">
                  <w:pPr>
                    <w:snapToGrid w:val="0"/>
                    <w:jc w:val="center"/>
                    <w:rPr>
                      <w:color w:val="000000" w:themeColor="text1"/>
                      <w:szCs w:val="21"/>
                      <w14:textFill>
                        <w14:solidFill>
                          <w14:schemeClr w14:val="tx1"/>
                        </w14:solidFill>
                      </w14:textFill>
                    </w:rPr>
                  </w:pPr>
                </w:p>
              </w:tc>
              <w:tc>
                <w:tcPr>
                  <w:tcW w:w="1316" w:type="pct"/>
                  <w:shd w:val="clear" w:color="auto" w:fill="auto"/>
                  <w:vAlign w:val="center"/>
                </w:tcPr>
                <w:p w14:paraId="6D9F1BBA">
                  <w:pPr>
                    <w:jc w:val="center"/>
                    <w:outlineLvl w:val="9"/>
                    <w:rPr>
                      <w:color w:val="000000" w:themeColor="text1"/>
                      <w:szCs w:val="21"/>
                      <w14:textFill>
                        <w14:solidFill>
                          <w14:schemeClr w14:val="tx1"/>
                        </w14:solidFill>
                      </w14:textFill>
                    </w:rPr>
                  </w:pPr>
                  <w:bookmarkStart w:id="47" w:name="_Toc1027"/>
                  <w:r>
                    <w:rPr>
                      <w:rFonts w:hint="eastAsia"/>
                      <w:color w:val="000000" w:themeColor="text1"/>
                      <w:szCs w:val="21"/>
                      <w14:textFill>
                        <w14:solidFill>
                          <w14:schemeClr w14:val="tx1"/>
                        </w14:solidFill>
                      </w14:textFill>
                    </w:rPr>
                    <w:t>治疗凝胶生产线乳化工序未收集的废气</w:t>
                  </w:r>
                  <w:bookmarkEnd w:id="47"/>
                </w:p>
              </w:tc>
              <w:tc>
                <w:tcPr>
                  <w:tcW w:w="707" w:type="pct"/>
                  <w:shd w:val="clear" w:color="auto" w:fill="auto"/>
                  <w:vAlign w:val="center"/>
                </w:tcPr>
                <w:p w14:paraId="72FF5F35">
                  <w:pPr>
                    <w:jc w:val="center"/>
                    <w:outlineLvl w:val="9"/>
                    <w:rPr>
                      <w:color w:val="000000" w:themeColor="text1"/>
                      <w:szCs w:val="21"/>
                      <w14:textFill>
                        <w14:solidFill>
                          <w14:schemeClr w14:val="tx1"/>
                        </w14:solidFill>
                      </w14:textFill>
                    </w:rPr>
                  </w:pPr>
                  <w:bookmarkStart w:id="48" w:name="_Toc2102"/>
                  <w:r>
                    <w:rPr>
                      <w:rFonts w:hint="eastAsia"/>
                      <w:color w:val="000000" w:themeColor="text1"/>
                      <w:szCs w:val="21"/>
                      <w14:textFill>
                        <w14:solidFill>
                          <w14:schemeClr w14:val="tx1"/>
                        </w14:solidFill>
                      </w14:textFill>
                    </w:rPr>
                    <w:t>非甲烷总烃</w:t>
                  </w:r>
                  <w:bookmarkEnd w:id="48"/>
                </w:p>
              </w:tc>
              <w:tc>
                <w:tcPr>
                  <w:tcW w:w="1754" w:type="pct"/>
                  <w:vMerge w:val="continue"/>
                  <w:vAlign w:val="center"/>
                </w:tcPr>
                <w:p w14:paraId="0F42B84E">
                  <w:pPr>
                    <w:snapToGrid w:val="0"/>
                    <w:jc w:val="center"/>
                    <w:rPr>
                      <w:color w:val="000000" w:themeColor="text1"/>
                      <w:spacing w:val="-16"/>
                      <w:szCs w:val="21"/>
                      <w14:textFill>
                        <w14:solidFill>
                          <w14:schemeClr w14:val="tx1"/>
                        </w14:solidFill>
                      </w14:textFill>
                    </w:rPr>
                  </w:pPr>
                </w:p>
              </w:tc>
            </w:tr>
            <w:tr w14:paraId="1B8CC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21DABD83">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2F9131A4">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0C808FE7">
                  <w:pPr>
                    <w:snapToGrid w:val="0"/>
                    <w:jc w:val="center"/>
                    <w:rPr>
                      <w:color w:val="000000" w:themeColor="text1"/>
                      <w:szCs w:val="21"/>
                      <w14:textFill>
                        <w14:solidFill>
                          <w14:schemeClr w14:val="tx1"/>
                        </w14:solidFill>
                      </w14:textFill>
                    </w:rPr>
                  </w:pPr>
                </w:p>
              </w:tc>
              <w:tc>
                <w:tcPr>
                  <w:tcW w:w="1316" w:type="pct"/>
                  <w:shd w:val="clear" w:color="auto" w:fill="auto"/>
                  <w:vAlign w:val="center"/>
                </w:tcPr>
                <w:p w14:paraId="3580F0BD">
                  <w:pPr>
                    <w:jc w:val="center"/>
                    <w:outlineLvl w:val="9"/>
                    <w:rPr>
                      <w:color w:val="000000" w:themeColor="text1"/>
                      <w:szCs w:val="21"/>
                      <w14:textFill>
                        <w14:solidFill>
                          <w14:schemeClr w14:val="tx1"/>
                        </w14:solidFill>
                      </w14:textFill>
                    </w:rPr>
                  </w:pPr>
                  <w:bookmarkStart w:id="49" w:name="_Toc4696"/>
                  <w:r>
                    <w:rPr>
                      <w:rFonts w:hint="eastAsia"/>
                      <w:color w:val="000000" w:themeColor="text1"/>
                      <w:szCs w:val="21"/>
                      <w14:textFill>
                        <w14:solidFill>
                          <w14:schemeClr w14:val="tx1"/>
                        </w14:solidFill>
                      </w14:textFill>
                    </w:rPr>
                    <w:t>热敷理疗产品上料工序未收集的粉尘</w:t>
                  </w:r>
                  <w:bookmarkEnd w:id="49"/>
                </w:p>
              </w:tc>
              <w:tc>
                <w:tcPr>
                  <w:tcW w:w="707" w:type="pct"/>
                  <w:shd w:val="clear" w:color="auto" w:fill="auto"/>
                  <w:vAlign w:val="center"/>
                </w:tcPr>
                <w:p w14:paraId="4CB0923C">
                  <w:pPr>
                    <w:jc w:val="center"/>
                    <w:outlineLvl w:val="9"/>
                    <w:rPr>
                      <w:color w:val="000000" w:themeColor="text1"/>
                      <w:szCs w:val="21"/>
                      <w14:textFill>
                        <w14:solidFill>
                          <w14:schemeClr w14:val="tx1"/>
                        </w14:solidFill>
                      </w14:textFill>
                    </w:rPr>
                  </w:pPr>
                  <w:bookmarkStart w:id="50" w:name="_Toc14128"/>
                  <w:r>
                    <w:rPr>
                      <w:rFonts w:hint="eastAsia"/>
                      <w:color w:val="000000" w:themeColor="text1"/>
                      <w:szCs w:val="21"/>
                      <w14:textFill>
                        <w14:solidFill>
                          <w14:schemeClr w14:val="tx1"/>
                        </w14:solidFill>
                      </w14:textFill>
                    </w:rPr>
                    <w:t>颗粒物</w:t>
                  </w:r>
                  <w:bookmarkEnd w:id="50"/>
                </w:p>
              </w:tc>
              <w:tc>
                <w:tcPr>
                  <w:tcW w:w="1754" w:type="pct"/>
                  <w:vMerge w:val="restart"/>
                  <w:vAlign w:val="center"/>
                </w:tcPr>
                <w:p w14:paraId="73F24AA4">
                  <w:pPr>
                    <w:snapToGrid w:val="0"/>
                    <w:jc w:val="center"/>
                    <w:rPr>
                      <w:rFonts w:hint="eastAsia" w:eastAsia="宋体"/>
                      <w:color w:val="000000" w:themeColor="text1"/>
                      <w:spacing w:val="-16"/>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车间产生的废气经循环净风（采用三级过滤器+活性炭吸附装置）净化后循环利用，不外排</w:t>
                  </w:r>
                </w:p>
              </w:tc>
            </w:tr>
            <w:tr w14:paraId="6622B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70848E0">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13DFDD26">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438FFB31">
                  <w:pPr>
                    <w:snapToGrid w:val="0"/>
                    <w:jc w:val="center"/>
                    <w:rPr>
                      <w:color w:val="000000" w:themeColor="text1"/>
                      <w:szCs w:val="21"/>
                      <w14:textFill>
                        <w14:solidFill>
                          <w14:schemeClr w14:val="tx1"/>
                        </w14:solidFill>
                      </w14:textFill>
                    </w:rPr>
                  </w:pPr>
                </w:p>
              </w:tc>
              <w:tc>
                <w:tcPr>
                  <w:tcW w:w="1316" w:type="pct"/>
                  <w:shd w:val="clear" w:color="auto" w:fill="auto"/>
                  <w:vAlign w:val="center"/>
                </w:tcPr>
                <w:p w14:paraId="5B44BA15">
                  <w:pPr>
                    <w:jc w:val="center"/>
                    <w:outlineLvl w:val="9"/>
                    <w:rPr>
                      <w:color w:val="000000" w:themeColor="text1"/>
                      <w:szCs w:val="21"/>
                      <w14:textFill>
                        <w14:solidFill>
                          <w14:schemeClr w14:val="tx1"/>
                        </w14:solidFill>
                      </w14:textFill>
                    </w:rPr>
                  </w:pPr>
                  <w:bookmarkStart w:id="51" w:name="_Toc10398"/>
                  <w:r>
                    <w:rPr>
                      <w:rFonts w:hint="eastAsia"/>
                      <w:color w:val="000000" w:themeColor="text1"/>
                      <w:szCs w:val="21"/>
                      <w14:textFill>
                        <w14:solidFill>
                          <w14:schemeClr w14:val="tx1"/>
                        </w14:solidFill>
                      </w14:textFill>
                    </w:rPr>
                    <w:t>热敷理疗产品超声波点焊废气</w:t>
                  </w:r>
                  <w:bookmarkEnd w:id="51"/>
                </w:p>
              </w:tc>
              <w:tc>
                <w:tcPr>
                  <w:tcW w:w="707" w:type="pct"/>
                  <w:shd w:val="clear" w:color="auto" w:fill="auto"/>
                  <w:vAlign w:val="center"/>
                </w:tcPr>
                <w:p w14:paraId="63AE7207">
                  <w:pPr>
                    <w:jc w:val="center"/>
                    <w:outlineLvl w:val="9"/>
                    <w:rPr>
                      <w:color w:val="000000" w:themeColor="text1"/>
                      <w:szCs w:val="21"/>
                      <w14:textFill>
                        <w14:solidFill>
                          <w14:schemeClr w14:val="tx1"/>
                        </w14:solidFill>
                      </w14:textFill>
                    </w:rPr>
                  </w:pPr>
                  <w:bookmarkStart w:id="52" w:name="_Toc30566"/>
                  <w:r>
                    <w:rPr>
                      <w:rFonts w:hint="eastAsia"/>
                      <w:color w:val="000000" w:themeColor="text1"/>
                      <w:szCs w:val="21"/>
                      <w14:textFill>
                        <w14:solidFill>
                          <w14:schemeClr w14:val="tx1"/>
                        </w14:solidFill>
                      </w14:textFill>
                    </w:rPr>
                    <w:t>非甲烷总烃</w:t>
                  </w:r>
                  <w:bookmarkEnd w:id="52"/>
                </w:p>
              </w:tc>
              <w:tc>
                <w:tcPr>
                  <w:tcW w:w="1754" w:type="pct"/>
                  <w:vMerge w:val="continue"/>
                  <w:vAlign w:val="center"/>
                </w:tcPr>
                <w:p w14:paraId="157CDDA7">
                  <w:pPr>
                    <w:snapToGrid w:val="0"/>
                    <w:jc w:val="center"/>
                    <w:rPr>
                      <w:color w:val="000000" w:themeColor="text1"/>
                      <w:spacing w:val="-16"/>
                      <w:szCs w:val="21"/>
                      <w14:textFill>
                        <w14:solidFill>
                          <w14:schemeClr w14:val="tx1"/>
                        </w14:solidFill>
                      </w14:textFill>
                    </w:rPr>
                  </w:pPr>
                </w:p>
              </w:tc>
            </w:tr>
            <w:tr w14:paraId="0DCCA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4B2299A4">
                  <w:pPr>
                    <w:tabs>
                      <w:tab w:val="left" w:pos="5250"/>
                    </w:tabs>
                    <w:adjustRightInd w:val="0"/>
                    <w:snapToGrid w:val="0"/>
                    <w:jc w:val="center"/>
                    <w:rPr>
                      <w:bCs/>
                      <w:color w:val="000000" w:themeColor="text1"/>
                      <w:szCs w:val="21"/>
                      <w14:textFill>
                        <w14:solidFill>
                          <w14:schemeClr w14:val="tx1"/>
                        </w14:solidFill>
                      </w14:textFill>
                    </w:rPr>
                  </w:pPr>
                </w:p>
              </w:tc>
              <w:tc>
                <w:tcPr>
                  <w:tcW w:w="651" w:type="pct"/>
                  <w:vMerge w:val="continue"/>
                  <w:vAlign w:val="center"/>
                </w:tcPr>
                <w:p w14:paraId="1A28603A">
                  <w:pPr>
                    <w:tabs>
                      <w:tab w:val="left" w:pos="5250"/>
                    </w:tabs>
                    <w:adjustRightInd w:val="0"/>
                    <w:snapToGrid w:val="0"/>
                    <w:jc w:val="center"/>
                    <w:rPr>
                      <w:bCs/>
                      <w:color w:val="000000" w:themeColor="text1"/>
                      <w:szCs w:val="21"/>
                      <w14:textFill>
                        <w14:solidFill>
                          <w14:schemeClr w14:val="tx1"/>
                        </w14:solidFill>
                      </w14:textFill>
                    </w:rPr>
                  </w:pPr>
                </w:p>
              </w:tc>
              <w:tc>
                <w:tcPr>
                  <w:tcW w:w="197" w:type="pct"/>
                  <w:vMerge w:val="continue"/>
                  <w:shd w:val="clear" w:color="auto" w:fill="auto"/>
                  <w:vAlign w:val="center"/>
                </w:tcPr>
                <w:p w14:paraId="174254CA">
                  <w:pPr>
                    <w:snapToGrid w:val="0"/>
                    <w:jc w:val="center"/>
                    <w:rPr>
                      <w:color w:val="000000" w:themeColor="text1"/>
                      <w:szCs w:val="21"/>
                      <w14:textFill>
                        <w14:solidFill>
                          <w14:schemeClr w14:val="tx1"/>
                        </w14:solidFill>
                      </w14:textFill>
                    </w:rPr>
                  </w:pPr>
                </w:p>
              </w:tc>
              <w:tc>
                <w:tcPr>
                  <w:tcW w:w="1316" w:type="pct"/>
                  <w:shd w:val="clear" w:color="auto" w:fill="auto"/>
                  <w:vAlign w:val="center"/>
                </w:tcPr>
                <w:p w14:paraId="68E5109B">
                  <w:pPr>
                    <w:jc w:val="center"/>
                    <w:outlineLvl w:val="9"/>
                    <w:rPr>
                      <w:color w:val="000000" w:themeColor="text1"/>
                      <w:szCs w:val="21"/>
                      <w14:textFill>
                        <w14:solidFill>
                          <w14:schemeClr w14:val="tx1"/>
                        </w14:solidFill>
                      </w14:textFill>
                    </w:rPr>
                  </w:pPr>
                  <w:bookmarkStart w:id="53" w:name="_Toc6402"/>
                  <w:r>
                    <w:rPr>
                      <w:rFonts w:hint="eastAsia"/>
                      <w:color w:val="000000" w:themeColor="text1"/>
                      <w:szCs w:val="21"/>
                      <w14:textFill>
                        <w14:solidFill>
                          <w14:schemeClr w14:val="tx1"/>
                        </w14:solidFill>
                      </w14:textFill>
                    </w:rPr>
                    <w:t>污水处理站及酒糟暂存恶臭气体</w:t>
                  </w:r>
                  <w:bookmarkEnd w:id="53"/>
                </w:p>
              </w:tc>
              <w:tc>
                <w:tcPr>
                  <w:tcW w:w="707" w:type="pct"/>
                  <w:shd w:val="clear" w:color="auto" w:fill="auto"/>
                  <w:vAlign w:val="center"/>
                </w:tcPr>
                <w:p w14:paraId="7A5D7572">
                  <w:pPr>
                    <w:jc w:val="center"/>
                    <w:outlineLvl w:val="9"/>
                    <w:rPr>
                      <w:color w:val="000000" w:themeColor="text1"/>
                      <w:szCs w:val="21"/>
                      <w14:textFill>
                        <w14:solidFill>
                          <w14:schemeClr w14:val="tx1"/>
                        </w14:solidFill>
                      </w14:textFill>
                    </w:rPr>
                  </w:pPr>
                  <w:bookmarkStart w:id="54" w:name="_Toc25794"/>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bookmarkEnd w:id="54"/>
                </w:p>
              </w:tc>
              <w:tc>
                <w:tcPr>
                  <w:tcW w:w="1754" w:type="pct"/>
                  <w:shd w:val="clear" w:color="auto" w:fill="auto"/>
                  <w:vAlign w:val="center"/>
                </w:tcPr>
                <w:p w14:paraId="25BA7D6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污水处理站加盖密闭，定期喷洒除臭剂等</w:t>
                  </w:r>
                </w:p>
              </w:tc>
            </w:tr>
            <w:tr w14:paraId="64B33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26F70F02">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restart"/>
                  <w:vAlign w:val="center"/>
                </w:tcPr>
                <w:p w14:paraId="273F846D">
                  <w:pPr>
                    <w:tabs>
                      <w:tab w:val="left" w:pos="5250"/>
                    </w:tabs>
                    <w:adjustRightInd w:val="0"/>
                    <w:snapToGrid w:val="0"/>
                    <w:jc w:val="center"/>
                    <w:rPr>
                      <w:bCs/>
                      <w:color w:val="000000" w:themeColor="text1"/>
                      <w:szCs w:val="21"/>
                      <w:highlight w:val="yellow"/>
                      <w14:textFill>
                        <w14:solidFill>
                          <w14:schemeClr w14:val="tx1"/>
                        </w14:solidFill>
                      </w14:textFill>
                    </w:rPr>
                  </w:pPr>
                  <w:r>
                    <w:rPr>
                      <w:bCs/>
                      <w:color w:val="000000" w:themeColor="text1"/>
                      <w:szCs w:val="21"/>
                      <w14:textFill>
                        <w14:solidFill>
                          <w14:schemeClr w14:val="tx1"/>
                        </w14:solidFill>
                      </w14:textFill>
                    </w:rPr>
                    <w:t>废水治理措施</w:t>
                  </w:r>
                </w:p>
              </w:tc>
              <w:tc>
                <w:tcPr>
                  <w:tcW w:w="1316" w:type="pct"/>
                  <w:shd w:val="clear" w:color="auto" w:fill="auto"/>
                  <w:vAlign w:val="center"/>
                </w:tcPr>
                <w:p w14:paraId="5C3D98AB">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生产废水</w:t>
                  </w:r>
                </w:p>
              </w:tc>
              <w:tc>
                <w:tcPr>
                  <w:tcW w:w="707" w:type="pct"/>
                  <w:shd w:val="clear" w:color="auto" w:fill="auto"/>
                  <w:vAlign w:val="center"/>
                </w:tcPr>
                <w:p w14:paraId="5B4955DD">
                  <w:pPr>
                    <w:snapToGrid w:val="0"/>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COD、BOD</w:t>
                  </w:r>
                  <w:r>
                    <w:rPr>
                      <w:color w:val="000000" w:themeColor="text1"/>
                      <w:kern w:val="0"/>
                      <w:szCs w:val="21"/>
                      <w:vertAlign w:val="subscript"/>
                      <w14:textFill>
                        <w14:solidFill>
                          <w14:schemeClr w14:val="tx1"/>
                        </w14:solidFill>
                      </w14:textFill>
                    </w:rPr>
                    <w:t>5</w:t>
                  </w:r>
                  <w:r>
                    <w:rPr>
                      <w:color w:val="000000" w:themeColor="text1"/>
                      <w:kern w:val="0"/>
                      <w:szCs w:val="21"/>
                      <w14:textFill>
                        <w14:solidFill>
                          <w14:schemeClr w14:val="tx1"/>
                        </w14:solidFill>
                      </w14:textFill>
                    </w:rPr>
                    <w:t>、NH</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-N、SS、石油类</w:t>
                  </w:r>
                </w:p>
              </w:tc>
              <w:tc>
                <w:tcPr>
                  <w:tcW w:w="1754" w:type="pct"/>
                  <w:shd w:val="clear" w:color="auto" w:fill="auto"/>
                  <w:vAlign w:val="center"/>
                </w:tcPr>
                <w:p w14:paraId="51A60450">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生产废水与经化粪池处理后的生活污水进入厂区污水处理站</w:t>
                  </w:r>
                  <w:r>
                    <w:rPr>
                      <w:color w:val="000000" w:themeColor="text1"/>
                      <w:szCs w:val="21"/>
                      <w14:textFill>
                        <w14:solidFill>
                          <w14:schemeClr w14:val="tx1"/>
                        </w14:solidFill>
                      </w14:textFill>
                    </w:rPr>
                    <w:t>（新建，1座，处理规模</w:t>
                  </w:r>
                  <w:r>
                    <w:rPr>
                      <w:rFonts w:hint="eastAsia"/>
                      <w:color w:val="000000" w:themeColor="text1"/>
                      <w:szCs w:val="21"/>
                      <w14:textFill>
                        <w14:solidFill>
                          <w14:schemeClr w14:val="tx1"/>
                        </w14:solidFill>
                      </w14:textFill>
                    </w:rPr>
                    <w:t>30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/d，主体工艺：</w:t>
                  </w:r>
                  <w:r>
                    <w:rPr>
                      <w:rFonts w:hint="eastAsia"/>
                      <w:color w:val="000000" w:themeColor="text1"/>
                      <w:szCs w:val="21"/>
                      <w14:textFill>
                        <w14:solidFill>
                          <w14:schemeClr w14:val="tx1"/>
                        </w14:solidFill>
                      </w14:textFill>
                    </w:rPr>
                    <w:t>综合废水-均质调节池-水解酸化-接触氧化-沉淀池-出水</w:t>
                  </w:r>
                  <w:r>
                    <w:rPr>
                      <w:color w:val="000000" w:themeColor="text1"/>
                      <w:szCs w:val="21"/>
                      <w14:textFill>
                        <w14:solidFill>
                          <w14:schemeClr w14:val="tx1"/>
                        </w14:solidFill>
                      </w14:textFill>
                    </w:rPr>
                    <w:t>）处理</w:t>
                  </w:r>
                </w:p>
              </w:tc>
            </w:tr>
            <w:tr w14:paraId="28CF4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38319F3">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74448AF9">
                  <w:pPr>
                    <w:tabs>
                      <w:tab w:val="left" w:pos="5250"/>
                    </w:tabs>
                    <w:adjustRightInd w:val="0"/>
                    <w:snapToGrid w:val="0"/>
                    <w:jc w:val="center"/>
                    <w:rPr>
                      <w:bCs/>
                      <w:color w:val="000000" w:themeColor="text1"/>
                      <w:szCs w:val="21"/>
                      <w:highlight w:val="yellow"/>
                      <w14:textFill>
                        <w14:solidFill>
                          <w14:schemeClr w14:val="tx1"/>
                        </w14:solidFill>
                      </w14:textFill>
                    </w:rPr>
                  </w:pPr>
                </w:p>
              </w:tc>
              <w:tc>
                <w:tcPr>
                  <w:tcW w:w="1316" w:type="pct"/>
                  <w:shd w:val="clear" w:color="auto" w:fill="auto"/>
                  <w:vAlign w:val="center"/>
                </w:tcPr>
                <w:p w14:paraId="66D61ED9">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生活污水</w:t>
                  </w:r>
                </w:p>
              </w:tc>
              <w:tc>
                <w:tcPr>
                  <w:tcW w:w="707" w:type="pct"/>
                  <w:shd w:val="clear" w:color="auto" w:fill="auto"/>
                  <w:vAlign w:val="center"/>
                </w:tcPr>
                <w:p w14:paraId="391A3591">
                  <w:pPr>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COD、BOD</w:t>
                  </w:r>
                  <w:r>
                    <w:rPr>
                      <w:color w:val="000000" w:themeColor="text1"/>
                      <w:kern w:val="0"/>
                      <w:szCs w:val="21"/>
                      <w:vertAlign w:val="subscript"/>
                      <w14:textFill>
                        <w14:solidFill>
                          <w14:schemeClr w14:val="tx1"/>
                        </w14:solidFill>
                      </w14:textFill>
                    </w:rPr>
                    <w:t>5</w:t>
                  </w:r>
                  <w:r>
                    <w:rPr>
                      <w:color w:val="000000" w:themeColor="text1"/>
                      <w:kern w:val="0"/>
                      <w:szCs w:val="21"/>
                      <w14:textFill>
                        <w14:solidFill>
                          <w14:schemeClr w14:val="tx1"/>
                        </w14:solidFill>
                      </w14:textFill>
                    </w:rPr>
                    <w:t>、NH</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-N、SS</w:t>
                  </w:r>
                </w:p>
              </w:tc>
              <w:tc>
                <w:tcPr>
                  <w:tcW w:w="1754" w:type="pct"/>
                  <w:shd w:val="clear" w:color="auto" w:fill="auto"/>
                  <w:vAlign w:val="center"/>
                </w:tcPr>
                <w:p w14:paraId="7F3D98CC">
                  <w:pPr>
                    <w:snapToGrid w:val="0"/>
                    <w:jc w:val="center"/>
                    <w:rPr>
                      <w:color w:val="000000" w:themeColor="text1"/>
                      <w:spacing w:val="-16"/>
                      <w:szCs w:val="21"/>
                      <w14:textFill>
                        <w14:solidFill>
                          <w14:schemeClr w14:val="tx1"/>
                        </w14:solidFill>
                      </w14:textFill>
                    </w:rPr>
                  </w:pPr>
                  <w:r>
                    <w:rPr>
                      <w:bCs/>
                      <w:color w:val="000000" w:themeColor="text1"/>
                      <w:szCs w:val="21"/>
                      <w14:textFill>
                        <w14:solidFill>
                          <w14:schemeClr w14:val="tx1"/>
                        </w14:solidFill>
                      </w14:textFill>
                    </w:rPr>
                    <w:t>经化粪池（</w:t>
                  </w:r>
                  <w:r>
                    <w:rPr>
                      <w:rFonts w:hint="eastAsia"/>
                      <w:bCs/>
                      <w:color w:val="000000" w:themeColor="text1"/>
                      <w:szCs w:val="21"/>
                      <w14:textFill>
                        <w14:solidFill>
                          <w14:schemeClr w14:val="tx1"/>
                        </w14:solidFill>
                      </w14:textFill>
                    </w:rPr>
                    <w:t>总</w:t>
                  </w:r>
                  <w:r>
                    <w:rPr>
                      <w:bCs/>
                      <w:color w:val="000000" w:themeColor="text1"/>
                      <w:szCs w:val="21"/>
                      <w14:textFill>
                        <w14:solidFill>
                          <w14:schemeClr w14:val="tx1"/>
                        </w14:solidFill>
                      </w14:textFill>
                    </w:rPr>
                    <w:t>容积5m</w:t>
                  </w:r>
                  <w:r>
                    <w:rPr>
                      <w:bCs/>
                      <w:color w:val="000000" w:themeColor="text1"/>
                      <w:szCs w:val="21"/>
                      <w:vertAlign w:val="superscript"/>
                      <w14:textFill>
                        <w14:solidFill>
                          <w14:schemeClr w14:val="tx1"/>
                        </w14:solidFill>
                      </w14:textFill>
                    </w:rPr>
                    <w:t>3</w:t>
                  </w:r>
                  <w:r>
                    <w:rPr>
                      <w:bCs/>
                      <w:color w:val="000000" w:themeColor="text1"/>
                      <w:szCs w:val="21"/>
                      <w14:textFill>
                        <w14:solidFill>
                          <w14:schemeClr w14:val="tx1"/>
                        </w14:solidFill>
                      </w14:textFill>
                    </w:rPr>
                    <w:t>，三防措施）</w:t>
                  </w:r>
                  <w:r>
                    <w:rPr>
                      <w:rFonts w:hint="eastAsia"/>
                      <w:bCs/>
                      <w:color w:val="000000" w:themeColor="text1"/>
                      <w:szCs w:val="21"/>
                      <w14:textFill>
                        <w14:solidFill>
                          <w14:schemeClr w14:val="tx1"/>
                        </w14:solidFill>
                      </w14:textFill>
                    </w:rPr>
                    <w:t>后与各生产废水一并</w:t>
                  </w:r>
                  <w:r>
                    <w:rPr>
                      <w:rFonts w:hint="eastAsia"/>
                      <w:color w:val="000000" w:themeColor="text1"/>
                      <w:szCs w:val="21"/>
                      <w14:textFill>
                        <w14:solidFill>
                          <w14:schemeClr w14:val="tx1"/>
                        </w14:solidFill>
                      </w14:textFill>
                    </w:rPr>
                    <w:t>经污水处理站处理</w:t>
                  </w:r>
                </w:p>
              </w:tc>
            </w:tr>
            <w:tr w14:paraId="36F14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115965B3">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Align w:val="center"/>
                </w:tcPr>
                <w:p w14:paraId="42D5D7B8">
                  <w:pPr>
                    <w:tabs>
                      <w:tab w:val="left" w:pos="5250"/>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噪声治理措施</w:t>
                  </w:r>
                </w:p>
              </w:tc>
              <w:tc>
                <w:tcPr>
                  <w:tcW w:w="1316" w:type="pct"/>
                  <w:vAlign w:val="center"/>
                </w:tcPr>
                <w:p w14:paraId="6F6FE57F">
                  <w:pPr>
                    <w:snapToGrid w:val="0"/>
                    <w:jc w:val="center"/>
                    <w:rPr>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灌装线</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激光喷码机</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连续封口机、粉碎机、风机</w:t>
                  </w:r>
                  <w:r>
                    <w:rPr>
                      <w:color w:val="000000" w:themeColor="text1"/>
                      <w:szCs w:val="21"/>
                      <w14:textFill>
                        <w14:solidFill>
                          <w14:schemeClr w14:val="tx1"/>
                        </w14:solidFill>
                      </w14:textFill>
                    </w:rPr>
                    <w:t>等设备</w:t>
                  </w:r>
                </w:p>
              </w:tc>
              <w:tc>
                <w:tcPr>
                  <w:tcW w:w="707" w:type="pct"/>
                  <w:vAlign w:val="center"/>
                </w:tcPr>
                <w:p w14:paraId="6E239364">
                  <w:pPr>
                    <w:snapToGrid w:val="0"/>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机械噪声</w:t>
                  </w:r>
                </w:p>
              </w:tc>
              <w:tc>
                <w:tcPr>
                  <w:tcW w:w="1754" w:type="pct"/>
                  <w:vAlign w:val="center"/>
                </w:tcPr>
                <w:p w14:paraId="11B47B17">
                  <w:pPr>
                    <w:snapToGrid w:val="0"/>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产噪设备采取基础减振、厂房隔声等降噪措施；设备定期维护保养</w:t>
                  </w:r>
                </w:p>
              </w:tc>
            </w:tr>
            <w:tr w14:paraId="419A5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1BAA61B8">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restart"/>
                  <w:vAlign w:val="center"/>
                </w:tcPr>
                <w:p w14:paraId="5B3E88BC">
                  <w:pPr>
                    <w:tabs>
                      <w:tab w:val="left" w:pos="5250"/>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固废治理措施</w:t>
                  </w:r>
                </w:p>
              </w:tc>
              <w:tc>
                <w:tcPr>
                  <w:tcW w:w="1316" w:type="pct"/>
                  <w:shd w:val="clear" w:color="auto" w:fill="auto"/>
                  <w:vAlign w:val="center"/>
                </w:tcPr>
                <w:p w14:paraId="5216D895">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职工生活</w:t>
                  </w:r>
                </w:p>
              </w:tc>
              <w:tc>
                <w:tcPr>
                  <w:tcW w:w="707" w:type="pct"/>
                  <w:shd w:val="clear" w:color="auto" w:fill="auto"/>
                  <w:vAlign w:val="center"/>
                </w:tcPr>
                <w:p w14:paraId="66E19CD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生活垃圾</w:t>
                  </w:r>
                </w:p>
              </w:tc>
              <w:tc>
                <w:tcPr>
                  <w:tcW w:w="1754" w:type="pct"/>
                  <w:shd w:val="clear" w:color="auto" w:fill="auto"/>
                  <w:vAlign w:val="center"/>
                </w:tcPr>
                <w:p w14:paraId="318CE22C">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分类收集后交由环卫部门运至垃圾中转站处理</w:t>
                  </w:r>
                </w:p>
              </w:tc>
            </w:tr>
            <w:tr w14:paraId="1F20A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79E0AE78">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08AE5196">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754F0975">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化粪池</w:t>
                  </w:r>
                </w:p>
              </w:tc>
              <w:tc>
                <w:tcPr>
                  <w:tcW w:w="707" w:type="pct"/>
                  <w:shd w:val="clear" w:color="auto" w:fill="auto"/>
                  <w:vAlign w:val="center"/>
                </w:tcPr>
                <w:p w14:paraId="417F340D">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污泥</w:t>
                  </w:r>
                </w:p>
              </w:tc>
              <w:tc>
                <w:tcPr>
                  <w:tcW w:w="1754" w:type="pct"/>
                  <w:shd w:val="clear" w:color="auto" w:fill="auto"/>
                  <w:vAlign w:val="center"/>
                </w:tcPr>
                <w:p w14:paraId="1DE8DCD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定期清掏后交由环卫部门处理</w:t>
                  </w:r>
                </w:p>
              </w:tc>
            </w:tr>
            <w:tr w14:paraId="6128A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76E7BA61">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3DC0364E">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4073F937">
                  <w:pPr>
                    <w:jc w:val="center"/>
                    <w:rPr>
                      <w:rFonts w:hint="eastAsia" w:eastAsia="宋体"/>
                      <w:bCs/>
                      <w:color w:val="000000" w:themeColor="text1"/>
                      <w:kern w:val="0"/>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原料投料、粉碎工序和袋泡茶生产过程</w:t>
                  </w:r>
                  <w:r>
                    <w:rPr>
                      <w:rFonts w:hint="eastAsia"/>
                      <w:color w:val="000000" w:themeColor="text1"/>
                      <w:szCs w:val="21"/>
                      <w:lang w:val="en-US" w:eastAsia="zh-CN"/>
                      <w14:textFill>
                        <w14:solidFill>
                          <w14:schemeClr w14:val="tx1"/>
                        </w14:solidFill>
                      </w14:textFill>
                    </w:rPr>
                    <w:t>以及</w:t>
                  </w:r>
                  <w:r>
                    <w:rPr>
                      <w:rFonts w:hint="eastAsia"/>
                      <w:color w:val="000000" w:themeColor="text1"/>
                      <w:szCs w:val="21"/>
                      <w14:textFill>
                        <w14:solidFill>
                          <w14:schemeClr w14:val="tx1"/>
                        </w14:solidFill>
                      </w14:textFill>
                    </w:rPr>
                    <w:t>热敷理疗产品上料过程</w:t>
                  </w:r>
                </w:p>
              </w:tc>
              <w:tc>
                <w:tcPr>
                  <w:tcW w:w="707" w:type="pct"/>
                  <w:shd w:val="clear" w:color="auto" w:fill="auto"/>
                  <w:vAlign w:val="center"/>
                </w:tcPr>
                <w:p w14:paraId="2CCCC81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除尘器收集到的粉尘</w:t>
                  </w:r>
                </w:p>
              </w:tc>
              <w:tc>
                <w:tcPr>
                  <w:tcW w:w="1754" w:type="pct"/>
                  <w:shd w:val="clear" w:color="auto" w:fill="auto"/>
                  <w:vAlign w:val="center"/>
                </w:tcPr>
                <w:p w14:paraId="62BEB2FC">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收集后外售综合利用</w:t>
                  </w:r>
                </w:p>
              </w:tc>
            </w:tr>
            <w:tr w14:paraId="4E3CB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37A8706E">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6CAB35D0">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2BB5F6C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蒸馏、压滤以及过滤等工序</w:t>
                  </w:r>
                </w:p>
              </w:tc>
              <w:tc>
                <w:tcPr>
                  <w:tcW w:w="707" w:type="pct"/>
                  <w:shd w:val="clear" w:color="auto" w:fill="auto"/>
                  <w:vAlign w:val="center"/>
                </w:tcPr>
                <w:p w14:paraId="0BA05C85">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废酒糟</w:t>
                  </w:r>
                </w:p>
              </w:tc>
              <w:tc>
                <w:tcPr>
                  <w:tcW w:w="1754" w:type="pct"/>
                  <w:shd w:val="clear" w:color="auto" w:fill="auto"/>
                  <w:vAlign w:val="center"/>
                </w:tcPr>
                <w:p w14:paraId="33A49983">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外售给养畜农户用作饲料</w:t>
                  </w:r>
                </w:p>
              </w:tc>
            </w:tr>
            <w:tr w14:paraId="1E185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92C8A1A">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4C152012">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54A91C31">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煮沸、沉淀工序</w:t>
                  </w:r>
                </w:p>
              </w:tc>
              <w:tc>
                <w:tcPr>
                  <w:tcW w:w="707" w:type="pct"/>
                  <w:shd w:val="clear" w:color="auto" w:fill="auto"/>
                  <w:vAlign w:val="center"/>
                </w:tcPr>
                <w:p w14:paraId="269A54D3">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废啤酒花、热凝固物</w:t>
                  </w:r>
                </w:p>
              </w:tc>
              <w:tc>
                <w:tcPr>
                  <w:tcW w:w="1754" w:type="pct"/>
                  <w:shd w:val="clear" w:color="auto" w:fill="auto"/>
                  <w:vAlign w:val="center"/>
                </w:tcPr>
                <w:p w14:paraId="0265F4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r>
            <w:tr w14:paraId="68A432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62903C0E">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6FB99ECA">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5F8E4B5C">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发酵工序</w:t>
                  </w:r>
                </w:p>
              </w:tc>
              <w:tc>
                <w:tcPr>
                  <w:tcW w:w="707" w:type="pct"/>
                  <w:shd w:val="clear" w:color="auto" w:fill="auto"/>
                  <w:vAlign w:val="center"/>
                </w:tcPr>
                <w:p w14:paraId="2257BD3D">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废酵母（含冷凝固物）</w:t>
                  </w:r>
                </w:p>
              </w:tc>
              <w:tc>
                <w:tcPr>
                  <w:tcW w:w="1754" w:type="pct"/>
                  <w:shd w:val="clear" w:color="auto" w:fill="auto"/>
                  <w:vAlign w:val="center"/>
                </w:tcPr>
                <w:p w14:paraId="1218904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r>
            <w:tr w14:paraId="1B73D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3FAD0CCA">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2C710A56">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6A3F9A51">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压榨及过滤工序</w:t>
                  </w:r>
                </w:p>
              </w:tc>
              <w:tc>
                <w:tcPr>
                  <w:tcW w:w="707" w:type="pct"/>
                  <w:shd w:val="clear" w:color="auto" w:fill="auto"/>
                  <w:vAlign w:val="center"/>
                </w:tcPr>
                <w:p w14:paraId="6D458EE9">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废果、果皮、果渣及果梗</w:t>
                  </w:r>
                </w:p>
              </w:tc>
              <w:tc>
                <w:tcPr>
                  <w:tcW w:w="1754" w:type="pct"/>
                  <w:shd w:val="clear" w:color="auto" w:fill="auto"/>
                  <w:vAlign w:val="center"/>
                </w:tcPr>
                <w:p w14:paraId="5086DCCD">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r>
            <w:tr w14:paraId="343D9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FA4D960">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72C198B2">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26A2706D">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提取工序</w:t>
                  </w:r>
                </w:p>
              </w:tc>
              <w:tc>
                <w:tcPr>
                  <w:tcW w:w="707" w:type="pct"/>
                  <w:shd w:val="clear" w:color="auto" w:fill="auto"/>
                  <w:vAlign w:val="center"/>
                </w:tcPr>
                <w:p w14:paraId="68B9D29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过滤残渣</w:t>
                  </w:r>
                </w:p>
              </w:tc>
              <w:tc>
                <w:tcPr>
                  <w:tcW w:w="1754" w:type="pct"/>
                  <w:shd w:val="clear" w:color="auto" w:fill="auto"/>
                  <w:vAlign w:val="center"/>
                </w:tcPr>
                <w:p w14:paraId="5DAA2D1F">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r>
            <w:tr w14:paraId="62A82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11167B00">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6A15C4F0">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67F2818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剪切工序</w:t>
                  </w:r>
                </w:p>
              </w:tc>
              <w:tc>
                <w:tcPr>
                  <w:tcW w:w="707" w:type="pct"/>
                  <w:shd w:val="clear" w:color="auto" w:fill="auto"/>
                  <w:vAlign w:val="center"/>
                </w:tcPr>
                <w:p w14:paraId="0DB5FBB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废边角料</w:t>
                  </w:r>
                </w:p>
              </w:tc>
              <w:tc>
                <w:tcPr>
                  <w:tcW w:w="1754" w:type="pct"/>
                  <w:shd w:val="clear" w:color="auto" w:fill="auto"/>
                  <w:vAlign w:val="center"/>
                </w:tcPr>
                <w:p w14:paraId="6419882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r>
            <w:tr w14:paraId="03D86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7609A31D">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3E32FE26">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0DA3408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原料拆包及产品包装</w:t>
                  </w:r>
                </w:p>
              </w:tc>
              <w:tc>
                <w:tcPr>
                  <w:tcW w:w="707" w:type="pct"/>
                  <w:shd w:val="clear" w:color="auto" w:fill="auto"/>
                  <w:vAlign w:val="center"/>
                </w:tcPr>
                <w:p w14:paraId="5909BE65">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废包装材料</w:t>
                  </w:r>
                </w:p>
              </w:tc>
              <w:tc>
                <w:tcPr>
                  <w:tcW w:w="1754" w:type="pct"/>
                  <w:shd w:val="clear" w:color="auto" w:fill="auto"/>
                  <w:vAlign w:val="center"/>
                </w:tcPr>
                <w:p w14:paraId="1E14950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r>
            <w:tr w14:paraId="23E75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72" w:type="pct"/>
                  <w:vMerge w:val="continue"/>
                  <w:vAlign w:val="center"/>
                </w:tcPr>
                <w:p w14:paraId="0E08272F">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4EE2D6FF">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405DC353">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707" w:type="pct"/>
                  <w:shd w:val="clear" w:color="auto" w:fill="auto"/>
                  <w:vAlign w:val="center"/>
                </w:tcPr>
                <w:p w14:paraId="312A1088">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废石英砂</w:t>
                  </w:r>
                </w:p>
              </w:tc>
              <w:tc>
                <w:tcPr>
                  <w:tcW w:w="1754" w:type="pct"/>
                  <w:shd w:val="clear" w:color="auto" w:fill="auto"/>
                  <w:vAlign w:val="center"/>
                </w:tcPr>
                <w:p w14:paraId="7AB89B4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r>
            <w:tr w14:paraId="3ED1B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53B17796">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2279FEF3">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5B8A8094">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707" w:type="pct"/>
                  <w:shd w:val="clear" w:color="auto" w:fill="auto"/>
                  <w:vAlign w:val="center"/>
                </w:tcPr>
                <w:p w14:paraId="01B50D69">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废滤芯</w:t>
                  </w:r>
                </w:p>
              </w:tc>
              <w:tc>
                <w:tcPr>
                  <w:tcW w:w="1754" w:type="pct"/>
                  <w:shd w:val="clear" w:color="auto" w:fill="auto"/>
                  <w:vAlign w:val="center"/>
                </w:tcPr>
                <w:p w14:paraId="1C994658">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r>
            <w:tr w14:paraId="298EA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3535CB27">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40BC8FD0">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06981AC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707" w:type="pct"/>
                  <w:shd w:val="clear" w:color="auto" w:fill="auto"/>
                  <w:vAlign w:val="center"/>
                </w:tcPr>
                <w:p w14:paraId="12C89176">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废活性炭</w:t>
                  </w:r>
                </w:p>
              </w:tc>
              <w:tc>
                <w:tcPr>
                  <w:tcW w:w="1754" w:type="pct"/>
                  <w:shd w:val="clear" w:color="auto" w:fill="auto"/>
                  <w:vAlign w:val="center"/>
                </w:tcPr>
                <w:p w14:paraId="04F76464">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r>
            <w:tr w14:paraId="64A7E0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12B2C4A3">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55CB6DA8">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2B6957D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707" w:type="pct"/>
                  <w:shd w:val="clear" w:color="auto" w:fill="auto"/>
                  <w:vAlign w:val="center"/>
                </w:tcPr>
                <w:p w14:paraId="7A32A6C4">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废反渗透膜</w:t>
                  </w:r>
                </w:p>
              </w:tc>
              <w:tc>
                <w:tcPr>
                  <w:tcW w:w="1754" w:type="pct"/>
                  <w:shd w:val="clear" w:color="auto" w:fill="auto"/>
                  <w:vAlign w:val="center"/>
                </w:tcPr>
                <w:p w14:paraId="15A183EF">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r>
            <w:tr w14:paraId="42EFAF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55677ECF">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479BC784">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3BE85D9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过滤工序</w:t>
                  </w:r>
                </w:p>
              </w:tc>
              <w:tc>
                <w:tcPr>
                  <w:tcW w:w="707" w:type="pct"/>
                  <w:shd w:val="clear" w:color="auto" w:fill="auto"/>
                  <w:vAlign w:val="center"/>
                </w:tcPr>
                <w:p w14:paraId="01EFF53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废硅藻土</w:t>
                  </w:r>
                </w:p>
              </w:tc>
              <w:tc>
                <w:tcPr>
                  <w:tcW w:w="1754" w:type="pct"/>
                  <w:shd w:val="clear" w:color="auto" w:fill="auto"/>
                  <w:vAlign w:val="center"/>
                </w:tcPr>
                <w:p w14:paraId="376B1613">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r>
            <w:tr w14:paraId="6E7114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4C1B0837">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14573A26">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0979D549">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灌装工序</w:t>
                  </w:r>
                </w:p>
              </w:tc>
              <w:tc>
                <w:tcPr>
                  <w:tcW w:w="707" w:type="pct"/>
                  <w:shd w:val="clear" w:color="auto" w:fill="auto"/>
                  <w:vAlign w:val="center"/>
                </w:tcPr>
                <w:p w14:paraId="570FAC54">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废酒瓶</w:t>
                  </w:r>
                </w:p>
              </w:tc>
              <w:tc>
                <w:tcPr>
                  <w:tcW w:w="1754" w:type="pct"/>
                  <w:shd w:val="clear" w:color="auto" w:fill="auto"/>
                  <w:vAlign w:val="center"/>
                </w:tcPr>
                <w:p w14:paraId="0F740027">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r>
            <w:tr w14:paraId="0440C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82216D8">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6AB2D454">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2455A44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生产废水治理设施</w:t>
                  </w:r>
                </w:p>
              </w:tc>
              <w:tc>
                <w:tcPr>
                  <w:tcW w:w="707" w:type="pct"/>
                  <w:shd w:val="clear" w:color="auto" w:fill="auto"/>
                  <w:vAlign w:val="center"/>
                </w:tcPr>
                <w:p w14:paraId="4FFBAD4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污泥</w:t>
                  </w:r>
                </w:p>
              </w:tc>
              <w:tc>
                <w:tcPr>
                  <w:tcW w:w="1754" w:type="pct"/>
                  <w:shd w:val="clear" w:color="auto" w:fill="auto"/>
                  <w:vAlign w:val="center"/>
                </w:tcPr>
                <w:p w14:paraId="0F3D6E9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定期清掏交由环卫部门处理</w:t>
                  </w:r>
                </w:p>
              </w:tc>
            </w:tr>
            <w:tr w14:paraId="7132A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06522865">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3E0B343B">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549B0FB5">
                  <w:pPr>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设备维护过程</w:t>
                  </w:r>
                </w:p>
              </w:tc>
              <w:tc>
                <w:tcPr>
                  <w:tcW w:w="707" w:type="pct"/>
                  <w:shd w:val="clear" w:color="auto" w:fill="auto"/>
                  <w:vAlign w:val="center"/>
                </w:tcPr>
                <w:p w14:paraId="207AEEBA">
                  <w:pPr>
                    <w:tabs>
                      <w:tab w:val="left" w:pos="5250"/>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废润滑油、废润滑油桶</w:t>
                  </w:r>
                </w:p>
              </w:tc>
              <w:tc>
                <w:tcPr>
                  <w:tcW w:w="1754" w:type="pct"/>
                  <w:vMerge w:val="restart"/>
                  <w:shd w:val="clear" w:color="auto" w:fill="auto"/>
                  <w:vAlign w:val="center"/>
                </w:tcPr>
                <w:p w14:paraId="53235FF4">
                  <w:pPr>
                    <w:widowControl/>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分类集中收集于危废暂存间（面积</w:t>
                  </w: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0m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，采取“六防”措施），定期交由有危废处理资质单位进行处置。</w:t>
                  </w:r>
                </w:p>
              </w:tc>
            </w:tr>
            <w:tr w14:paraId="11402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35B30ACD">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220A25EC">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6C13C39A">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废气治理过程</w:t>
                  </w:r>
                </w:p>
              </w:tc>
              <w:tc>
                <w:tcPr>
                  <w:tcW w:w="707" w:type="pct"/>
                  <w:shd w:val="clear" w:color="auto" w:fill="auto"/>
                  <w:vAlign w:val="center"/>
                </w:tcPr>
                <w:p w14:paraId="23C468ED">
                  <w:pPr>
                    <w:tabs>
                      <w:tab w:val="left" w:pos="5250"/>
                    </w:tabs>
                    <w:adjustRightInd w:val="0"/>
                    <w:snapToGrid w:val="0"/>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废</w:t>
                  </w:r>
                  <w:r>
                    <w:rPr>
                      <w:rFonts w:hint="eastAsia"/>
                      <w:color w:val="000000" w:themeColor="text1"/>
                      <w:szCs w:val="21"/>
                      <w14:textFill>
                        <w14:solidFill>
                          <w14:schemeClr w14:val="tx1"/>
                        </w14:solidFill>
                      </w14:textFill>
                    </w:rPr>
                    <w:t>活性炭</w:t>
                  </w:r>
                </w:p>
              </w:tc>
              <w:tc>
                <w:tcPr>
                  <w:tcW w:w="1754" w:type="pct"/>
                  <w:vMerge w:val="continue"/>
                  <w:shd w:val="clear" w:color="auto" w:fill="auto"/>
                  <w:vAlign w:val="center"/>
                </w:tcPr>
                <w:p w14:paraId="7C211293">
                  <w:pPr>
                    <w:widowControl/>
                    <w:adjustRightInd w:val="0"/>
                    <w:snapToGrid w:val="0"/>
                    <w:jc w:val="center"/>
                    <w:rPr>
                      <w:color w:val="000000" w:themeColor="text1"/>
                      <w:szCs w:val="21"/>
                      <w14:textFill>
                        <w14:solidFill>
                          <w14:schemeClr w14:val="tx1"/>
                        </w14:solidFill>
                      </w14:textFill>
                    </w:rPr>
                  </w:pPr>
                </w:p>
              </w:tc>
            </w:tr>
            <w:tr w14:paraId="62FD8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2" w:type="pct"/>
                  <w:vMerge w:val="continue"/>
                  <w:vAlign w:val="center"/>
                </w:tcPr>
                <w:p w14:paraId="6D9C5237">
                  <w:pPr>
                    <w:tabs>
                      <w:tab w:val="left" w:pos="5250"/>
                    </w:tabs>
                    <w:adjustRightInd w:val="0"/>
                    <w:snapToGrid w:val="0"/>
                    <w:jc w:val="center"/>
                    <w:rPr>
                      <w:bCs/>
                      <w:color w:val="000000" w:themeColor="text1"/>
                      <w:szCs w:val="21"/>
                      <w14:textFill>
                        <w14:solidFill>
                          <w14:schemeClr w14:val="tx1"/>
                        </w14:solidFill>
                      </w14:textFill>
                    </w:rPr>
                  </w:pPr>
                </w:p>
              </w:tc>
              <w:tc>
                <w:tcPr>
                  <w:tcW w:w="848" w:type="pct"/>
                  <w:gridSpan w:val="2"/>
                  <w:vMerge w:val="continue"/>
                  <w:vAlign w:val="center"/>
                </w:tcPr>
                <w:p w14:paraId="54429578">
                  <w:pPr>
                    <w:tabs>
                      <w:tab w:val="left" w:pos="5250"/>
                    </w:tabs>
                    <w:adjustRightInd w:val="0"/>
                    <w:snapToGrid w:val="0"/>
                    <w:jc w:val="center"/>
                    <w:rPr>
                      <w:bCs/>
                      <w:color w:val="000000" w:themeColor="text1"/>
                      <w:szCs w:val="21"/>
                      <w14:textFill>
                        <w14:solidFill>
                          <w14:schemeClr w14:val="tx1"/>
                        </w14:solidFill>
                      </w14:textFill>
                    </w:rPr>
                  </w:pPr>
                </w:p>
              </w:tc>
              <w:tc>
                <w:tcPr>
                  <w:tcW w:w="1316" w:type="pct"/>
                  <w:shd w:val="clear" w:color="auto" w:fill="auto"/>
                  <w:vAlign w:val="center"/>
                </w:tcPr>
                <w:p w14:paraId="47895F2F">
                  <w:pPr>
                    <w:snapToGrid w:val="0"/>
                    <w:jc w:val="center"/>
                    <w:rPr>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原料</w:t>
                  </w:r>
                  <w:r>
                    <w:rPr>
                      <w:color w:val="000000" w:themeColor="text1"/>
                      <w:szCs w:val="21"/>
                      <w14:textFill>
                        <w14:solidFill>
                          <w14:schemeClr w14:val="tx1"/>
                        </w14:solidFill>
                      </w14:textFill>
                    </w:rPr>
                    <w:t>（氢氧化钠、硝酸）</w:t>
                  </w:r>
                  <w:r>
                    <w:rPr>
                      <w:rFonts w:hint="eastAsia"/>
                      <w:color w:val="000000" w:themeColor="text1"/>
                      <w:szCs w:val="21"/>
                      <w14:textFill>
                        <w14:solidFill>
                          <w14:schemeClr w14:val="tx1"/>
                        </w14:solidFill>
                      </w14:textFill>
                    </w:rPr>
                    <w:t>使用</w:t>
                  </w:r>
                </w:p>
              </w:tc>
              <w:tc>
                <w:tcPr>
                  <w:tcW w:w="707" w:type="pct"/>
                  <w:shd w:val="clear" w:color="auto" w:fill="auto"/>
                  <w:vAlign w:val="center"/>
                </w:tcPr>
                <w:p w14:paraId="014B1EF9">
                  <w:pPr>
                    <w:tabs>
                      <w:tab w:val="left" w:pos="5250"/>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废包装材料</w:t>
                  </w:r>
                </w:p>
              </w:tc>
              <w:tc>
                <w:tcPr>
                  <w:tcW w:w="1754" w:type="pct"/>
                  <w:vMerge w:val="continue"/>
                  <w:shd w:val="clear" w:color="auto" w:fill="auto"/>
                  <w:vAlign w:val="center"/>
                </w:tcPr>
                <w:p w14:paraId="26A50356">
                  <w:pPr>
                    <w:widowControl/>
                    <w:adjustRightInd w:val="0"/>
                    <w:snapToGrid w:val="0"/>
                    <w:jc w:val="center"/>
                    <w:rPr>
                      <w:color w:val="000000" w:themeColor="text1"/>
                      <w:szCs w:val="21"/>
                      <w14:textFill>
                        <w14:solidFill>
                          <w14:schemeClr w14:val="tx1"/>
                        </w14:solidFill>
                      </w14:textFill>
                    </w:rPr>
                  </w:pPr>
                </w:p>
              </w:tc>
            </w:tr>
          </w:tbl>
          <w:p w14:paraId="4BA3C340">
            <w:pPr>
              <w:pStyle w:val="42"/>
              <w:widowControl/>
              <w:adjustRightInd/>
              <w:ind w:firstLine="482"/>
              <w:jc w:val="both"/>
              <w:rPr>
                <w:b/>
                <w:color w:val="000000" w:themeColor="text1"/>
                <w14:textFill>
                  <w14:solidFill>
                    <w14:schemeClr w14:val="tx1"/>
                  </w14:solidFill>
                </w14:textFill>
              </w:rPr>
            </w:pPr>
            <w:r>
              <w:rPr>
                <w:b/>
                <w:color w:val="000000" w:themeColor="text1"/>
                <w14:textFill>
                  <w14:solidFill>
                    <w14:schemeClr w14:val="tx1"/>
                  </w14:solidFill>
                </w14:textFill>
              </w:rPr>
              <w:t>3、项目产品及产能</w:t>
            </w:r>
          </w:p>
          <w:p w14:paraId="27410E68">
            <w:pPr>
              <w:pStyle w:val="42"/>
              <w:widowControl/>
              <w:adjustRightInd/>
              <w:ind w:firstLine="48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（1）</w:t>
            </w:r>
            <w:r>
              <w:rPr>
                <w:bCs/>
                <w:color w:val="000000" w:themeColor="text1"/>
                <w14:textFill>
                  <w14:solidFill>
                    <w14:schemeClr w14:val="tx1"/>
                  </w14:solidFill>
                </w14:textFill>
              </w:rPr>
              <w:t>产品方案</w:t>
            </w:r>
          </w:p>
          <w:p w14:paraId="57C3D31A">
            <w:pPr>
              <w:pStyle w:val="24"/>
              <w:spacing w:line="360" w:lineRule="auto"/>
              <w:ind w:firstLine="0" w:firstLineChars="0"/>
              <w:jc w:val="center"/>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表2-</w:t>
            </w:r>
            <w:r>
              <w:rPr>
                <w:rFonts w:hint="eastAsia" w:ascii="Times New Roman" w:hAnsi="Times New Roman"/>
                <w:b/>
                <w:color w:val="000000" w:themeColor="text1"/>
                <w:sz w:val="24"/>
                <w14:textFill>
                  <w14:solidFill>
                    <w14:schemeClr w14:val="tx1"/>
                  </w14:solidFill>
                </w14:textFill>
              </w:rPr>
              <w:t xml:space="preserve">5  </w:t>
            </w:r>
            <w:r>
              <w:rPr>
                <w:rFonts w:ascii="Times New Roman" w:hAnsi="Times New Roman"/>
                <w:b/>
                <w:color w:val="000000" w:themeColor="text1"/>
                <w:sz w:val="24"/>
                <w14:textFill>
                  <w14:solidFill>
                    <w14:schemeClr w14:val="tx1"/>
                  </w14:solidFill>
                </w14:textFill>
              </w:rPr>
              <w:t>项目产品方案一览表</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2"/>
              <w:gridCol w:w="2205"/>
              <w:gridCol w:w="2613"/>
              <w:gridCol w:w="2629"/>
            </w:tblGrid>
            <w:tr w14:paraId="6FB35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vAlign w:val="center"/>
                </w:tcPr>
                <w:p w14:paraId="0337D1F3">
                  <w:pPr>
                    <w:pStyle w:val="31"/>
                    <w:rPr>
                      <w:color w:val="000000" w:themeColor="text1"/>
                      <w14:textFill>
                        <w14:solidFill>
                          <w14:schemeClr w14:val="tx1"/>
                        </w14:solidFill>
                      </w14:textFill>
                    </w:rPr>
                  </w:pPr>
                  <w:r>
                    <w:rPr>
                      <w:color w:val="000000" w:themeColor="text1"/>
                      <w14:textFill>
                        <w14:solidFill>
                          <w14:schemeClr w14:val="tx1"/>
                        </w14:solidFill>
                      </w14:textFill>
                    </w:rPr>
                    <w:t>产品名称</w:t>
                  </w:r>
                </w:p>
              </w:tc>
              <w:tc>
                <w:tcPr>
                  <w:tcW w:w="1174" w:type="pct"/>
                  <w:tcBorders>
                    <w:right w:val="single" w:color="auto" w:sz="4" w:space="0"/>
                  </w:tcBorders>
                  <w:shd w:val="clear" w:color="auto" w:fill="auto"/>
                  <w:vAlign w:val="center"/>
                </w:tcPr>
                <w:p w14:paraId="48EB2C68">
                  <w:pPr>
                    <w:pStyle w:val="31"/>
                    <w:rPr>
                      <w:color w:val="000000" w:themeColor="text1"/>
                      <w14:textFill>
                        <w14:solidFill>
                          <w14:schemeClr w14:val="tx1"/>
                        </w14:solidFill>
                      </w14:textFill>
                    </w:rPr>
                  </w:pPr>
                  <w:r>
                    <w:rPr>
                      <w:color w:val="000000" w:themeColor="text1"/>
                      <w14:textFill>
                        <w14:solidFill>
                          <w14:schemeClr w14:val="tx1"/>
                        </w14:solidFill>
                      </w14:textFill>
                    </w:rPr>
                    <w:t>生产规模（吨/年）</w:t>
                  </w:r>
                </w:p>
              </w:tc>
              <w:tc>
                <w:tcPr>
                  <w:tcW w:w="1391" w:type="pct"/>
                  <w:tcBorders>
                    <w:right w:val="single" w:color="000000" w:sz="6" w:space="0"/>
                  </w:tcBorders>
                  <w:shd w:val="clear" w:color="auto" w:fill="auto"/>
                  <w:vAlign w:val="center"/>
                </w:tcPr>
                <w:p w14:paraId="68D54ACE">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产品规格（mL/瓶）</w:t>
                  </w:r>
                </w:p>
              </w:tc>
              <w:tc>
                <w:tcPr>
                  <w:tcW w:w="1400" w:type="pct"/>
                  <w:tcBorders>
                    <w:right w:val="single" w:color="000000" w:sz="6" w:space="0"/>
                  </w:tcBorders>
                  <w:shd w:val="clear" w:color="auto" w:fill="auto"/>
                  <w:vAlign w:val="center"/>
                </w:tcPr>
                <w:p w14:paraId="212955E0">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产品浓度（</w:t>
                  </w:r>
                  <w:r>
                    <w:rPr>
                      <w:color w:val="000000" w:themeColor="text1"/>
                      <w14:textFill>
                        <w14:solidFill>
                          <w14:schemeClr w14:val="tx1"/>
                        </w14:solidFill>
                      </w14:textFill>
                    </w:rPr>
                    <w:t>%vol</w:t>
                  </w:r>
                  <w:r>
                    <w:rPr>
                      <w:rFonts w:hint="eastAsia"/>
                      <w:color w:val="000000" w:themeColor="text1"/>
                      <w14:textFill>
                        <w14:solidFill>
                          <w14:schemeClr w14:val="tx1"/>
                        </w14:solidFill>
                      </w14:textFill>
                    </w:rPr>
                    <w:t>）</w:t>
                  </w:r>
                </w:p>
              </w:tc>
            </w:tr>
            <w:tr w14:paraId="21B8D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112EF37B">
                  <w:pPr>
                    <w:pStyle w:val="31"/>
                    <w:rPr>
                      <w:color w:val="000000" w:themeColor="text1"/>
                      <w14:textFill>
                        <w14:solidFill>
                          <w14:schemeClr w14:val="tx1"/>
                        </w14:solidFill>
                      </w14:textFill>
                    </w:rPr>
                  </w:pPr>
                  <w:r>
                    <w:rPr>
                      <w:color w:val="000000" w:themeColor="text1"/>
                      <w14:textFill>
                        <w14:solidFill>
                          <w14:schemeClr w14:val="tx1"/>
                        </w14:solidFill>
                      </w14:textFill>
                    </w:rPr>
                    <w:t>白酒</w:t>
                  </w:r>
                </w:p>
              </w:tc>
              <w:tc>
                <w:tcPr>
                  <w:tcW w:w="1174" w:type="pct"/>
                  <w:tcBorders>
                    <w:left w:val="single" w:color="000000" w:sz="6" w:space="0"/>
                  </w:tcBorders>
                  <w:shd w:val="clear" w:color="auto" w:fill="auto"/>
                  <w:vAlign w:val="center"/>
                </w:tcPr>
                <w:p w14:paraId="4E8B64C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100吨/年</w:t>
                  </w:r>
                </w:p>
              </w:tc>
              <w:tc>
                <w:tcPr>
                  <w:tcW w:w="1391" w:type="pct"/>
                  <w:tcBorders>
                    <w:left w:val="single" w:color="auto" w:sz="4" w:space="0"/>
                  </w:tcBorders>
                  <w:shd w:val="clear" w:color="auto" w:fill="auto"/>
                  <w:vAlign w:val="center"/>
                </w:tcPr>
                <w:p w14:paraId="53A18E9A">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1400" w:type="pct"/>
                  <w:tcBorders>
                    <w:left w:val="single" w:color="auto" w:sz="4" w:space="0"/>
                  </w:tcBorders>
                  <w:shd w:val="clear" w:color="auto" w:fill="auto"/>
                  <w:vAlign w:val="center"/>
                </w:tcPr>
                <w:p w14:paraId="5DFEF339">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52</w:t>
                  </w:r>
                </w:p>
              </w:tc>
            </w:tr>
            <w:tr w14:paraId="1D62B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72D66D86">
                  <w:pPr>
                    <w:pStyle w:val="31"/>
                    <w:rPr>
                      <w:color w:val="000000" w:themeColor="text1"/>
                      <w14:textFill>
                        <w14:solidFill>
                          <w14:schemeClr w14:val="tx1"/>
                        </w14:solidFill>
                      </w14:textFill>
                    </w:rPr>
                  </w:pPr>
                  <w:r>
                    <w:rPr>
                      <w:color w:val="000000" w:themeColor="text1"/>
                      <w14:textFill>
                        <w14:solidFill>
                          <w14:schemeClr w14:val="tx1"/>
                        </w14:solidFill>
                      </w14:textFill>
                    </w:rPr>
                    <w:t>包装</w:t>
                  </w:r>
                </w:p>
              </w:tc>
              <w:tc>
                <w:tcPr>
                  <w:tcW w:w="3965" w:type="pct"/>
                  <w:gridSpan w:val="3"/>
                  <w:tcBorders>
                    <w:left w:val="single" w:color="000000" w:sz="6" w:space="0"/>
                  </w:tcBorders>
                  <w:shd w:val="clear" w:color="auto" w:fill="auto"/>
                  <w:vAlign w:val="center"/>
                </w:tcPr>
                <w:p w14:paraId="55B1B382">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产品用500mL玻璃瓶装，外包装用纸盒包装（酒瓶和外包装纸盒均为外购定制，厂区内喷码采用激光喷码）</w:t>
                  </w:r>
                </w:p>
              </w:tc>
            </w:tr>
            <w:tr w14:paraId="43B68B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6AE6762C">
                  <w:pPr>
                    <w:pStyle w:val="31"/>
                    <w:rPr>
                      <w:color w:val="000000" w:themeColor="text1"/>
                      <w14:textFill>
                        <w14:solidFill>
                          <w14:schemeClr w14:val="tx1"/>
                        </w14:solidFill>
                      </w14:textFill>
                    </w:rPr>
                  </w:pPr>
                  <w:r>
                    <w:rPr>
                      <w:color w:val="000000" w:themeColor="text1"/>
                      <w14:textFill>
                        <w14:solidFill>
                          <w14:schemeClr w14:val="tx1"/>
                        </w14:solidFill>
                      </w14:textFill>
                    </w:rPr>
                    <w:t>产品质量标准</w:t>
                  </w:r>
                </w:p>
              </w:tc>
              <w:tc>
                <w:tcPr>
                  <w:tcW w:w="3965" w:type="pct"/>
                  <w:gridSpan w:val="3"/>
                  <w:tcBorders>
                    <w:left w:val="single" w:color="000000" w:sz="6" w:space="0"/>
                  </w:tcBorders>
                  <w:shd w:val="clear" w:color="auto" w:fill="auto"/>
                  <w:vAlign w:val="center"/>
                </w:tcPr>
                <w:p w14:paraId="092C5560">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浓香型白酒执行《白酒质量要求 第1部分：浓香型白酒》（GB/T10781.1-2021）</w:t>
                  </w:r>
                </w:p>
              </w:tc>
            </w:tr>
            <w:tr w14:paraId="2FEAE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465988BA">
                  <w:pPr>
                    <w:pStyle w:val="31"/>
                    <w:rPr>
                      <w:color w:val="000000" w:themeColor="text1"/>
                      <w14:textFill>
                        <w14:solidFill>
                          <w14:schemeClr w14:val="tx1"/>
                        </w14:solidFill>
                      </w14:textFill>
                    </w:rPr>
                  </w:pPr>
                  <w:r>
                    <w:rPr>
                      <w:color w:val="000000" w:themeColor="text1"/>
                      <w14:textFill>
                        <w14:solidFill>
                          <w14:schemeClr w14:val="tx1"/>
                        </w14:solidFill>
                      </w14:textFill>
                    </w:rPr>
                    <w:t>黄酒</w:t>
                  </w:r>
                </w:p>
              </w:tc>
              <w:tc>
                <w:tcPr>
                  <w:tcW w:w="1174" w:type="pct"/>
                  <w:tcBorders>
                    <w:left w:val="single" w:color="000000" w:sz="6" w:space="0"/>
                  </w:tcBorders>
                  <w:shd w:val="clear" w:color="auto" w:fill="auto"/>
                  <w:vAlign w:val="center"/>
                </w:tcPr>
                <w:p w14:paraId="10B342B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200吨/年</w:t>
                  </w:r>
                </w:p>
              </w:tc>
              <w:tc>
                <w:tcPr>
                  <w:tcW w:w="1391" w:type="pct"/>
                  <w:tcBorders>
                    <w:left w:val="single" w:color="auto" w:sz="4" w:space="0"/>
                  </w:tcBorders>
                  <w:shd w:val="clear" w:color="auto" w:fill="auto"/>
                  <w:vAlign w:val="center"/>
                </w:tcPr>
                <w:p w14:paraId="3B9219F4">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500</w:t>
                  </w:r>
                </w:p>
              </w:tc>
              <w:tc>
                <w:tcPr>
                  <w:tcW w:w="1400" w:type="pct"/>
                  <w:tcBorders>
                    <w:left w:val="single" w:color="auto" w:sz="4" w:space="0"/>
                  </w:tcBorders>
                  <w:shd w:val="clear" w:color="auto" w:fill="auto"/>
                  <w:vAlign w:val="center"/>
                </w:tcPr>
                <w:p w14:paraId="09E032DF">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16</w:t>
                  </w:r>
                </w:p>
              </w:tc>
            </w:tr>
            <w:tr w14:paraId="51113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766C18DA">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包装</w:t>
                  </w:r>
                </w:p>
              </w:tc>
              <w:tc>
                <w:tcPr>
                  <w:tcW w:w="3965" w:type="pct"/>
                  <w:gridSpan w:val="3"/>
                  <w:tcBorders>
                    <w:left w:val="single" w:color="000000" w:sz="6" w:space="0"/>
                  </w:tcBorders>
                  <w:shd w:val="clear" w:color="auto" w:fill="auto"/>
                  <w:vAlign w:val="center"/>
                </w:tcPr>
                <w:p w14:paraId="3504ACAF">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产品用500mL玻璃瓶装，外包装用纸盒包装（酒瓶和外包装纸盒均为外购定制，厂区内喷码采用激光喷码）</w:t>
                  </w:r>
                </w:p>
              </w:tc>
            </w:tr>
            <w:tr w14:paraId="7C02C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645D22A7">
                  <w:pPr>
                    <w:pStyle w:val="31"/>
                    <w:rPr>
                      <w:color w:val="000000" w:themeColor="text1"/>
                      <w14:textFill>
                        <w14:solidFill>
                          <w14:schemeClr w14:val="tx1"/>
                        </w14:solidFill>
                      </w14:textFill>
                    </w:rPr>
                  </w:pPr>
                  <w:r>
                    <w:rPr>
                      <w:color w:val="000000" w:themeColor="text1"/>
                      <w14:textFill>
                        <w14:solidFill>
                          <w14:schemeClr w14:val="tx1"/>
                        </w14:solidFill>
                      </w14:textFill>
                    </w:rPr>
                    <w:t>产品质量标准</w:t>
                  </w:r>
                </w:p>
              </w:tc>
              <w:tc>
                <w:tcPr>
                  <w:tcW w:w="3965" w:type="pct"/>
                  <w:gridSpan w:val="3"/>
                  <w:tcBorders>
                    <w:left w:val="single" w:color="000000" w:sz="6" w:space="0"/>
                  </w:tcBorders>
                  <w:shd w:val="clear" w:color="auto" w:fill="auto"/>
                  <w:vAlign w:val="center"/>
                </w:tcPr>
                <w:p w14:paraId="4D9BC8E3">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黄酒执行《黄酒》（GB/T 13662-2018）</w:t>
                  </w:r>
                </w:p>
              </w:tc>
            </w:tr>
            <w:tr w14:paraId="10539C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0DA949E9">
                  <w:pPr>
                    <w:pStyle w:val="31"/>
                    <w:rPr>
                      <w:color w:val="000000" w:themeColor="text1"/>
                      <w14:textFill>
                        <w14:solidFill>
                          <w14:schemeClr w14:val="tx1"/>
                        </w14:solidFill>
                      </w14:textFill>
                    </w:rPr>
                  </w:pPr>
                  <w:r>
                    <w:rPr>
                      <w:color w:val="000000" w:themeColor="text1"/>
                      <w14:textFill>
                        <w14:solidFill>
                          <w14:schemeClr w14:val="tx1"/>
                        </w14:solidFill>
                      </w14:textFill>
                    </w:rPr>
                    <w:t>啤酒</w:t>
                  </w:r>
                </w:p>
              </w:tc>
              <w:tc>
                <w:tcPr>
                  <w:tcW w:w="1174" w:type="pct"/>
                  <w:tcBorders>
                    <w:left w:val="single" w:color="000000" w:sz="6" w:space="0"/>
                  </w:tcBorders>
                  <w:shd w:val="clear" w:color="auto" w:fill="auto"/>
                  <w:vAlign w:val="center"/>
                </w:tcPr>
                <w:p w14:paraId="30076C97">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200吨/年</w:t>
                  </w:r>
                </w:p>
              </w:tc>
              <w:tc>
                <w:tcPr>
                  <w:tcW w:w="1391" w:type="pct"/>
                  <w:tcBorders>
                    <w:left w:val="single" w:color="auto" w:sz="4" w:space="0"/>
                  </w:tcBorders>
                  <w:shd w:val="clear" w:color="auto" w:fill="auto"/>
                  <w:vAlign w:val="center"/>
                </w:tcPr>
                <w:p w14:paraId="59BB4B07">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550</w:t>
                  </w:r>
                </w:p>
              </w:tc>
              <w:tc>
                <w:tcPr>
                  <w:tcW w:w="1400" w:type="pct"/>
                  <w:tcBorders>
                    <w:left w:val="single" w:color="auto" w:sz="4" w:space="0"/>
                  </w:tcBorders>
                  <w:shd w:val="clear" w:color="auto" w:fill="auto"/>
                  <w:vAlign w:val="center"/>
                </w:tcPr>
                <w:p w14:paraId="733DF070">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2.5（8</w:t>
                  </w:r>
                  <w:r>
                    <w:rPr>
                      <w:color w:val="000000" w:themeColor="text1"/>
                      <w:szCs w:val="21"/>
                      <w14:textFill>
                        <w14:solidFill>
                          <w14:schemeClr w14:val="tx1"/>
                        </w14:solidFill>
                      </w14:textFill>
                    </w:rPr>
                    <w:t>°P</w:t>
                  </w:r>
                  <w:r>
                    <w:rPr>
                      <w:rFonts w:hint="eastAsia"/>
                      <w:color w:val="000000" w:themeColor="text1"/>
                      <w14:textFill>
                        <w14:solidFill>
                          <w14:schemeClr w14:val="tx1"/>
                        </w14:solidFill>
                      </w14:textFill>
                    </w:rPr>
                    <w:t>）</w:t>
                  </w:r>
                </w:p>
              </w:tc>
            </w:tr>
            <w:tr w14:paraId="01CB5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48C3A3C2">
                  <w:pPr>
                    <w:pStyle w:val="31"/>
                    <w:rPr>
                      <w:color w:val="000000" w:themeColor="text1"/>
                      <w14:textFill>
                        <w14:solidFill>
                          <w14:schemeClr w14:val="tx1"/>
                        </w14:solidFill>
                      </w14:textFill>
                    </w:rPr>
                  </w:pPr>
                  <w:r>
                    <w:rPr>
                      <w:color w:val="000000" w:themeColor="text1"/>
                      <w14:textFill>
                        <w14:solidFill>
                          <w14:schemeClr w14:val="tx1"/>
                        </w14:solidFill>
                      </w14:textFill>
                    </w:rPr>
                    <w:t>包装</w:t>
                  </w:r>
                </w:p>
              </w:tc>
              <w:tc>
                <w:tcPr>
                  <w:tcW w:w="3965" w:type="pct"/>
                  <w:gridSpan w:val="3"/>
                  <w:tcBorders>
                    <w:left w:val="single" w:color="000000" w:sz="6" w:space="0"/>
                  </w:tcBorders>
                  <w:shd w:val="clear" w:color="auto" w:fill="auto"/>
                  <w:vAlign w:val="center"/>
                </w:tcPr>
                <w:p w14:paraId="45F0DF1B">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产品用550mL玻璃瓶装，外包装用纸盒包装（酒瓶和外包装纸盒均为外购定制，厂区内喷码采用激光喷码）</w:t>
                  </w:r>
                </w:p>
              </w:tc>
            </w:tr>
            <w:tr w14:paraId="73CA7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3C3F1DAA">
                  <w:pPr>
                    <w:pStyle w:val="31"/>
                    <w:rPr>
                      <w:color w:val="000000" w:themeColor="text1"/>
                      <w14:textFill>
                        <w14:solidFill>
                          <w14:schemeClr w14:val="tx1"/>
                        </w14:solidFill>
                      </w14:textFill>
                    </w:rPr>
                  </w:pPr>
                  <w:r>
                    <w:rPr>
                      <w:color w:val="000000" w:themeColor="text1"/>
                      <w14:textFill>
                        <w14:solidFill>
                          <w14:schemeClr w14:val="tx1"/>
                        </w14:solidFill>
                      </w14:textFill>
                    </w:rPr>
                    <w:t>产品质量标准</w:t>
                  </w:r>
                </w:p>
              </w:tc>
              <w:tc>
                <w:tcPr>
                  <w:tcW w:w="3965" w:type="pct"/>
                  <w:gridSpan w:val="3"/>
                  <w:tcBorders>
                    <w:left w:val="single" w:color="000000" w:sz="6" w:space="0"/>
                  </w:tcBorders>
                  <w:shd w:val="clear" w:color="auto" w:fill="auto"/>
                  <w:vAlign w:val="center"/>
                </w:tcPr>
                <w:p w14:paraId="23D3474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啤酒执行《啤酒》（GB</w:t>
                  </w:r>
                  <w:r>
                    <w:rPr>
                      <w:rFonts w:hint="eastAsia"/>
                      <w:color w:val="000000" w:themeColor="text1"/>
                      <w:lang w:val="en-US" w:eastAsia="zh-CN"/>
                      <w14:textFill>
                        <w14:solidFill>
                          <w14:schemeClr w14:val="tx1"/>
                        </w14:solidFill>
                      </w14:textFill>
                    </w:rPr>
                    <w:t>/T</w:t>
                  </w:r>
                  <w:r>
                    <w:rPr>
                      <w:rFonts w:hint="eastAsia"/>
                      <w:color w:val="000000" w:themeColor="text1"/>
                      <w14:textFill>
                        <w14:solidFill>
                          <w14:schemeClr w14:val="tx1"/>
                        </w14:solidFill>
                      </w14:textFill>
                    </w:rPr>
                    <w:t>4927-2008）</w:t>
                  </w:r>
                </w:p>
              </w:tc>
            </w:tr>
            <w:tr w14:paraId="7E7B5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43A0475F">
                  <w:pPr>
                    <w:pStyle w:val="31"/>
                    <w:rPr>
                      <w:color w:val="000000" w:themeColor="text1"/>
                      <w14:textFill>
                        <w14:solidFill>
                          <w14:schemeClr w14:val="tx1"/>
                        </w14:solidFill>
                      </w14:textFill>
                    </w:rPr>
                  </w:pPr>
                  <w:r>
                    <w:rPr>
                      <w:color w:val="000000" w:themeColor="text1"/>
                      <w14:textFill>
                        <w14:solidFill>
                          <w14:schemeClr w14:val="tx1"/>
                        </w14:solidFill>
                      </w14:textFill>
                    </w:rPr>
                    <w:t>果酒</w:t>
                  </w:r>
                  <w:r>
                    <w:rPr>
                      <w:rFonts w:hint="eastAsia"/>
                      <w:color w:val="000000" w:themeColor="text1"/>
                      <w14:textFill>
                        <w14:solidFill>
                          <w14:schemeClr w14:val="tx1"/>
                        </w14:solidFill>
                      </w14:textFill>
                    </w:rPr>
                    <w:t>（葡萄酒、苹果酒、猕猴桃酒）</w:t>
                  </w:r>
                </w:p>
              </w:tc>
              <w:tc>
                <w:tcPr>
                  <w:tcW w:w="1174" w:type="pct"/>
                  <w:tcBorders>
                    <w:left w:val="single" w:color="000000" w:sz="6" w:space="0"/>
                  </w:tcBorders>
                  <w:shd w:val="clear" w:color="auto" w:fill="auto"/>
                  <w:vAlign w:val="center"/>
                </w:tcPr>
                <w:p w14:paraId="355AEB46">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200吨/年（葡萄酒、苹果酒为70t/a，猕猴桃酒为60t/a）</w:t>
                  </w:r>
                </w:p>
              </w:tc>
              <w:tc>
                <w:tcPr>
                  <w:tcW w:w="1391" w:type="pct"/>
                  <w:tcBorders>
                    <w:left w:val="single" w:color="auto" w:sz="4" w:space="0"/>
                  </w:tcBorders>
                  <w:shd w:val="clear" w:color="auto" w:fill="auto"/>
                  <w:vAlign w:val="center"/>
                </w:tcPr>
                <w:p w14:paraId="1DE08E77">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750</w:t>
                  </w:r>
                </w:p>
              </w:tc>
              <w:tc>
                <w:tcPr>
                  <w:tcW w:w="1400" w:type="pct"/>
                  <w:tcBorders>
                    <w:left w:val="single" w:color="auto" w:sz="4" w:space="0"/>
                  </w:tcBorders>
                  <w:shd w:val="clear" w:color="auto" w:fill="auto"/>
                  <w:vAlign w:val="center"/>
                </w:tcPr>
                <w:p w14:paraId="51C70B9F">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r>
            <w:tr w14:paraId="2B4B9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6CA52C3E">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包装</w:t>
                  </w:r>
                </w:p>
              </w:tc>
              <w:tc>
                <w:tcPr>
                  <w:tcW w:w="3965" w:type="pct"/>
                  <w:gridSpan w:val="3"/>
                  <w:tcBorders>
                    <w:left w:val="single" w:color="000000" w:sz="6" w:space="0"/>
                  </w:tcBorders>
                  <w:shd w:val="clear" w:color="auto" w:fill="auto"/>
                  <w:vAlign w:val="center"/>
                </w:tcPr>
                <w:p w14:paraId="662710B5">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产品用750mL玻璃瓶装，外包装用纸盒包装（酒瓶和外包装纸盒均为外购定制，厂区内喷码采用激光喷码）</w:t>
                  </w:r>
                </w:p>
              </w:tc>
            </w:tr>
            <w:tr w14:paraId="752AB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13767F33">
                  <w:pPr>
                    <w:pStyle w:val="31"/>
                    <w:rPr>
                      <w:color w:val="000000" w:themeColor="text1"/>
                      <w14:textFill>
                        <w14:solidFill>
                          <w14:schemeClr w14:val="tx1"/>
                        </w14:solidFill>
                      </w14:textFill>
                    </w:rPr>
                  </w:pPr>
                  <w:r>
                    <w:rPr>
                      <w:color w:val="000000" w:themeColor="text1"/>
                      <w14:textFill>
                        <w14:solidFill>
                          <w14:schemeClr w14:val="tx1"/>
                        </w14:solidFill>
                      </w14:textFill>
                    </w:rPr>
                    <w:t>产品质量标准</w:t>
                  </w:r>
                </w:p>
              </w:tc>
              <w:tc>
                <w:tcPr>
                  <w:tcW w:w="3965" w:type="pct"/>
                  <w:gridSpan w:val="3"/>
                  <w:tcBorders>
                    <w:left w:val="single" w:color="000000" w:sz="6" w:space="0"/>
                  </w:tcBorders>
                  <w:shd w:val="clear" w:color="auto" w:fill="auto"/>
                  <w:vAlign w:val="center"/>
                </w:tcPr>
                <w:p w14:paraId="51EEF7E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果酒（除葡萄酒）执行《果酒通用技术要求》（QB/T 5476-2020）</w:t>
                  </w:r>
                </w:p>
                <w:p w14:paraId="21B5E6DF">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葡萄酒执行《葡萄酒》（GB</w:t>
                  </w:r>
                  <w:r>
                    <w:rPr>
                      <w:rFonts w:hint="eastAsia"/>
                      <w:color w:val="000000" w:themeColor="text1"/>
                      <w:lang w:val="en-US" w:eastAsia="zh-CN"/>
                      <w14:textFill>
                        <w14:solidFill>
                          <w14:schemeClr w14:val="tx1"/>
                        </w14:solidFill>
                      </w14:textFill>
                    </w:rPr>
                    <w:t>/T</w:t>
                  </w:r>
                  <w:r>
                    <w:rPr>
                      <w:rFonts w:hint="eastAsia"/>
                      <w:color w:val="000000" w:themeColor="text1"/>
                      <w14:textFill>
                        <w14:solidFill>
                          <w14:schemeClr w14:val="tx1"/>
                        </w14:solidFill>
                      </w14:textFill>
                    </w:rPr>
                    <w:t>15037-2006）</w:t>
                  </w:r>
                </w:p>
              </w:tc>
            </w:tr>
            <w:tr w14:paraId="7F4B8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2C5B4F2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植物饮料</w:t>
                  </w:r>
                </w:p>
              </w:tc>
              <w:tc>
                <w:tcPr>
                  <w:tcW w:w="1174" w:type="pct"/>
                  <w:tcBorders>
                    <w:left w:val="single" w:color="000000" w:sz="6" w:space="0"/>
                  </w:tcBorders>
                  <w:shd w:val="clear" w:color="auto" w:fill="auto"/>
                  <w:vAlign w:val="center"/>
                </w:tcPr>
                <w:p w14:paraId="7A97E4F1">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200吨/年</w:t>
                  </w:r>
                </w:p>
              </w:tc>
              <w:tc>
                <w:tcPr>
                  <w:tcW w:w="1391" w:type="pct"/>
                  <w:tcBorders>
                    <w:left w:val="single" w:color="auto" w:sz="4" w:space="0"/>
                  </w:tcBorders>
                  <w:shd w:val="clear" w:color="auto" w:fill="auto"/>
                  <w:vAlign w:val="center"/>
                </w:tcPr>
                <w:p w14:paraId="7C34735F">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100</w:t>
                  </w:r>
                </w:p>
              </w:tc>
              <w:tc>
                <w:tcPr>
                  <w:tcW w:w="1400" w:type="pct"/>
                  <w:tcBorders>
                    <w:left w:val="single" w:color="auto" w:sz="4" w:space="0"/>
                  </w:tcBorders>
                  <w:shd w:val="clear" w:color="auto" w:fill="auto"/>
                  <w:vAlign w:val="center"/>
                </w:tcPr>
                <w:p w14:paraId="78EAFA8E">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E5940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7BA36C10">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包装</w:t>
                  </w:r>
                </w:p>
              </w:tc>
              <w:tc>
                <w:tcPr>
                  <w:tcW w:w="3965" w:type="pct"/>
                  <w:gridSpan w:val="3"/>
                  <w:tcBorders>
                    <w:left w:val="single" w:color="000000" w:sz="6" w:space="0"/>
                  </w:tcBorders>
                  <w:shd w:val="clear" w:color="auto" w:fill="auto"/>
                  <w:vAlign w:val="center"/>
                </w:tcPr>
                <w:p w14:paraId="09926B44">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产品用100mL塑料瓶装，外包装用纸盒包装（酒瓶和外包装纸盒均为外购定制，厂区内喷码采用激光喷码）</w:t>
                  </w:r>
                </w:p>
              </w:tc>
            </w:tr>
            <w:tr w14:paraId="3C4B5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544CCE80">
                  <w:pPr>
                    <w:jc w:val="center"/>
                    <w:rPr>
                      <w:color w:val="000000" w:themeColor="text1"/>
                      <w:szCs w:val="21"/>
                      <w14:textFill>
                        <w14:solidFill>
                          <w14:schemeClr w14:val="tx1"/>
                        </w14:solidFill>
                      </w14:textFill>
                    </w:rPr>
                  </w:pPr>
                  <w:r>
                    <w:rPr>
                      <w:rFonts w:hint="eastAsia"/>
                      <w:color w:val="000000" w:themeColor="text1"/>
                      <w:sz w:val="24"/>
                      <w14:textFill>
                        <w14:solidFill>
                          <w14:schemeClr w14:val="tx1"/>
                        </w14:solidFill>
                      </w14:textFill>
                    </w:rPr>
                    <w:t>袋泡茶</w:t>
                  </w:r>
                </w:p>
              </w:tc>
              <w:tc>
                <w:tcPr>
                  <w:tcW w:w="1174" w:type="pct"/>
                  <w:tcBorders>
                    <w:left w:val="single" w:color="000000" w:sz="6" w:space="0"/>
                  </w:tcBorders>
                  <w:shd w:val="clear" w:color="auto" w:fill="auto"/>
                  <w:vAlign w:val="center"/>
                </w:tcPr>
                <w:p w14:paraId="45F7CB2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100吨/年</w:t>
                  </w:r>
                </w:p>
              </w:tc>
              <w:tc>
                <w:tcPr>
                  <w:tcW w:w="1391" w:type="pct"/>
                  <w:tcBorders>
                    <w:left w:val="single" w:color="auto" w:sz="4" w:space="0"/>
                  </w:tcBorders>
                  <w:shd w:val="clear" w:color="auto" w:fill="auto"/>
                  <w:vAlign w:val="center"/>
                </w:tcPr>
                <w:p w14:paraId="09B43AB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5g/袋</w:t>
                  </w:r>
                </w:p>
              </w:tc>
              <w:tc>
                <w:tcPr>
                  <w:tcW w:w="1400" w:type="pct"/>
                  <w:tcBorders>
                    <w:left w:val="single" w:color="auto" w:sz="4" w:space="0"/>
                  </w:tcBorders>
                  <w:shd w:val="clear" w:color="auto" w:fill="auto"/>
                  <w:vAlign w:val="center"/>
                </w:tcPr>
                <w:p w14:paraId="382EC07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6BE36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159D46A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医用手术衣</w:t>
                  </w:r>
                </w:p>
              </w:tc>
              <w:tc>
                <w:tcPr>
                  <w:tcW w:w="1174" w:type="pct"/>
                  <w:tcBorders>
                    <w:left w:val="single" w:color="000000" w:sz="6" w:space="0"/>
                  </w:tcBorders>
                  <w:shd w:val="clear" w:color="auto" w:fill="auto"/>
                  <w:vAlign w:val="center"/>
                </w:tcPr>
                <w:p w14:paraId="738A58E1">
                  <w:pPr>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2</w:t>
                  </w:r>
                  <w:r>
                    <w:rPr>
                      <w:rFonts w:hint="eastAsia"/>
                      <w:color w:val="000000" w:themeColor="text1"/>
                      <w:szCs w:val="21"/>
                      <w14:textFill>
                        <w14:solidFill>
                          <w14:schemeClr w14:val="tx1"/>
                        </w14:solidFill>
                      </w14:textFill>
                    </w:rPr>
                    <w:t>00000</w:t>
                  </w:r>
                  <w:r>
                    <w:rPr>
                      <w:rFonts w:hint="eastAsia"/>
                      <w:color w:val="000000" w:themeColor="text1"/>
                      <w:szCs w:val="21"/>
                      <w:lang w:val="en-US" w:eastAsia="zh-CN"/>
                      <w14:textFill>
                        <w14:solidFill>
                          <w14:schemeClr w14:val="tx1"/>
                        </w14:solidFill>
                      </w14:textFill>
                    </w:rPr>
                    <w:t>件</w:t>
                  </w:r>
                  <w:r>
                    <w:rPr>
                      <w:rFonts w:hint="eastAsia"/>
                      <w:color w:val="000000" w:themeColor="text1"/>
                      <w:szCs w:val="21"/>
                      <w14:textFill>
                        <w14:solidFill>
                          <w14:schemeClr w14:val="tx1"/>
                        </w14:solidFill>
                      </w14:textFill>
                    </w:rPr>
                    <w:t>/年</w:t>
                  </w:r>
                </w:p>
              </w:tc>
              <w:tc>
                <w:tcPr>
                  <w:tcW w:w="1391" w:type="pct"/>
                  <w:tcBorders>
                    <w:left w:val="single" w:color="auto" w:sz="4" w:space="0"/>
                  </w:tcBorders>
                  <w:shd w:val="clear" w:color="auto" w:fill="auto"/>
                  <w:vAlign w:val="center"/>
                </w:tcPr>
                <w:p w14:paraId="2C710D30">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200g/件</w:t>
                  </w:r>
                </w:p>
              </w:tc>
              <w:tc>
                <w:tcPr>
                  <w:tcW w:w="1400" w:type="pct"/>
                  <w:tcBorders>
                    <w:left w:val="single" w:color="auto" w:sz="4" w:space="0"/>
                  </w:tcBorders>
                  <w:shd w:val="clear" w:color="auto" w:fill="auto"/>
                  <w:vAlign w:val="center"/>
                </w:tcPr>
                <w:p w14:paraId="1898CEC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374C5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05898B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热敷理疗产品</w:t>
                  </w:r>
                </w:p>
              </w:tc>
              <w:tc>
                <w:tcPr>
                  <w:tcW w:w="1174" w:type="pct"/>
                  <w:tcBorders>
                    <w:left w:val="single" w:color="000000" w:sz="6" w:space="0"/>
                  </w:tcBorders>
                  <w:shd w:val="clear" w:color="auto" w:fill="auto"/>
                  <w:vAlign w:val="center"/>
                </w:tcPr>
                <w:p w14:paraId="3D8C767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1000000贴/年</w:t>
                  </w:r>
                </w:p>
              </w:tc>
              <w:tc>
                <w:tcPr>
                  <w:tcW w:w="1391" w:type="pct"/>
                  <w:tcBorders>
                    <w:left w:val="single" w:color="auto" w:sz="4" w:space="0"/>
                  </w:tcBorders>
                  <w:shd w:val="clear" w:color="auto" w:fill="auto"/>
                  <w:vAlign w:val="center"/>
                </w:tcPr>
                <w:p w14:paraId="2EB50390">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17*28mm</w:t>
                  </w:r>
                </w:p>
              </w:tc>
              <w:tc>
                <w:tcPr>
                  <w:tcW w:w="1400" w:type="pct"/>
                  <w:tcBorders>
                    <w:left w:val="single" w:color="auto" w:sz="4" w:space="0"/>
                  </w:tcBorders>
                  <w:shd w:val="clear" w:color="auto" w:fill="auto"/>
                  <w:vAlign w:val="center"/>
                </w:tcPr>
                <w:p w14:paraId="758A5347">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581E00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0C1A74B0">
                  <w:pPr>
                    <w:jc w:val="center"/>
                    <w:rPr>
                      <w:color w:val="000000" w:themeColor="text1"/>
                      <w:szCs w:val="21"/>
                      <w14:textFill>
                        <w14:solidFill>
                          <w14:schemeClr w14:val="tx1"/>
                        </w14:solidFill>
                      </w14:textFill>
                    </w:rPr>
                  </w:pPr>
                  <w:r>
                    <w:rPr>
                      <w:color w:val="000000" w:themeColor="text1"/>
                      <w14:textFill>
                        <w14:solidFill>
                          <w14:schemeClr w14:val="tx1"/>
                        </w14:solidFill>
                      </w14:textFill>
                    </w:rPr>
                    <w:t>产品质量标准</w:t>
                  </w:r>
                </w:p>
              </w:tc>
              <w:tc>
                <w:tcPr>
                  <w:tcW w:w="3965" w:type="pct"/>
                  <w:gridSpan w:val="3"/>
                  <w:tcBorders>
                    <w:left w:val="single" w:color="000000" w:sz="6" w:space="0"/>
                  </w:tcBorders>
                  <w:shd w:val="clear" w:color="auto" w:fill="auto"/>
                  <w:vAlign w:val="center"/>
                </w:tcPr>
                <w:p w14:paraId="4F34FC78">
                  <w:pPr>
                    <w:pStyle w:val="31"/>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热敷理疗产品执行《热敷贴（袋）》（</w:t>
                  </w:r>
                  <w:r>
                    <w:rPr>
                      <w:rFonts w:hint="eastAsia"/>
                      <w:color w:val="000000" w:themeColor="text1"/>
                      <w14:textFill>
                        <w14:solidFill>
                          <w14:schemeClr w14:val="tx1"/>
                        </w14:solidFill>
                      </w14:textFill>
                    </w:rPr>
                    <w:t>YY-0060-2018</w:t>
                  </w:r>
                  <w:r>
                    <w:rPr>
                      <w:rFonts w:hint="eastAsia"/>
                      <w:color w:val="000000" w:themeColor="text1"/>
                      <w:szCs w:val="21"/>
                      <w14:textFill>
                        <w14:solidFill>
                          <w14:schemeClr w14:val="tx1"/>
                        </w14:solidFill>
                      </w14:textFill>
                    </w:rPr>
                    <w:t>）</w:t>
                  </w:r>
                </w:p>
              </w:tc>
            </w:tr>
            <w:tr w14:paraId="43AAB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62481F5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治疗凝胶</w:t>
                  </w:r>
                </w:p>
              </w:tc>
              <w:tc>
                <w:tcPr>
                  <w:tcW w:w="1174" w:type="pct"/>
                  <w:tcBorders>
                    <w:left w:val="single" w:color="000000" w:sz="6" w:space="0"/>
                  </w:tcBorders>
                  <w:shd w:val="clear" w:color="auto" w:fill="auto"/>
                  <w:vAlign w:val="center"/>
                </w:tcPr>
                <w:p w14:paraId="0031C3C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1000000支/年</w:t>
                  </w:r>
                </w:p>
              </w:tc>
              <w:tc>
                <w:tcPr>
                  <w:tcW w:w="1391" w:type="pct"/>
                  <w:tcBorders>
                    <w:left w:val="single" w:color="auto" w:sz="4" w:space="0"/>
                  </w:tcBorders>
                  <w:shd w:val="clear" w:color="auto" w:fill="auto"/>
                  <w:vAlign w:val="center"/>
                </w:tcPr>
                <w:p w14:paraId="32507E60">
                  <w:pPr>
                    <w:pStyle w:val="31"/>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80g</w:t>
                  </w:r>
                </w:p>
              </w:tc>
              <w:tc>
                <w:tcPr>
                  <w:tcW w:w="1400" w:type="pct"/>
                  <w:tcBorders>
                    <w:left w:val="single" w:color="auto" w:sz="4" w:space="0"/>
                  </w:tcBorders>
                  <w:shd w:val="clear" w:color="auto" w:fill="auto"/>
                  <w:vAlign w:val="center"/>
                </w:tcPr>
                <w:p w14:paraId="38E1BEB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77BA9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34" w:type="pct"/>
                  <w:shd w:val="clear" w:color="auto" w:fill="auto"/>
                  <w:vAlign w:val="center"/>
                </w:tcPr>
                <w:p w14:paraId="41AD4567">
                  <w:pPr>
                    <w:jc w:val="center"/>
                    <w:rPr>
                      <w:color w:val="000000" w:themeColor="text1"/>
                      <w:szCs w:val="21"/>
                      <w14:textFill>
                        <w14:solidFill>
                          <w14:schemeClr w14:val="tx1"/>
                        </w14:solidFill>
                      </w14:textFill>
                    </w:rPr>
                  </w:pPr>
                  <w:r>
                    <w:rPr>
                      <w:color w:val="000000" w:themeColor="text1"/>
                      <w14:textFill>
                        <w14:solidFill>
                          <w14:schemeClr w14:val="tx1"/>
                        </w14:solidFill>
                      </w14:textFill>
                    </w:rPr>
                    <w:t>产品质量标准</w:t>
                  </w:r>
                </w:p>
              </w:tc>
              <w:tc>
                <w:tcPr>
                  <w:tcW w:w="3965" w:type="pct"/>
                  <w:gridSpan w:val="3"/>
                  <w:tcBorders>
                    <w:left w:val="single" w:color="000000" w:sz="6" w:space="0"/>
                  </w:tcBorders>
                  <w:shd w:val="clear" w:color="auto" w:fill="auto"/>
                  <w:vAlign w:val="center"/>
                </w:tcPr>
                <w:p w14:paraId="7ECEE6FF">
                  <w:pPr>
                    <w:pStyle w:val="31"/>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治疗凝胶执行《热敷贴（袋）》（</w:t>
                  </w:r>
                  <w:r>
                    <w:rPr>
                      <w:rFonts w:hint="eastAsia"/>
                      <w:color w:val="000000" w:themeColor="text1"/>
                      <w14:textFill>
                        <w14:solidFill>
                          <w14:schemeClr w14:val="tx1"/>
                        </w14:solidFill>
                      </w14:textFill>
                    </w:rPr>
                    <w:t>YY-0060-2018</w:t>
                  </w:r>
                  <w:r>
                    <w:rPr>
                      <w:rFonts w:hint="eastAsia"/>
                      <w:color w:val="000000" w:themeColor="text1"/>
                      <w:szCs w:val="21"/>
                      <w14:textFill>
                        <w14:solidFill>
                          <w14:schemeClr w14:val="tx1"/>
                        </w14:solidFill>
                      </w14:textFill>
                    </w:rPr>
                    <w:t>）</w:t>
                  </w:r>
                </w:p>
              </w:tc>
            </w:tr>
          </w:tbl>
          <w:p w14:paraId="017B8B25">
            <w:pPr>
              <w:pStyle w:val="42"/>
              <w:widowControl/>
              <w:adjustRightInd/>
              <w:ind w:firstLine="48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（2）产品标准</w:t>
            </w:r>
          </w:p>
          <w:p w14:paraId="304C0DD2">
            <w:pPr>
              <w:pStyle w:val="42"/>
              <w:widowControl/>
              <w:adjustRightInd/>
              <w:ind w:firstLine="48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本项目生产的白酒为浓香型，执行《酒质量要求 第1部分：浓香型白酒》标准要求。</w:t>
            </w:r>
          </w:p>
          <w:p w14:paraId="3150AD4A">
            <w:pPr>
              <w:pStyle w:val="42"/>
              <w:widowControl/>
              <w:adjustRightInd/>
              <w:ind w:firstLine="0" w:firstLineChars="0"/>
              <w:jc w:val="center"/>
              <w:rPr>
                <w:b/>
                <w:color w:val="000000" w:themeColor="text1"/>
                <w14:textFill>
                  <w14:solidFill>
                    <w14:schemeClr w14:val="tx1"/>
                  </w14:solidFill>
                </w14:textFill>
              </w:rPr>
            </w:pPr>
            <w:r>
              <w:rPr>
                <w:b/>
                <w:color w:val="000000" w:themeColor="text1"/>
                <w14:textFill>
                  <w14:solidFill>
                    <w14:schemeClr w14:val="tx1"/>
                  </w14:solidFill>
                </w14:textFill>
              </w:rPr>
              <w:t>表</w:t>
            </w:r>
            <w:r>
              <w:rPr>
                <w:rFonts w:hint="eastAsia"/>
                <w:b/>
                <w:color w:val="000000" w:themeColor="text1"/>
                <w14:textFill>
                  <w14:solidFill>
                    <w14:schemeClr w14:val="tx1"/>
                  </w14:solidFill>
                </w14:textFill>
              </w:rPr>
              <w:t>2-6</w:t>
            </w:r>
            <w:r>
              <w:rPr>
                <w:b/>
                <w:color w:val="000000" w:themeColor="text1"/>
                <w14:textFill>
                  <w14:solidFill>
                    <w14:schemeClr w14:val="tx1"/>
                  </w14:solidFill>
                </w14:textFill>
              </w:rPr>
              <w:t xml:space="preserve"> </w:t>
            </w:r>
            <w:r>
              <w:rPr>
                <w:rFonts w:hint="eastAsia"/>
                <w:b/>
                <w:color w:val="000000" w:themeColor="text1"/>
                <w14:textFill>
                  <w14:solidFill>
                    <w14:schemeClr w14:val="tx1"/>
                  </w14:solidFill>
                </w14:textFill>
              </w:rPr>
              <w:t xml:space="preserve"> </w:t>
            </w:r>
            <w:r>
              <w:rPr>
                <w:b/>
                <w:color w:val="000000" w:themeColor="text1"/>
                <w14:textFill>
                  <w14:solidFill>
                    <w14:schemeClr w14:val="tx1"/>
                  </w14:solidFill>
                </w14:textFill>
              </w:rPr>
              <w:t>《酒质量要求 第1部分：浓香型白酒》国家标准</w:t>
            </w:r>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45"/>
              <w:gridCol w:w="2956"/>
              <w:gridCol w:w="649"/>
              <w:gridCol w:w="1721"/>
              <w:gridCol w:w="1715"/>
            </w:tblGrid>
            <w:tr w14:paraId="59BB4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386" w:type="dxa"/>
                  <w:gridSpan w:val="5"/>
                  <w:vAlign w:val="center"/>
                </w:tcPr>
                <w:p w14:paraId="14DF3675">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高浓度酒感官要求</w:t>
                  </w:r>
                </w:p>
              </w:tc>
            </w:tr>
            <w:tr w14:paraId="7A008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5" w:type="dxa"/>
                  <w:vAlign w:val="center"/>
                </w:tcPr>
                <w:p w14:paraId="339FD557">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项目</w:t>
                  </w:r>
                </w:p>
              </w:tc>
              <w:tc>
                <w:tcPr>
                  <w:tcW w:w="3605" w:type="dxa"/>
                  <w:gridSpan w:val="2"/>
                  <w:vAlign w:val="center"/>
                </w:tcPr>
                <w:p w14:paraId="7405BE75">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优级</w:t>
                  </w:r>
                </w:p>
              </w:tc>
              <w:tc>
                <w:tcPr>
                  <w:tcW w:w="3436" w:type="dxa"/>
                  <w:gridSpan w:val="2"/>
                  <w:vAlign w:val="center"/>
                </w:tcPr>
                <w:p w14:paraId="4074893A">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一级</w:t>
                  </w:r>
                </w:p>
              </w:tc>
            </w:tr>
            <w:tr w14:paraId="4E92F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5" w:type="dxa"/>
                  <w:vAlign w:val="center"/>
                </w:tcPr>
                <w:p w14:paraId="3DD5DCF1">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色泽和外观</w:t>
                  </w:r>
                </w:p>
              </w:tc>
              <w:tc>
                <w:tcPr>
                  <w:tcW w:w="7041" w:type="dxa"/>
                  <w:gridSpan w:val="4"/>
                  <w:vAlign w:val="center"/>
                </w:tcPr>
                <w:p w14:paraId="1A60A94E">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无色或微黄，清亮透明，无悬浮物，无沉淀</w:t>
                  </w:r>
                </w:p>
              </w:tc>
            </w:tr>
            <w:tr w14:paraId="27208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5" w:type="dxa"/>
                  <w:vAlign w:val="center"/>
                </w:tcPr>
                <w:p w14:paraId="42AD3534">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香气</w:t>
                  </w:r>
                </w:p>
              </w:tc>
              <w:tc>
                <w:tcPr>
                  <w:tcW w:w="3605" w:type="dxa"/>
                  <w:gridSpan w:val="2"/>
                  <w:vAlign w:val="center"/>
                </w:tcPr>
                <w:p w14:paraId="14EBE30F">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具有以浓郁窖香为主，舒适的复合香气</w:t>
                  </w:r>
                </w:p>
              </w:tc>
              <w:tc>
                <w:tcPr>
                  <w:tcW w:w="3436" w:type="dxa"/>
                  <w:gridSpan w:val="2"/>
                  <w:vAlign w:val="center"/>
                </w:tcPr>
                <w:p w14:paraId="578F4F0A">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具有以较浓郁窖香为主，舒适的复合香气</w:t>
                  </w:r>
                </w:p>
              </w:tc>
            </w:tr>
            <w:tr w14:paraId="0F0D9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2345" w:type="dxa"/>
                  <w:vAlign w:val="center"/>
                </w:tcPr>
                <w:p w14:paraId="22D32672">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口味口感</w:t>
                  </w:r>
                </w:p>
              </w:tc>
              <w:tc>
                <w:tcPr>
                  <w:tcW w:w="3605" w:type="dxa"/>
                  <w:gridSpan w:val="2"/>
                  <w:vAlign w:val="center"/>
                </w:tcPr>
                <w:p w14:paraId="16E1144B">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绵甜醇厚，谐调爽净，余味悠长</w:t>
                  </w:r>
                </w:p>
              </w:tc>
              <w:tc>
                <w:tcPr>
                  <w:tcW w:w="3436" w:type="dxa"/>
                  <w:gridSpan w:val="2"/>
                  <w:vAlign w:val="center"/>
                </w:tcPr>
                <w:p w14:paraId="10443512">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较绵甜醇厚，谐调爽净，余味悠长</w:t>
                  </w:r>
                </w:p>
              </w:tc>
            </w:tr>
            <w:tr w14:paraId="2E75E7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5" w:type="dxa"/>
                  <w:vAlign w:val="center"/>
                </w:tcPr>
                <w:p w14:paraId="70E21B2C">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风格</w:t>
                  </w:r>
                </w:p>
              </w:tc>
              <w:tc>
                <w:tcPr>
                  <w:tcW w:w="3605" w:type="dxa"/>
                  <w:gridSpan w:val="2"/>
                  <w:vAlign w:val="center"/>
                </w:tcPr>
                <w:p w14:paraId="37F56A6B">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具有本品典型的风格</w:t>
                  </w:r>
                </w:p>
              </w:tc>
              <w:tc>
                <w:tcPr>
                  <w:tcW w:w="3436" w:type="dxa"/>
                  <w:gridSpan w:val="2"/>
                  <w:vAlign w:val="center"/>
                </w:tcPr>
                <w:p w14:paraId="40250191">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具有本品明显的风格</w:t>
                  </w:r>
                </w:p>
              </w:tc>
            </w:tr>
            <w:tr w14:paraId="07C98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9386" w:type="dxa"/>
                  <w:gridSpan w:val="5"/>
                  <w:vAlign w:val="center"/>
                </w:tcPr>
                <w:p w14:paraId="15B08072">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高浓度酒理化要求</w:t>
                  </w:r>
                </w:p>
              </w:tc>
            </w:tr>
            <w:tr w14:paraId="3BCE4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50" w:type="dxa"/>
                  <w:gridSpan w:val="3"/>
                  <w:vAlign w:val="center"/>
                </w:tcPr>
                <w:p w14:paraId="78E9FEFB">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项目</w:t>
                  </w:r>
                </w:p>
              </w:tc>
              <w:tc>
                <w:tcPr>
                  <w:tcW w:w="1721" w:type="dxa"/>
                  <w:shd w:val="clear" w:color="auto" w:fill="auto"/>
                  <w:vAlign w:val="center"/>
                </w:tcPr>
                <w:p w14:paraId="6E0455B2">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优级</w:t>
                  </w:r>
                </w:p>
              </w:tc>
              <w:tc>
                <w:tcPr>
                  <w:tcW w:w="1715" w:type="dxa"/>
                  <w:shd w:val="clear" w:color="auto" w:fill="auto"/>
                  <w:vAlign w:val="center"/>
                </w:tcPr>
                <w:p w14:paraId="521E4D6E">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一级</w:t>
                  </w:r>
                </w:p>
              </w:tc>
            </w:tr>
            <w:tr w14:paraId="23D12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950" w:type="dxa"/>
                  <w:gridSpan w:val="3"/>
                  <w:vAlign w:val="center"/>
                </w:tcPr>
                <w:p w14:paraId="040A4050">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酒精浓度/（%vol）</w:t>
                  </w:r>
                </w:p>
              </w:tc>
              <w:tc>
                <w:tcPr>
                  <w:tcW w:w="3436" w:type="dxa"/>
                  <w:gridSpan w:val="2"/>
                  <w:vAlign w:val="center"/>
                </w:tcPr>
                <w:p w14:paraId="6C852B36">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40~68°（不含40%vol）</w:t>
                  </w:r>
                </w:p>
              </w:tc>
            </w:tr>
            <w:tr w14:paraId="70C95A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301" w:type="dxa"/>
                  <w:gridSpan w:val="2"/>
                  <w:vAlign w:val="center"/>
                </w:tcPr>
                <w:p w14:paraId="31E3CA38">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固体物/（g/L）</w:t>
                  </w:r>
                </w:p>
              </w:tc>
              <w:tc>
                <w:tcPr>
                  <w:tcW w:w="649" w:type="dxa"/>
                  <w:vAlign w:val="center"/>
                </w:tcPr>
                <w:p w14:paraId="30F61B24">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ascii="宋体" w:hAnsi="宋体" w:cs="宋体"/>
                      <w:bCs/>
                      <w:color w:val="000000" w:themeColor="text1"/>
                      <w:sz w:val="21"/>
                      <w:szCs w:val="21"/>
                      <w14:textFill>
                        <w14:solidFill>
                          <w14:schemeClr w14:val="tx1"/>
                        </w14:solidFill>
                      </w14:textFill>
                    </w:rPr>
                    <w:t>≤</w:t>
                  </w:r>
                </w:p>
              </w:tc>
              <w:tc>
                <w:tcPr>
                  <w:tcW w:w="3436" w:type="dxa"/>
                  <w:gridSpan w:val="2"/>
                  <w:vAlign w:val="center"/>
                </w:tcPr>
                <w:p w14:paraId="5419B043">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0.40</w:t>
                  </w:r>
                </w:p>
              </w:tc>
            </w:tr>
            <w:tr w14:paraId="4C394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5" w:type="dxa"/>
                  <w:vAlign w:val="center"/>
                </w:tcPr>
                <w:p w14:paraId="1B36091A">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总酸/（g/L）</w:t>
                  </w:r>
                </w:p>
              </w:tc>
              <w:tc>
                <w:tcPr>
                  <w:tcW w:w="2956" w:type="dxa"/>
                  <w:vMerge w:val="restart"/>
                  <w:vAlign w:val="center"/>
                </w:tcPr>
                <w:p w14:paraId="212C9D72">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产品自生产日期</w:t>
                  </w:r>
                  <w:r>
                    <w:rPr>
                      <w:rFonts w:hint="eastAsia" w:ascii="宋体" w:hAnsi="宋体" w:cs="宋体"/>
                      <w:bCs/>
                      <w:color w:val="000000" w:themeColor="text1"/>
                      <w:sz w:val="21"/>
                      <w:szCs w:val="21"/>
                      <w14:textFill>
                        <w14:solidFill>
                          <w14:schemeClr w14:val="tx1"/>
                        </w14:solidFill>
                      </w14:textFill>
                    </w:rPr>
                    <w:t>≤</w:t>
                  </w:r>
                  <w:r>
                    <w:rPr>
                      <w:bCs/>
                      <w:color w:val="000000" w:themeColor="text1"/>
                      <w:sz w:val="21"/>
                      <w:szCs w:val="21"/>
                      <w14:textFill>
                        <w14:solidFill>
                          <w14:schemeClr w14:val="tx1"/>
                        </w14:solidFill>
                      </w14:textFill>
                    </w:rPr>
                    <w:t>1年的执行</w:t>
                  </w:r>
                </w:p>
              </w:tc>
              <w:tc>
                <w:tcPr>
                  <w:tcW w:w="649" w:type="dxa"/>
                  <w:vAlign w:val="center"/>
                </w:tcPr>
                <w:p w14:paraId="0650009D">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ascii="宋体" w:hAnsi="宋体" w:cs="宋体"/>
                      <w:bCs/>
                      <w:color w:val="000000" w:themeColor="text1"/>
                      <w:sz w:val="21"/>
                      <w:szCs w:val="21"/>
                      <w14:textFill>
                        <w14:solidFill>
                          <w14:schemeClr w14:val="tx1"/>
                        </w14:solidFill>
                      </w14:textFill>
                    </w:rPr>
                    <w:t>≤</w:t>
                  </w:r>
                </w:p>
              </w:tc>
              <w:tc>
                <w:tcPr>
                  <w:tcW w:w="1721" w:type="dxa"/>
                  <w:vAlign w:val="center"/>
                </w:tcPr>
                <w:p w14:paraId="6401D478">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0.40</w:t>
                  </w:r>
                </w:p>
              </w:tc>
              <w:tc>
                <w:tcPr>
                  <w:tcW w:w="1715" w:type="dxa"/>
                  <w:vAlign w:val="center"/>
                </w:tcPr>
                <w:p w14:paraId="3F2023C6">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0.30</w:t>
                  </w:r>
                </w:p>
              </w:tc>
            </w:tr>
            <w:tr w14:paraId="6F0F5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5" w:type="dxa"/>
                  <w:vAlign w:val="center"/>
                </w:tcPr>
                <w:p w14:paraId="0695EEEB">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总酯/（g/L）</w:t>
                  </w:r>
                </w:p>
              </w:tc>
              <w:tc>
                <w:tcPr>
                  <w:tcW w:w="2956" w:type="dxa"/>
                  <w:vMerge w:val="continue"/>
                  <w:vAlign w:val="center"/>
                </w:tcPr>
                <w:p w14:paraId="6DCF04B7">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p>
              </w:tc>
              <w:tc>
                <w:tcPr>
                  <w:tcW w:w="649" w:type="dxa"/>
                  <w:vAlign w:val="center"/>
                </w:tcPr>
                <w:p w14:paraId="0198FB54">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ascii="宋体" w:hAnsi="宋体" w:cs="宋体"/>
                      <w:bCs/>
                      <w:color w:val="000000" w:themeColor="text1"/>
                      <w:sz w:val="21"/>
                      <w:szCs w:val="21"/>
                      <w14:textFill>
                        <w14:solidFill>
                          <w14:schemeClr w14:val="tx1"/>
                        </w14:solidFill>
                      </w14:textFill>
                    </w:rPr>
                    <w:t>≤</w:t>
                  </w:r>
                </w:p>
              </w:tc>
              <w:tc>
                <w:tcPr>
                  <w:tcW w:w="1721" w:type="dxa"/>
                  <w:vAlign w:val="center"/>
                </w:tcPr>
                <w:p w14:paraId="5104A1A1">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2.00</w:t>
                  </w:r>
                </w:p>
              </w:tc>
              <w:tc>
                <w:tcPr>
                  <w:tcW w:w="1715" w:type="dxa"/>
                  <w:vAlign w:val="center"/>
                </w:tcPr>
                <w:p w14:paraId="24E8F2F0">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1.50</w:t>
                  </w:r>
                </w:p>
              </w:tc>
            </w:tr>
            <w:tr w14:paraId="18033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5" w:type="dxa"/>
                  <w:vAlign w:val="center"/>
                </w:tcPr>
                <w:p w14:paraId="3DE94E56">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乙酸乙酯/（g/L）</w:t>
                  </w:r>
                </w:p>
              </w:tc>
              <w:tc>
                <w:tcPr>
                  <w:tcW w:w="2956" w:type="dxa"/>
                  <w:vMerge w:val="continue"/>
                  <w:vAlign w:val="center"/>
                </w:tcPr>
                <w:p w14:paraId="0D9F7877">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p>
              </w:tc>
              <w:tc>
                <w:tcPr>
                  <w:tcW w:w="649" w:type="dxa"/>
                  <w:vAlign w:val="center"/>
                </w:tcPr>
                <w:p w14:paraId="3500F0EF">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ascii="宋体" w:hAnsi="宋体" w:cs="宋体"/>
                      <w:bCs/>
                      <w:color w:val="000000" w:themeColor="text1"/>
                      <w:sz w:val="21"/>
                      <w:szCs w:val="21"/>
                      <w14:textFill>
                        <w14:solidFill>
                          <w14:schemeClr w14:val="tx1"/>
                        </w14:solidFill>
                      </w14:textFill>
                    </w:rPr>
                    <w:t>≤</w:t>
                  </w:r>
                </w:p>
              </w:tc>
              <w:tc>
                <w:tcPr>
                  <w:tcW w:w="1721" w:type="dxa"/>
                  <w:vAlign w:val="center"/>
                </w:tcPr>
                <w:p w14:paraId="3DDED281">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1.20</w:t>
                  </w:r>
                </w:p>
              </w:tc>
              <w:tc>
                <w:tcPr>
                  <w:tcW w:w="1715" w:type="dxa"/>
                  <w:vAlign w:val="center"/>
                </w:tcPr>
                <w:p w14:paraId="6FB1AC90">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0.60</w:t>
                  </w:r>
                </w:p>
              </w:tc>
            </w:tr>
            <w:tr w14:paraId="4923A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5" w:type="dxa"/>
                  <w:vAlign w:val="center"/>
                </w:tcPr>
                <w:p w14:paraId="3F315602">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酸酯总量/（mmol/L）</w:t>
                  </w:r>
                </w:p>
              </w:tc>
              <w:tc>
                <w:tcPr>
                  <w:tcW w:w="2956" w:type="dxa"/>
                  <w:vMerge w:val="restart"/>
                  <w:vAlign w:val="center"/>
                </w:tcPr>
                <w:p w14:paraId="021AC32B">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产品自生产日期</w:t>
                  </w:r>
                  <w:r>
                    <w:rPr>
                      <w:rFonts w:hint="eastAsia" w:ascii="宋体" w:hAnsi="宋体" w:cs="宋体"/>
                      <w:bCs/>
                      <w:color w:val="000000" w:themeColor="text1"/>
                      <w:sz w:val="21"/>
                      <w:szCs w:val="21"/>
                      <w14:textFill>
                        <w14:solidFill>
                          <w14:schemeClr w14:val="tx1"/>
                        </w14:solidFill>
                      </w14:textFill>
                    </w:rPr>
                    <w:t>≥</w:t>
                  </w:r>
                  <w:r>
                    <w:rPr>
                      <w:bCs/>
                      <w:color w:val="000000" w:themeColor="text1"/>
                      <w:sz w:val="21"/>
                      <w:szCs w:val="21"/>
                      <w14:textFill>
                        <w14:solidFill>
                          <w14:schemeClr w14:val="tx1"/>
                        </w14:solidFill>
                      </w14:textFill>
                    </w:rPr>
                    <w:t>1年的执行</w:t>
                  </w:r>
                </w:p>
              </w:tc>
              <w:tc>
                <w:tcPr>
                  <w:tcW w:w="649" w:type="dxa"/>
                  <w:shd w:val="clear" w:color="auto" w:fill="auto"/>
                  <w:vAlign w:val="center"/>
                </w:tcPr>
                <w:p w14:paraId="07D78B5B">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ascii="宋体" w:hAnsi="宋体" w:cs="宋体"/>
                      <w:bCs/>
                      <w:color w:val="000000" w:themeColor="text1"/>
                      <w:sz w:val="21"/>
                      <w:szCs w:val="21"/>
                      <w14:textFill>
                        <w14:solidFill>
                          <w14:schemeClr w14:val="tx1"/>
                        </w14:solidFill>
                      </w14:textFill>
                    </w:rPr>
                    <w:t>≤</w:t>
                  </w:r>
                </w:p>
              </w:tc>
              <w:tc>
                <w:tcPr>
                  <w:tcW w:w="1721" w:type="dxa"/>
                  <w:vAlign w:val="center"/>
                </w:tcPr>
                <w:p w14:paraId="4D0831DA">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35.0</w:t>
                  </w:r>
                </w:p>
              </w:tc>
              <w:tc>
                <w:tcPr>
                  <w:tcW w:w="1715" w:type="dxa"/>
                  <w:vAlign w:val="center"/>
                </w:tcPr>
                <w:p w14:paraId="698DBB79">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30.0</w:t>
                  </w:r>
                </w:p>
              </w:tc>
            </w:tr>
            <w:tr w14:paraId="79E30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45" w:type="dxa"/>
                  <w:vAlign w:val="center"/>
                </w:tcPr>
                <w:p w14:paraId="43071BCC">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乙酸+乙酸乙酯/（g/L）</w:t>
                  </w:r>
                </w:p>
              </w:tc>
              <w:tc>
                <w:tcPr>
                  <w:tcW w:w="2956" w:type="dxa"/>
                  <w:vMerge w:val="continue"/>
                  <w:vAlign w:val="center"/>
                </w:tcPr>
                <w:p w14:paraId="03CCDF7B">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p>
              </w:tc>
              <w:tc>
                <w:tcPr>
                  <w:tcW w:w="649" w:type="dxa"/>
                  <w:shd w:val="clear" w:color="auto" w:fill="auto"/>
                  <w:vAlign w:val="center"/>
                </w:tcPr>
                <w:p w14:paraId="1B194795">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rFonts w:hint="eastAsia" w:ascii="宋体" w:hAnsi="宋体" w:cs="宋体"/>
                      <w:bCs/>
                      <w:color w:val="000000" w:themeColor="text1"/>
                      <w:sz w:val="21"/>
                      <w:szCs w:val="21"/>
                      <w14:textFill>
                        <w14:solidFill>
                          <w14:schemeClr w14:val="tx1"/>
                        </w14:solidFill>
                      </w14:textFill>
                    </w:rPr>
                    <w:t>≤</w:t>
                  </w:r>
                </w:p>
              </w:tc>
              <w:tc>
                <w:tcPr>
                  <w:tcW w:w="1721" w:type="dxa"/>
                  <w:vAlign w:val="center"/>
                </w:tcPr>
                <w:p w14:paraId="79A8B5FD">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1.50</w:t>
                  </w:r>
                </w:p>
              </w:tc>
              <w:tc>
                <w:tcPr>
                  <w:tcW w:w="1715" w:type="dxa"/>
                  <w:vAlign w:val="center"/>
                </w:tcPr>
                <w:p w14:paraId="3717D229">
                  <w:pPr>
                    <w:pStyle w:val="42"/>
                    <w:widowControl/>
                    <w:adjustRightInd/>
                    <w:spacing w:line="240" w:lineRule="auto"/>
                    <w:ind w:firstLine="0" w:firstLineChars="0"/>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1.00</w:t>
                  </w:r>
                </w:p>
              </w:tc>
            </w:tr>
          </w:tbl>
          <w:p w14:paraId="618ABA58">
            <w:pPr>
              <w:pStyle w:val="42"/>
              <w:widowControl/>
              <w:adjustRightInd/>
              <w:ind w:firstLine="48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本项目生产的黄酒为传统型半甜黄酒，执行《黄酒》标准要求。</w:t>
            </w:r>
          </w:p>
          <w:p w14:paraId="6138A288">
            <w:pPr>
              <w:pStyle w:val="42"/>
              <w:widowControl/>
              <w:adjustRightInd/>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表2-7  《黄酒》</w:t>
            </w:r>
            <w:r>
              <w:rPr>
                <w:b/>
                <w:color w:val="000000" w:themeColor="text1"/>
                <w14:textFill>
                  <w14:solidFill>
                    <w14:schemeClr w14:val="tx1"/>
                  </w14:solidFill>
                </w14:textFill>
              </w:rPr>
              <w:t>国家标准</w:t>
            </w:r>
          </w:p>
          <w:tbl>
            <w:tblPr>
              <w:tblStyle w:val="26"/>
              <w:tblW w:w="93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0"/>
              <w:gridCol w:w="1485"/>
              <w:gridCol w:w="2100"/>
              <w:gridCol w:w="2250"/>
              <w:gridCol w:w="2611"/>
            </w:tblGrid>
            <w:tr w14:paraId="6168FB2A">
              <w:tblPrEx>
                <w:tblCellMar>
                  <w:top w:w="0" w:type="dxa"/>
                  <w:left w:w="108" w:type="dxa"/>
                  <w:bottom w:w="0" w:type="dxa"/>
                  <w:right w:w="108" w:type="dxa"/>
                </w:tblCellMar>
              </w:tblPrEx>
              <w:trPr>
                <w:trHeight w:val="454" w:hRule="atLeast"/>
              </w:trPr>
              <w:tc>
                <w:tcPr>
                  <w:tcW w:w="950" w:type="dxa"/>
                  <w:vAlign w:val="center"/>
                </w:tcPr>
                <w:p w14:paraId="565AF95C">
                  <w:pPr>
                    <w:pStyle w:val="31"/>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1485" w:type="dxa"/>
                  <w:vAlign w:val="center"/>
                </w:tcPr>
                <w:p w14:paraId="1CF6CB4E">
                  <w:pPr>
                    <w:pStyle w:val="31"/>
                    <w:rPr>
                      <w:color w:val="000000" w:themeColor="text1"/>
                      <w14:textFill>
                        <w14:solidFill>
                          <w14:schemeClr w14:val="tx1"/>
                        </w14:solidFill>
                      </w14:textFill>
                    </w:rPr>
                  </w:pPr>
                  <w:r>
                    <w:rPr>
                      <w:color w:val="000000" w:themeColor="text1"/>
                      <w14:textFill>
                        <w14:solidFill>
                          <w14:schemeClr w14:val="tx1"/>
                        </w14:solidFill>
                      </w14:textFill>
                    </w:rPr>
                    <w:t>类型</w:t>
                  </w:r>
                </w:p>
              </w:tc>
              <w:tc>
                <w:tcPr>
                  <w:tcW w:w="2100" w:type="dxa"/>
                  <w:vAlign w:val="center"/>
                </w:tcPr>
                <w:p w14:paraId="626CF18F">
                  <w:pPr>
                    <w:pStyle w:val="31"/>
                    <w:rPr>
                      <w:color w:val="000000" w:themeColor="text1"/>
                      <w14:textFill>
                        <w14:solidFill>
                          <w14:schemeClr w14:val="tx1"/>
                        </w14:solidFill>
                      </w14:textFill>
                    </w:rPr>
                  </w:pPr>
                  <w:r>
                    <w:rPr>
                      <w:bCs/>
                      <w:color w:val="000000" w:themeColor="text1"/>
                      <w:szCs w:val="21"/>
                      <w14:textFill>
                        <w14:solidFill>
                          <w14:schemeClr w14:val="tx1"/>
                        </w14:solidFill>
                      </w14:textFill>
                    </w:rPr>
                    <w:t>优级</w:t>
                  </w:r>
                </w:p>
              </w:tc>
              <w:tc>
                <w:tcPr>
                  <w:tcW w:w="2250" w:type="dxa"/>
                  <w:vAlign w:val="center"/>
                </w:tcPr>
                <w:p w14:paraId="0EAC9218">
                  <w:pPr>
                    <w:pStyle w:val="31"/>
                    <w:rPr>
                      <w:color w:val="000000" w:themeColor="text1"/>
                      <w14:textFill>
                        <w14:solidFill>
                          <w14:schemeClr w14:val="tx1"/>
                        </w14:solidFill>
                      </w14:textFill>
                    </w:rPr>
                  </w:pPr>
                  <w:r>
                    <w:rPr>
                      <w:bCs/>
                      <w:color w:val="000000" w:themeColor="text1"/>
                      <w:szCs w:val="21"/>
                      <w14:textFill>
                        <w14:solidFill>
                          <w14:schemeClr w14:val="tx1"/>
                        </w14:solidFill>
                      </w14:textFill>
                    </w:rPr>
                    <w:t>一级</w:t>
                  </w:r>
                </w:p>
              </w:tc>
              <w:tc>
                <w:tcPr>
                  <w:tcW w:w="2611" w:type="dxa"/>
                  <w:vAlign w:val="center"/>
                </w:tcPr>
                <w:p w14:paraId="1F7859AC">
                  <w:pPr>
                    <w:pStyle w:val="31"/>
                    <w:rPr>
                      <w:color w:val="000000" w:themeColor="text1"/>
                      <w14:textFill>
                        <w14:solidFill>
                          <w14:schemeClr w14:val="tx1"/>
                        </w14:solidFill>
                      </w14:textFill>
                    </w:rPr>
                  </w:pPr>
                  <w:r>
                    <w:rPr>
                      <w:color w:val="000000" w:themeColor="text1"/>
                      <w14:textFill>
                        <w14:solidFill>
                          <w14:schemeClr w14:val="tx1"/>
                        </w14:solidFill>
                      </w14:textFill>
                    </w:rPr>
                    <w:t>二级</w:t>
                  </w:r>
                </w:p>
              </w:tc>
            </w:tr>
            <w:tr w14:paraId="213166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restart"/>
                  <w:vAlign w:val="center"/>
                </w:tcPr>
                <w:p w14:paraId="220E0AB1">
                  <w:pPr>
                    <w:pStyle w:val="31"/>
                    <w:rPr>
                      <w:color w:val="000000" w:themeColor="text1"/>
                      <w14:textFill>
                        <w14:solidFill>
                          <w14:schemeClr w14:val="tx1"/>
                        </w14:solidFill>
                      </w14:textFill>
                    </w:rPr>
                  </w:pPr>
                  <w:r>
                    <w:rPr>
                      <w:color w:val="000000" w:themeColor="text1"/>
                      <w14:textFill>
                        <w14:solidFill>
                          <w14:schemeClr w14:val="tx1"/>
                        </w14:solidFill>
                      </w14:textFill>
                    </w:rPr>
                    <w:t>外观</w:t>
                  </w:r>
                </w:p>
              </w:tc>
              <w:tc>
                <w:tcPr>
                  <w:tcW w:w="1485" w:type="dxa"/>
                  <w:vAlign w:val="center"/>
                </w:tcPr>
                <w:p w14:paraId="009ED65B">
                  <w:pPr>
                    <w:pStyle w:val="31"/>
                    <w:rPr>
                      <w:color w:val="000000" w:themeColor="text1"/>
                      <w14:textFill>
                        <w14:solidFill>
                          <w14:schemeClr w14:val="tx1"/>
                        </w14:solidFill>
                      </w14:textFill>
                    </w:rPr>
                  </w:pPr>
                  <w:r>
                    <w:rPr>
                      <w:color w:val="000000" w:themeColor="text1"/>
                      <w14:textFill>
                        <w14:solidFill>
                          <w14:schemeClr w14:val="tx1"/>
                        </w14:solidFill>
                      </w14:textFill>
                    </w:rPr>
                    <w:t>干黄酒</w:t>
                  </w:r>
                </w:p>
              </w:tc>
              <w:tc>
                <w:tcPr>
                  <w:tcW w:w="4350" w:type="dxa"/>
                  <w:gridSpan w:val="2"/>
                  <w:vMerge w:val="restart"/>
                  <w:vAlign w:val="center"/>
                </w:tcPr>
                <w:p w14:paraId="1330E6AB">
                  <w:pPr>
                    <w:pStyle w:val="31"/>
                    <w:rPr>
                      <w:color w:val="000000" w:themeColor="text1"/>
                      <w14:textFill>
                        <w14:solidFill>
                          <w14:schemeClr w14:val="tx1"/>
                        </w14:solidFill>
                      </w14:textFill>
                    </w:rPr>
                  </w:pPr>
                  <w:r>
                    <w:rPr>
                      <w:color w:val="000000" w:themeColor="text1"/>
                      <w14:textFill>
                        <w14:solidFill>
                          <w14:schemeClr w14:val="tx1"/>
                        </w14:solidFill>
                      </w14:textFill>
                    </w:rPr>
                    <w:t>淡黄色至深褐色，清亮透明，有光泽，允许瓶(坛)底有微量聚集物</w:t>
                  </w:r>
                </w:p>
              </w:tc>
              <w:tc>
                <w:tcPr>
                  <w:tcW w:w="2611" w:type="dxa"/>
                  <w:vMerge w:val="restart"/>
                  <w:vAlign w:val="center"/>
                </w:tcPr>
                <w:p w14:paraId="25568641">
                  <w:pPr>
                    <w:pStyle w:val="31"/>
                    <w:rPr>
                      <w:color w:val="000000" w:themeColor="text1"/>
                      <w14:textFill>
                        <w14:solidFill>
                          <w14:schemeClr w14:val="tx1"/>
                        </w14:solidFill>
                      </w14:textFill>
                    </w:rPr>
                  </w:pPr>
                  <w:r>
                    <w:rPr>
                      <w:color w:val="000000" w:themeColor="text1"/>
                      <w14:textFill>
                        <w14:solidFill>
                          <w14:schemeClr w14:val="tx1"/>
                        </w14:solidFill>
                      </w14:textFill>
                    </w:rPr>
                    <w:t>淡黄色至深褐色，清亮透明，允许瓶(坛)底有少量聚集物</w:t>
                  </w:r>
                </w:p>
              </w:tc>
            </w:tr>
            <w:tr w14:paraId="395E0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7BED5E71">
                  <w:pPr>
                    <w:pStyle w:val="31"/>
                    <w:rPr>
                      <w:color w:val="000000" w:themeColor="text1"/>
                      <w14:textFill>
                        <w14:solidFill>
                          <w14:schemeClr w14:val="tx1"/>
                        </w14:solidFill>
                      </w14:textFill>
                    </w:rPr>
                  </w:pPr>
                </w:p>
              </w:tc>
              <w:tc>
                <w:tcPr>
                  <w:tcW w:w="1485" w:type="dxa"/>
                  <w:vAlign w:val="center"/>
                </w:tcPr>
                <w:p w14:paraId="616CAF3C">
                  <w:pPr>
                    <w:pStyle w:val="31"/>
                    <w:rPr>
                      <w:color w:val="000000" w:themeColor="text1"/>
                      <w14:textFill>
                        <w14:solidFill>
                          <w14:schemeClr w14:val="tx1"/>
                        </w14:solidFill>
                      </w14:textFill>
                    </w:rPr>
                  </w:pPr>
                  <w:r>
                    <w:rPr>
                      <w:color w:val="000000" w:themeColor="text1"/>
                      <w14:textFill>
                        <w14:solidFill>
                          <w14:schemeClr w14:val="tx1"/>
                        </w14:solidFill>
                      </w14:textFill>
                    </w:rPr>
                    <w:t>半干黄酒</w:t>
                  </w:r>
                </w:p>
              </w:tc>
              <w:tc>
                <w:tcPr>
                  <w:tcW w:w="4350" w:type="dxa"/>
                  <w:gridSpan w:val="2"/>
                  <w:vMerge w:val="continue"/>
                  <w:vAlign w:val="center"/>
                </w:tcPr>
                <w:p w14:paraId="5F373C9A">
                  <w:pPr>
                    <w:pStyle w:val="31"/>
                    <w:rPr>
                      <w:color w:val="000000" w:themeColor="text1"/>
                      <w14:textFill>
                        <w14:solidFill>
                          <w14:schemeClr w14:val="tx1"/>
                        </w14:solidFill>
                      </w14:textFill>
                    </w:rPr>
                  </w:pPr>
                </w:p>
              </w:tc>
              <w:tc>
                <w:tcPr>
                  <w:tcW w:w="2611" w:type="dxa"/>
                  <w:vMerge w:val="continue"/>
                  <w:vAlign w:val="center"/>
                </w:tcPr>
                <w:p w14:paraId="7BC86DCD">
                  <w:pPr>
                    <w:pStyle w:val="31"/>
                    <w:rPr>
                      <w:color w:val="000000" w:themeColor="text1"/>
                      <w14:textFill>
                        <w14:solidFill>
                          <w14:schemeClr w14:val="tx1"/>
                        </w14:solidFill>
                      </w14:textFill>
                    </w:rPr>
                  </w:pPr>
                </w:p>
              </w:tc>
            </w:tr>
            <w:tr w14:paraId="360CE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5B1E3C12">
                  <w:pPr>
                    <w:pStyle w:val="31"/>
                    <w:rPr>
                      <w:color w:val="000000" w:themeColor="text1"/>
                      <w14:textFill>
                        <w14:solidFill>
                          <w14:schemeClr w14:val="tx1"/>
                        </w14:solidFill>
                      </w14:textFill>
                    </w:rPr>
                  </w:pPr>
                </w:p>
              </w:tc>
              <w:tc>
                <w:tcPr>
                  <w:tcW w:w="1485" w:type="dxa"/>
                  <w:vAlign w:val="center"/>
                </w:tcPr>
                <w:p w14:paraId="6F8D7B7F">
                  <w:pPr>
                    <w:pStyle w:val="31"/>
                    <w:rPr>
                      <w:color w:val="000000" w:themeColor="text1"/>
                      <w14:textFill>
                        <w14:solidFill>
                          <w14:schemeClr w14:val="tx1"/>
                        </w14:solidFill>
                      </w14:textFill>
                    </w:rPr>
                  </w:pPr>
                  <w:r>
                    <w:rPr>
                      <w:color w:val="000000" w:themeColor="text1"/>
                      <w14:textFill>
                        <w14:solidFill>
                          <w14:schemeClr w14:val="tx1"/>
                        </w14:solidFill>
                      </w14:textFill>
                    </w:rPr>
                    <w:t>半甜黄酒</w:t>
                  </w:r>
                </w:p>
              </w:tc>
              <w:tc>
                <w:tcPr>
                  <w:tcW w:w="4350" w:type="dxa"/>
                  <w:gridSpan w:val="2"/>
                  <w:vMerge w:val="continue"/>
                  <w:vAlign w:val="center"/>
                </w:tcPr>
                <w:p w14:paraId="5C8134B9">
                  <w:pPr>
                    <w:pStyle w:val="31"/>
                    <w:rPr>
                      <w:color w:val="000000" w:themeColor="text1"/>
                      <w14:textFill>
                        <w14:solidFill>
                          <w14:schemeClr w14:val="tx1"/>
                        </w14:solidFill>
                      </w14:textFill>
                    </w:rPr>
                  </w:pPr>
                </w:p>
              </w:tc>
              <w:tc>
                <w:tcPr>
                  <w:tcW w:w="2611" w:type="dxa"/>
                  <w:vMerge w:val="continue"/>
                  <w:vAlign w:val="center"/>
                </w:tcPr>
                <w:p w14:paraId="3D006326">
                  <w:pPr>
                    <w:pStyle w:val="31"/>
                    <w:rPr>
                      <w:color w:val="000000" w:themeColor="text1"/>
                      <w14:textFill>
                        <w14:solidFill>
                          <w14:schemeClr w14:val="tx1"/>
                        </w14:solidFill>
                      </w14:textFill>
                    </w:rPr>
                  </w:pPr>
                </w:p>
              </w:tc>
            </w:tr>
            <w:tr w14:paraId="0F481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7CBDD46A">
                  <w:pPr>
                    <w:pStyle w:val="31"/>
                    <w:rPr>
                      <w:color w:val="000000" w:themeColor="text1"/>
                      <w14:textFill>
                        <w14:solidFill>
                          <w14:schemeClr w14:val="tx1"/>
                        </w14:solidFill>
                      </w14:textFill>
                    </w:rPr>
                  </w:pPr>
                </w:p>
              </w:tc>
              <w:tc>
                <w:tcPr>
                  <w:tcW w:w="1485" w:type="dxa"/>
                  <w:vAlign w:val="center"/>
                </w:tcPr>
                <w:p w14:paraId="14A64889">
                  <w:pPr>
                    <w:pStyle w:val="31"/>
                    <w:rPr>
                      <w:color w:val="000000" w:themeColor="text1"/>
                      <w14:textFill>
                        <w14:solidFill>
                          <w14:schemeClr w14:val="tx1"/>
                        </w14:solidFill>
                      </w14:textFill>
                    </w:rPr>
                  </w:pPr>
                  <w:r>
                    <w:rPr>
                      <w:color w:val="000000" w:themeColor="text1"/>
                      <w14:textFill>
                        <w14:solidFill>
                          <w14:schemeClr w14:val="tx1"/>
                        </w14:solidFill>
                      </w14:textFill>
                    </w:rPr>
                    <w:t>甜黄酒</w:t>
                  </w:r>
                </w:p>
              </w:tc>
              <w:tc>
                <w:tcPr>
                  <w:tcW w:w="4350" w:type="dxa"/>
                  <w:gridSpan w:val="2"/>
                  <w:vMerge w:val="continue"/>
                  <w:vAlign w:val="center"/>
                </w:tcPr>
                <w:p w14:paraId="6954F4BA">
                  <w:pPr>
                    <w:pStyle w:val="31"/>
                    <w:rPr>
                      <w:color w:val="000000" w:themeColor="text1"/>
                      <w14:textFill>
                        <w14:solidFill>
                          <w14:schemeClr w14:val="tx1"/>
                        </w14:solidFill>
                      </w14:textFill>
                    </w:rPr>
                  </w:pPr>
                </w:p>
              </w:tc>
              <w:tc>
                <w:tcPr>
                  <w:tcW w:w="2611" w:type="dxa"/>
                  <w:vMerge w:val="continue"/>
                  <w:vAlign w:val="center"/>
                </w:tcPr>
                <w:p w14:paraId="2A8C7FB4">
                  <w:pPr>
                    <w:pStyle w:val="31"/>
                    <w:rPr>
                      <w:color w:val="000000" w:themeColor="text1"/>
                      <w14:textFill>
                        <w14:solidFill>
                          <w14:schemeClr w14:val="tx1"/>
                        </w14:solidFill>
                      </w14:textFill>
                    </w:rPr>
                  </w:pPr>
                </w:p>
              </w:tc>
            </w:tr>
            <w:tr w14:paraId="7EEE6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restart"/>
                  <w:vAlign w:val="center"/>
                </w:tcPr>
                <w:p w14:paraId="3A56CAAA">
                  <w:pPr>
                    <w:pStyle w:val="31"/>
                    <w:rPr>
                      <w:color w:val="000000" w:themeColor="text1"/>
                      <w14:textFill>
                        <w14:solidFill>
                          <w14:schemeClr w14:val="tx1"/>
                        </w14:solidFill>
                      </w14:textFill>
                    </w:rPr>
                  </w:pPr>
                  <w:r>
                    <w:rPr>
                      <w:color w:val="000000" w:themeColor="text1"/>
                      <w14:textFill>
                        <w14:solidFill>
                          <w14:schemeClr w14:val="tx1"/>
                        </w14:solidFill>
                      </w14:textFill>
                    </w:rPr>
                    <w:t>香气</w:t>
                  </w:r>
                </w:p>
              </w:tc>
              <w:tc>
                <w:tcPr>
                  <w:tcW w:w="1485" w:type="dxa"/>
                  <w:vAlign w:val="center"/>
                </w:tcPr>
                <w:p w14:paraId="7093B187">
                  <w:pPr>
                    <w:pStyle w:val="31"/>
                    <w:rPr>
                      <w:color w:val="000000" w:themeColor="text1"/>
                      <w14:textFill>
                        <w14:solidFill>
                          <w14:schemeClr w14:val="tx1"/>
                        </w14:solidFill>
                      </w14:textFill>
                    </w:rPr>
                  </w:pPr>
                  <w:r>
                    <w:rPr>
                      <w:color w:val="000000" w:themeColor="text1"/>
                      <w14:textFill>
                        <w14:solidFill>
                          <w14:schemeClr w14:val="tx1"/>
                        </w14:solidFill>
                      </w14:textFill>
                    </w:rPr>
                    <w:t>干黄酒</w:t>
                  </w:r>
                </w:p>
              </w:tc>
              <w:tc>
                <w:tcPr>
                  <w:tcW w:w="2100" w:type="dxa"/>
                  <w:vMerge w:val="restart"/>
                  <w:vAlign w:val="center"/>
                </w:tcPr>
                <w:p w14:paraId="2CE72272">
                  <w:pPr>
                    <w:pStyle w:val="31"/>
                    <w:rPr>
                      <w:color w:val="000000" w:themeColor="text1"/>
                      <w14:textFill>
                        <w14:solidFill>
                          <w14:schemeClr w14:val="tx1"/>
                        </w14:solidFill>
                      </w14:textFill>
                    </w:rPr>
                  </w:pPr>
                  <w:r>
                    <w:rPr>
                      <w:color w:val="000000" w:themeColor="text1"/>
                      <w14:textFill>
                        <w14:solidFill>
                          <w14:schemeClr w14:val="tx1"/>
                        </w14:solidFill>
                      </w14:textFill>
                    </w:rPr>
                    <w:t>具有黄酒特有的浓郁醇香，无异香</w:t>
                  </w:r>
                </w:p>
              </w:tc>
              <w:tc>
                <w:tcPr>
                  <w:tcW w:w="2250" w:type="dxa"/>
                  <w:vMerge w:val="restart"/>
                  <w:vAlign w:val="center"/>
                </w:tcPr>
                <w:p w14:paraId="297C7177">
                  <w:pPr>
                    <w:pStyle w:val="31"/>
                    <w:rPr>
                      <w:color w:val="000000" w:themeColor="text1"/>
                      <w14:textFill>
                        <w14:solidFill>
                          <w14:schemeClr w14:val="tx1"/>
                        </w14:solidFill>
                      </w14:textFill>
                    </w:rPr>
                  </w:pPr>
                  <w:r>
                    <w:rPr>
                      <w:color w:val="000000" w:themeColor="text1"/>
                      <w14:textFill>
                        <w14:solidFill>
                          <w14:schemeClr w14:val="tx1"/>
                        </w14:solidFill>
                      </w14:textFill>
                    </w:rPr>
                    <w:t>黄酒特有的醇香较浓郁，无异香</w:t>
                  </w:r>
                </w:p>
              </w:tc>
              <w:tc>
                <w:tcPr>
                  <w:tcW w:w="2611" w:type="dxa"/>
                  <w:vMerge w:val="restart"/>
                  <w:vAlign w:val="center"/>
                </w:tcPr>
                <w:p w14:paraId="656DD12C">
                  <w:pPr>
                    <w:pStyle w:val="31"/>
                    <w:rPr>
                      <w:color w:val="000000" w:themeColor="text1"/>
                      <w14:textFill>
                        <w14:solidFill>
                          <w14:schemeClr w14:val="tx1"/>
                        </w14:solidFill>
                      </w14:textFill>
                    </w:rPr>
                  </w:pPr>
                  <w:r>
                    <w:rPr>
                      <w:color w:val="000000" w:themeColor="text1"/>
                      <w14:textFill>
                        <w14:solidFill>
                          <w14:schemeClr w14:val="tx1"/>
                        </w14:solidFill>
                      </w14:textFill>
                    </w:rPr>
                    <w:t>具有黄酒特有的醇香，无异味</w:t>
                  </w:r>
                </w:p>
              </w:tc>
            </w:tr>
            <w:tr w14:paraId="0B40C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2DF067B7">
                  <w:pPr>
                    <w:pStyle w:val="31"/>
                    <w:rPr>
                      <w:color w:val="000000" w:themeColor="text1"/>
                      <w14:textFill>
                        <w14:solidFill>
                          <w14:schemeClr w14:val="tx1"/>
                        </w14:solidFill>
                      </w14:textFill>
                    </w:rPr>
                  </w:pPr>
                </w:p>
              </w:tc>
              <w:tc>
                <w:tcPr>
                  <w:tcW w:w="1485" w:type="dxa"/>
                  <w:vAlign w:val="center"/>
                </w:tcPr>
                <w:p w14:paraId="080F7F71">
                  <w:pPr>
                    <w:pStyle w:val="31"/>
                    <w:rPr>
                      <w:color w:val="000000" w:themeColor="text1"/>
                      <w14:textFill>
                        <w14:solidFill>
                          <w14:schemeClr w14:val="tx1"/>
                        </w14:solidFill>
                      </w14:textFill>
                    </w:rPr>
                  </w:pPr>
                  <w:r>
                    <w:rPr>
                      <w:color w:val="000000" w:themeColor="text1"/>
                      <w14:textFill>
                        <w14:solidFill>
                          <w14:schemeClr w14:val="tx1"/>
                        </w14:solidFill>
                      </w14:textFill>
                    </w:rPr>
                    <w:t>半干黄酒</w:t>
                  </w:r>
                </w:p>
              </w:tc>
              <w:tc>
                <w:tcPr>
                  <w:tcW w:w="2100" w:type="dxa"/>
                  <w:vMerge w:val="continue"/>
                  <w:vAlign w:val="center"/>
                </w:tcPr>
                <w:p w14:paraId="41F01389">
                  <w:pPr>
                    <w:pStyle w:val="31"/>
                    <w:rPr>
                      <w:color w:val="000000" w:themeColor="text1"/>
                      <w14:textFill>
                        <w14:solidFill>
                          <w14:schemeClr w14:val="tx1"/>
                        </w14:solidFill>
                      </w14:textFill>
                    </w:rPr>
                  </w:pPr>
                </w:p>
              </w:tc>
              <w:tc>
                <w:tcPr>
                  <w:tcW w:w="2250" w:type="dxa"/>
                  <w:vMerge w:val="continue"/>
                  <w:vAlign w:val="center"/>
                </w:tcPr>
                <w:p w14:paraId="69F86115">
                  <w:pPr>
                    <w:pStyle w:val="31"/>
                    <w:rPr>
                      <w:color w:val="000000" w:themeColor="text1"/>
                      <w14:textFill>
                        <w14:solidFill>
                          <w14:schemeClr w14:val="tx1"/>
                        </w14:solidFill>
                      </w14:textFill>
                    </w:rPr>
                  </w:pPr>
                </w:p>
              </w:tc>
              <w:tc>
                <w:tcPr>
                  <w:tcW w:w="2611" w:type="dxa"/>
                  <w:vMerge w:val="continue"/>
                  <w:vAlign w:val="center"/>
                </w:tcPr>
                <w:p w14:paraId="01D6CAAF">
                  <w:pPr>
                    <w:pStyle w:val="31"/>
                    <w:rPr>
                      <w:color w:val="000000" w:themeColor="text1"/>
                      <w14:textFill>
                        <w14:solidFill>
                          <w14:schemeClr w14:val="tx1"/>
                        </w14:solidFill>
                      </w14:textFill>
                    </w:rPr>
                  </w:pPr>
                </w:p>
              </w:tc>
            </w:tr>
            <w:tr w14:paraId="08C1B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77FA9B1A">
                  <w:pPr>
                    <w:pStyle w:val="31"/>
                    <w:rPr>
                      <w:color w:val="000000" w:themeColor="text1"/>
                      <w14:textFill>
                        <w14:solidFill>
                          <w14:schemeClr w14:val="tx1"/>
                        </w14:solidFill>
                      </w14:textFill>
                    </w:rPr>
                  </w:pPr>
                </w:p>
              </w:tc>
              <w:tc>
                <w:tcPr>
                  <w:tcW w:w="1485" w:type="dxa"/>
                  <w:vAlign w:val="center"/>
                </w:tcPr>
                <w:p w14:paraId="1A6066D5">
                  <w:pPr>
                    <w:pStyle w:val="31"/>
                    <w:rPr>
                      <w:color w:val="000000" w:themeColor="text1"/>
                      <w14:textFill>
                        <w14:solidFill>
                          <w14:schemeClr w14:val="tx1"/>
                        </w14:solidFill>
                      </w14:textFill>
                    </w:rPr>
                  </w:pPr>
                  <w:r>
                    <w:rPr>
                      <w:color w:val="000000" w:themeColor="text1"/>
                      <w14:textFill>
                        <w14:solidFill>
                          <w14:schemeClr w14:val="tx1"/>
                        </w14:solidFill>
                      </w14:textFill>
                    </w:rPr>
                    <w:t>半甜黄酒</w:t>
                  </w:r>
                </w:p>
              </w:tc>
              <w:tc>
                <w:tcPr>
                  <w:tcW w:w="2100" w:type="dxa"/>
                  <w:vMerge w:val="continue"/>
                  <w:vAlign w:val="center"/>
                </w:tcPr>
                <w:p w14:paraId="298A3428">
                  <w:pPr>
                    <w:pStyle w:val="31"/>
                    <w:rPr>
                      <w:color w:val="000000" w:themeColor="text1"/>
                      <w14:textFill>
                        <w14:solidFill>
                          <w14:schemeClr w14:val="tx1"/>
                        </w14:solidFill>
                      </w14:textFill>
                    </w:rPr>
                  </w:pPr>
                </w:p>
              </w:tc>
              <w:tc>
                <w:tcPr>
                  <w:tcW w:w="2250" w:type="dxa"/>
                  <w:vMerge w:val="continue"/>
                  <w:vAlign w:val="center"/>
                </w:tcPr>
                <w:p w14:paraId="4EC3198B">
                  <w:pPr>
                    <w:pStyle w:val="31"/>
                    <w:rPr>
                      <w:color w:val="000000" w:themeColor="text1"/>
                      <w14:textFill>
                        <w14:solidFill>
                          <w14:schemeClr w14:val="tx1"/>
                        </w14:solidFill>
                      </w14:textFill>
                    </w:rPr>
                  </w:pPr>
                </w:p>
              </w:tc>
              <w:tc>
                <w:tcPr>
                  <w:tcW w:w="2611" w:type="dxa"/>
                  <w:vMerge w:val="continue"/>
                  <w:vAlign w:val="center"/>
                </w:tcPr>
                <w:p w14:paraId="7B48244A">
                  <w:pPr>
                    <w:pStyle w:val="31"/>
                    <w:rPr>
                      <w:color w:val="000000" w:themeColor="text1"/>
                      <w14:textFill>
                        <w14:solidFill>
                          <w14:schemeClr w14:val="tx1"/>
                        </w14:solidFill>
                      </w14:textFill>
                    </w:rPr>
                  </w:pPr>
                </w:p>
              </w:tc>
            </w:tr>
            <w:tr w14:paraId="317C9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0932154D">
                  <w:pPr>
                    <w:pStyle w:val="31"/>
                    <w:rPr>
                      <w:color w:val="000000" w:themeColor="text1"/>
                      <w14:textFill>
                        <w14:solidFill>
                          <w14:schemeClr w14:val="tx1"/>
                        </w14:solidFill>
                      </w14:textFill>
                    </w:rPr>
                  </w:pPr>
                </w:p>
              </w:tc>
              <w:tc>
                <w:tcPr>
                  <w:tcW w:w="1485" w:type="dxa"/>
                  <w:vAlign w:val="center"/>
                </w:tcPr>
                <w:p w14:paraId="2F094FBE">
                  <w:pPr>
                    <w:pStyle w:val="31"/>
                    <w:rPr>
                      <w:color w:val="000000" w:themeColor="text1"/>
                      <w14:textFill>
                        <w14:solidFill>
                          <w14:schemeClr w14:val="tx1"/>
                        </w14:solidFill>
                      </w14:textFill>
                    </w:rPr>
                  </w:pPr>
                  <w:r>
                    <w:rPr>
                      <w:color w:val="000000" w:themeColor="text1"/>
                      <w14:textFill>
                        <w14:solidFill>
                          <w14:schemeClr w14:val="tx1"/>
                        </w14:solidFill>
                      </w14:textFill>
                    </w:rPr>
                    <w:t>甜黄酒</w:t>
                  </w:r>
                </w:p>
              </w:tc>
              <w:tc>
                <w:tcPr>
                  <w:tcW w:w="2100" w:type="dxa"/>
                  <w:vMerge w:val="continue"/>
                  <w:vAlign w:val="center"/>
                </w:tcPr>
                <w:p w14:paraId="67773912">
                  <w:pPr>
                    <w:pStyle w:val="31"/>
                    <w:rPr>
                      <w:color w:val="000000" w:themeColor="text1"/>
                      <w14:textFill>
                        <w14:solidFill>
                          <w14:schemeClr w14:val="tx1"/>
                        </w14:solidFill>
                      </w14:textFill>
                    </w:rPr>
                  </w:pPr>
                </w:p>
              </w:tc>
              <w:tc>
                <w:tcPr>
                  <w:tcW w:w="2250" w:type="dxa"/>
                  <w:vMerge w:val="continue"/>
                  <w:vAlign w:val="center"/>
                </w:tcPr>
                <w:p w14:paraId="6B0C52C3">
                  <w:pPr>
                    <w:pStyle w:val="31"/>
                    <w:rPr>
                      <w:color w:val="000000" w:themeColor="text1"/>
                      <w14:textFill>
                        <w14:solidFill>
                          <w14:schemeClr w14:val="tx1"/>
                        </w14:solidFill>
                      </w14:textFill>
                    </w:rPr>
                  </w:pPr>
                </w:p>
              </w:tc>
              <w:tc>
                <w:tcPr>
                  <w:tcW w:w="2611" w:type="dxa"/>
                  <w:vMerge w:val="continue"/>
                  <w:vAlign w:val="center"/>
                </w:tcPr>
                <w:p w14:paraId="16DA82F1">
                  <w:pPr>
                    <w:pStyle w:val="31"/>
                    <w:rPr>
                      <w:color w:val="000000" w:themeColor="text1"/>
                      <w14:textFill>
                        <w14:solidFill>
                          <w14:schemeClr w14:val="tx1"/>
                        </w14:solidFill>
                      </w14:textFill>
                    </w:rPr>
                  </w:pPr>
                </w:p>
              </w:tc>
            </w:tr>
            <w:tr w14:paraId="2BF52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restart"/>
                  <w:vAlign w:val="center"/>
                </w:tcPr>
                <w:p w14:paraId="234D1A27">
                  <w:pPr>
                    <w:pStyle w:val="31"/>
                    <w:rPr>
                      <w:color w:val="000000" w:themeColor="text1"/>
                      <w14:textFill>
                        <w14:solidFill>
                          <w14:schemeClr w14:val="tx1"/>
                        </w14:solidFill>
                      </w14:textFill>
                    </w:rPr>
                  </w:pPr>
                  <w:r>
                    <w:rPr>
                      <w:color w:val="000000" w:themeColor="text1"/>
                      <w14:textFill>
                        <w14:solidFill>
                          <w14:schemeClr w14:val="tx1"/>
                        </w14:solidFill>
                      </w14:textFill>
                    </w:rPr>
                    <w:t>口味</w:t>
                  </w:r>
                </w:p>
              </w:tc>
              <w:tc>
                <w:tcPr>
                  <w:tcW w:w="1485" w:type="dxa"/>
                  <w:shd w:val="clear" w:color="auto" w:fill="auto"/>
                  <w:vAlign w:val="center"/>
                </w:tcPr>
                <w:p w14:paraId="28EC00F9">
                  <w:pPr>
                    <w:pStyle w:val="31"/>
                    <w:rPr>
                      <w:color w:val="000000" w:themeColor="text1"/>
                      <w14:textFill>
                        <w14:solidFill>
                          <w14:schemeClr w14:val="tx1"/>
                        </w14:solidFill>
                      </w14:textFill>
                    </w:rPr>
                  </w:pPr>
                  <w:r>
                    <w:rPr>
                      <w:color w:val="000000" w:themeColor="text1"/>
                      <w14:textFill>
                        <w14:solidFill>
                          <w14:schemeClr w14:val="tx1"/>
                        </w14:solidFill>
                      </w14:textFill>
                    </w:rPr>
                    <w:t>干黄酒</w:t>
                  </w:r>
                </w:p>
              </w:tc>
              <w:tc>
                <w:tcPr>
                  <w:tcW w:w="2100" w:type="dxa"/>
                  <w:vAlign w:val="center"/>
                </w:tcPr>
                <w:p w14:paraId="1D0E1C4A">
                  <w:pPr>
                    <w:pStyle w:val="31"/>
                    <w:rPr>
                      <w:color w:val="000000" w:themeColor="text1"/>
                      <w14:textFill>
                        <w14:solidFill>
                          <w14:schemeClr w14:val="tx1"/>
                        </w14:solidFill>
                      </w14:textFill>
                    </w:rPr>
                  </w:pPr>
                  <w:r>
                    <w:rPr>
                      <w:color w:val="000000" w:themeColor="text1"/>
                      <w14:textFill>
                        <w14:solidFill>
                          <w14:schemeClr w14:val="tx1"/>
                        </w14:solidFill>
                      </w14:textFill>
                    </w:rPr>
                    <w:t>醇和，爽口，无异味</w:t>
                  </w:r>
                </w:p>
              </w:tc>
              <w:tc>
                <w:tcPr>
                  <w:tcW w:w="2250" w:type="dxa"/>
                  <w:vAlign w:val="center"/>
                </w:tcPr>
                <w:p w14:paraId="669F29DE">
                  <w:pPr>
                    <w:pStyle w:val="31"/>
                    <w:rPr>
                      <w:color w:val="000000" w:themeColor="text1"/>
                      <w14:textFill>
                        <w14:solidFill>
                          <w14:schemeClr w14:val="tx1"/>
                        </w14:solidFill>
                      </w14:textFill>
                    </w:rPr>
                  </w:pPr>
                  <w:r>
                    <w:rPr>
                      <w:color w:val="000000" w:themeColor="text1"/>
                      <w14:textFill>
                        <w14:solidFill>
                          <w14:schemeClr w14:val="tx1"/>
                        </w14:solidFill>
                      </w14:textFill>
                    </w:rPr>
                    <w:t>醇和，较爽口，无异味</w:t>
                  </w:r>
                </w:p>
              </w:tc>
              <w:tc>
                <w:tcPr>
                  <w:tcW w:w="2611" w:type="dxa"/>
                  <w:vAlign w:val="center"/>
                </w:tcPr>
                <w:p w14:paraId="174CEBCF">
                  <w:pPr>
                    <w:pStyle w:val="31"/>
                    <w:rPr>
                      <w:color w:val="000000" w:themeColor="text1"/>
                      <w14:textFill>
                        <w14:solidFill>
                          <w14:schemeClr w14:val="tx1"/>
                        </w14:solidFill>
                      </w14:textFill>
                    </w:rPr>
                  </w:pPr>
                  <w:r>
                    <w:rPr>
                      <w:color w:val="000000" w:themeColor="text1"/>
                      <w14:textFill>
                        <w14:solidFill>
                          <w14:schemeClr w14:val="tx1"/>
                        </w14:solidFill>
                      </w14:textFill>
                    </w:rPr>
                    <w:t>醇和，较爽口，无异味</w:t>
                  </w:r>
                </w:p>
              </w:tc>
            </w:tr>
            <w:tr w14:paraId="2282B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286D0AA1">
                  <w:pPr>
                    <w:pStyle w:val="31"/>
                    <w:rPr>
                      <w:color w:val="000000" w:themeColor="text1"/>
                      <w14:textFill>
                        <w14:solidFill>
                          <w14:schemeClr w14:val="tx1"/>
                        </w14:solidFill>
                      </w14:textFill>
                    </w:rPr>
                  </w:pPr>
                </w:p>
              </w:tc>
              <w:tc>
                <w:tcPr>
                  <w:tcW w:w="1485" w:type="dxa"/>
                  <w:shd w:val="clear" w:color="auto" w:fill="auto"/>
                  <w:vAlign w:val="center"/>
                </w:tcPr>
                <w:p w14:paraId="67EF9CCF">
                  <w:pPr>
                    <w:pStyle w:val="31"/>
                    <w:rPr>
                      <w:color w:val="000000" w:themeColor="text1"/>
                      <w14:textFill>
                        <w14:solidFill>
                          <w14:schemeClr w14:val="tx1"/>
                        </w14:solidFill>
                      </w14:textFill>
                    </w:rPr>
                  </w:pPr>
                  <w:r>
                    <w:rPr>
                      <w:color w:val="000000" w:themeColor="text1"/>
                      <w14:textFill>
                        <w14:solidFill>
                          <w14:schemeClr w14:val="tx1"/>
                        </w14:solidFill>
                      </w14:textFill>
                    </w:rPr>
                    <w:t>半干黄酒</w:t>
                  </w:r>
                </w:p>
              </w:tc>
              <w:tc>
                <w:tcPr>
                  <w:tcW w:w="2100" w:type="dxa"/>
                  <w:vAlign w:val="center"/>
                </w:tcPr>
                <w:p w14:paraId="194E27E9">
                  <w:pPr>
                    <w:pStyle w:val="31"/>
                    <w:rPr>
                      <w:color w:val="000000" w:themeColor="text1"/>
                      <w14:textFill>
                        <w14:solidFill>
                          <w14:schemeClr w14:val="tx1"/>
                        </w14:solidFill>
                      </w14:textFill>
                    </w:rPr>
                  </w:pPr>
                  <w:r>
                    <w:rPr>
                      <w:color w:val="000000" w:themeColor="text1"/>
                      <w14:textFill>
                        <w14:solidFill>
                          <w14:schemeClr w14:val="tx1"/>
                        </w14:solidFill>
                      </w14:textFill>
                    </w:rPr>
                    <w:t>醇厚，柔和鲜爽，无异味</w:t>
                  </w:r>
                </w:p>
              </w:tc>
              <w:tc>
                <w:tcPr>
                  <w:tcW w:w="2250" w:type="dxa"/>
                  <w:vAlign w:val="center"/>
                </w:tcPr>
                <w:p w14:paraId="77EA33BC">
                  <w:pPr>
                    <w:pStyle w:val="31"/>
                    <w:rPr>
                      <w:color w:val="000000" w:themeColor="text1"/>
                      <w14:textFill>
                        <w14:solidFill>
                          <w14:schemeClr w14:val="tx1"/>
                        </w14:solidFill>
                      </w14:textFill>
                    </w:rPr>
                  </w:pPr>
                  <w:r>
                    <w:rPr>
                      <w:color w:val="000000" w:themeColor="text1"/>
                      <w14:textFill>
                        <w14:solidFill>
                          <w14:schemeClr w14:val="tx1"/>
                        </w14:solidFill>
                      </w14:textFill>
                    </w:rPr>
                    <w:t>醇厚，较柔和鲜爽，无异味</w:t>
                  </w:r>
                </w:p>
              </w:tc>
              <w:tc>
                <w:tcPr>
                  <w:tcW w:w="2611" w:type="dxa"/>
                  <w:vAlign w:val="center"/>
                </w:tcPr>
                <w:p w14:paraId="2CE312F3">
                  <w:pPr>
                    <w:pStyle w:val="31"/>
                    <w:rPr>
                      <w:color w:val="000000" w:themeColor="text1"/>
                      <w14:textFill>
                        <w14:solidFill>
                          <w14:schemeClr w14:val="tx1"/>
                        </w14:solidFill>
                      </w14:textFill>
                    </w:rPr>
                  </w:pPr>
                  <w:r>
                    <w:rPr>
                      <w:color w:val="000000" w:themeColor="text1"/>
                      <w14:textFill>
                        <w14:solidFill>
                          <w14:schemeClr w14:val="tx1"/>
                        </w14:solidFill>
                      </w14:textFill>
                    </w:rPr>
                    <w:t>尚醇厚鲜爽，无异味</w:t>
                  </w:r>
                </w:p>
              </w:tc>
            </w:tr>
            <w:tr w14:paraId="6DA2B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4EDC348E">
                  <w:pPr>
                    <w:pStyle w:val="31"/>
                    <w:rPr>
                      <w:color w:val="000000" w:themeColor="text1"/>
                      <w14:textFill>
                        <w14:solidFill>
                          <w14:schemeClr w14:val="tx1"/>
                        </w14:solidFill>
                      </w14:textFill>
                    </w:rPr>
                  </w:pPr>
                </w:p>
              </w:tc>
              <w:tc>
                <w:tcPr>
                  <w:tcW w:w="1485" w:type="dxa"/>
                  <w:shd w:val="clear" w:color="auto" w:fill="auto"/>
                  <w:vAlign w:val="center"/>
                </w:tcPr>
                <w:p w14:paraId="0F64257E">
                  <w:pPr>
                    <w:pStyle w:val="31"/>
                    <w:rPr>
                      <w:color w:val="000000" w:themeColor="text1"/>
                      <w14:textFill>
                        <w14:solidFill>
                          <w14:schemeClr w14:val="tx1"/>
                        </w14:solidFill>
                      </w14:textFill>
                    </w:rPr>
                  </w:pPr>
                  <w:r>
                    <w:rPr>
                      <w:color w:val="000000" w:themeColor="text1"/>
                      <w14:textFill>
                        <w14:solidFill>
                          <w14:schemeClr w14:val="tx1"/>
                        </w14:solidFill>
                      </w14:textFill>
                    </w:rPr>
                    <w:t>半甜黄酒</w:t>
                  </w:r>
                </w:p>
              </w:tc>
              <w:tc>
                <w:tcPr>
                  <w:tcW w:w="2100" w:type="dxa"/>
                  <w:vAlign w:val="center"/>
                </w:tcPr>
                <w:p w14:paraId="4D3C40C0">
                  <w:pPr>
                    <w:pStyle w:val="31"/>
                    <w:rPr>
                      <w:color w:val="000000" w:themeColor="text1"/>
                      <w14:textFill>
                        <w14:solidFill>
                          <w14:schemeClr w14:val="tx1"/>
                        </w14:solidFill>
                      </w14:textFill>
                    </w:rPr>
                  </w:pPr>
                  <w:r>
                    <w:rPr>
                      <w:color w:val="000000" w:themeColor="text1"/>
                      <w14:textFill>
                        <w14:solidFill>
                          <w14:schemeClr w14:val="tx1"/>
                        </w14:solidFill>
                      </w14:textFill>
                    </w:rPr>
                    <w:t>醇厚，鲜甜爽口，无异味</w:t>
                  </w:r>
                </w:p>
              </w:tc>
              <w:tc>
                <w:tcPr>
                  <w:tcW w:w="2250" w:type="dxa"/>
                  <w:vAlign w:val="center"/>
                </w:tcPr>
                <w:p w14:paraId="73D051C8">
                  <w:pPr>
                    <w:pStyle w:val="31"/>
                    <w:rPr>
                      <w:color w:val="000000" w:themeColor="text1"/>
                      <w14:textFill>
                        <w14:solidFill>
                          <w14:schemeClr w14:val="tx1"/>
                        </w14:solidFill>
                      </w14:textFill>
                    </w:rPr>
                  </w:pPr>
                  <w:r>
                    <w:rPr>
                      <w:color w:val="000000" w:themeColor="text1"/>
                      <w14:textFill>
                        <w14:solidFill>
                          <w14:schemeClr w14:val="tx1"/>
                        </w14:solidFill>
                      </w14:textFill>
                    </w:rPr>
                    <w:t>醇厚，较鲜甜爽口，无异味</w:t>
                  </w:r>
                </w:p>
              </w:tc>
              <w:tc>
                <w:tcPr>
                  <w:tcW w:w="2611" w:type="dxa"/>
                  <w:vAlign w:val="center"/>
                </w:tcPr>
                <w:p w14:paraId="5B6F1169">
                  <w:pPr>
                    <w:pStyle w:val="31"/>
                    <w:rPr>
                      <w:color w:val="000000" w:themeColor="text1"/>
                      <w14:textFill>
                        <w14:solidFill>
                          <w14:schemeClr w14:val="tx1"/>
                        </w14:solidFill>
                      </w14:textFill>
                    </w:rPr>
                  </w:pPr>
                  <w:r>
                    <w:rPr>
                      <w:color w:val="000000" w:themeColor="text1"/>
                      <w14:textFill>
                        <w14:solidFill>
                          <w14:schemeClr w14:val="tx1"/>
                        </w14:solidFill>
                      </w14:textFill>
                    </w:rPr>
                    <w:t>醇厚，尚鲜甜爽口，无异味</w:t>
                  </w:r>
                </w:p>
              </w:tc>
            </w:tr>
            <w:tr w14:paraId="682A41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7446DCC6">
                  <w:pPr>
                    <w:pStyle w:val="31"/>
                    <w:rPr>
                      <w:color w:val="000000" w:themeColor="text1"/>
                      <w14:textFill>
                        <w14:solidFill>
                          <w14:schemeClr w14:val="tx1"/>
                        </w14:solidFill>
                      </w14:textFill>
                    </w:rPr>
                  </w:pPr>
                </w:p>
              </w:tc>
              <w:tc>
                <w:tcPr>
                  <w:tcW w:w="1485" w:type="dxa"/>
                  <w:shd w:val="clear" w:color="auto" w:fill="auto"/>
                  <w:vAlign w:val="center"/>
                </w:tcPr>
                <w:p w14:paraId="34BB9067">
                  <w:pPr>
                    <w:pStyle w:val="31"/>
                    <w:rPr>
                      <w:color w:val="000000" w:themeColor="text1"/>
                      <w14:textFill>
                        <w14:solidFill>
                          <w14:schemeClr w14:val="tx1"/>
                        </w14:solidFill>
                      </w14:textFill>
                    </w:rPr>
                  </w:pPr>
                  <w:r>
                    <w:rPr>
                      <w:color w:val="000000" w:themeColor="text1"/>
                      <w14:textFill>
                        <w14:solidFill>
                          <w14:schemeClr w14:val="tx1"/>
                        </w14:solidFill>
                      </w14:textFill>
                    </w:rPr>
                    <w:t>甜黄酒</w:t>
                  </w:r>
                </w:p>
              </w:tc>
              <w:tc>
                <w:tcPr>
                  <w:tcW w:w="2100" w:type="dxa"/>
                  <w:vAlign w:val="center"/>
                </w:tcPr>
                <w:p w14:paraId="552DF6A9">
                  <w:pPr>
                    <w:pStyle w:val="31"/>
                    <w:rPr>
                      <w:color w:val="000000" w:themeColor="text1"/>
                      <w14:textFill>
                        <w14:solidFill>
                          <w14:schemeClr w14:val="tx1"/>
                        </w14:solidFill>
                      </w14:textFill>
                    </w:rPr>
                  </w:pPr>
                  <w:r>
                    <w:rPr>
                      <w:color w:val="000000" w:themeColor="text1"/>
                      <w14:textFill>
                        <w14:solidFill>
                          <w14:schemeClr w14:val="tx1"/>
                        </w14:solidFill>
                      </w14:textFill>
                    </w:rPr>
                    <w:t>鲜甜，醇厚，无异味</w:t>
                  </w:r>
                </w:p>
              </w:tc>
              <w:tc>
                <w:tcPr>
                  <w:tcW w:w="2250" w:type="dxa"/>
                  <w:vAlign w:val="center"/>
                </w:tcPr>
                <w:p w14:paraId="5A5EE0AF">
                  <w:pPr>
                    <w:pStyle w:val="31"/>
                    <w:rPr>
                      <w:color w:val="000000" w:themeColor="text1"/>
                      <w14:textFill>
                        <w14:solidFill>
                          <w14:schemeClr w14:val="tx1"/>
                        </w14:solidFill>
                      </w14:textFill>
                    </w:rPr>
                  </w:pPr>
                  <w:r>
                    <w:rPr>
                      <w:color w:val="000000" w:themeColor="text1"/>
                      <w14:textFill>
                        <w14:solidFill>
                          <w14:schemeClr w14:val="tx1"/>
                        </w14:solidFill>
                      </w14:textFill>
                    </w:rPr>
                    <w:t>鲜甜，较醇厚，无异味</w:t>
                  </w:r>
                </w:p>
              </w:tc>
              <w:tc>
                <w:tcPr>
                  <w:tcW w:w="2611" w:type="dxa"/>
                  <w:vAlign w:val="center"/>
                </w:tcPr>
                <w:p w14:paraId="201A4963">
                  <w:pPr>
                    <w:pStyle w:val="31"/>
                    <w:rPr>
                      <w:color w:val="000000" w:themeColor="text1"/>
                      <w14:textFill>
                        <w14:solidFill>
                          <w14:schemeClr w14:val="tx1"/>
                        </w14:solidFill>
                      </w14:textFill>
                    </w:rPr>
                  </w:pPr>
                  <w:r>
                    <w:rPr>
                      <w:color w:val="000000" w:themeColor="text1"/>
                      <w14:textFill>
                        <w14:solidFill>
                          <w14:schemeClr w14:val="tx1"/>
                        </w14:solidFill>
                      </w14:textFill>
                    </w:rPr>
                    <w:t>鲜甜，较醇厚，无异味</w:t>
                  </w:r>
                </w:p>
              </w:tc>
            </w:tr>
            <w:tr w14:paraId="7C15C1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restart"/>
                  <w:vAlign w:val="center"/>
                </w:tcPr>
                <w:p w14:paraId="38AE4819">
                  <w:pPr>
                    <w:pStyle w:val="31"/>
                    <w:rPr>
                      <w:color w:val="000000" w:themeColor="text1"/>
                      <w14:textFill>
                        <w14:solidFill>
                          <w14:schemeClr w14:val="tx1"/>
                        </w14:solidFill>
                      </w14:textFill>
                    </w:rPr>
                  </w:pPr>
                  <w:r>
                    <w:rPr>
                      <w:color w:val="000000" w:themeColor="text1"/>
                      <w14:textFill>
                        <w14:solidFill>
                          <w14:schemeClr w14:val="tx1"/>
                        </w14:solidFill>
                      </w14:textFill>
                    </w:rPr>
                    <w:t>风格</w:t>
                  </w:r>
                </w:p>
              </w:tc>
              <w:tc>
                <w:tcPr>
                  <w:tcW w:w="1485" w:type="dxa"/>
                  <w:shd w:val="clear" w:color="auto" w:fill="auto"/>
                  <w:vAlign w:val="center"/>
                </w:tcPr>
                <w:p w14:paraId="3D54C713">
                  <w:pPr>
                    <w:pStyle w:val="31"/>
                    <w:rPr>
                      <w:color w:val="000000" w:themeColor="text1"/>
                      <w14:textFill>
                        <w14:solidFill>
                          <w14:schemeClr w14:val="tx1"/>
                        </w14:solidFill>
                      </w14:textFill>
                    </w:rPr>
                  </w:pPr>
                  <w:r>
                    <w:rPr>
                      <w:color w:val="000000" w:themeColor="text1"/>
                      <w14:textFill>
                        <w14:solidFill>
                          <w14:schemeClr w14:val="tx1"/>
                        </w14:solidFill>
                      </w14:textFill>
                    </w:rPr>
                    <w:t>干黄酒</w:t>
                  </w:r>
                </w:p>
              </w:tc>
              <w:tc>
                <w:tcPr>
                  <w:tcW w:w="2100" w:type="dxa"/>
                  <w:vMerge w:val="restart"/>
                  <w:vAlign w:val="center"/>
                </w:tcPr>
                <w:p w14:paraId="324759AF">
                  <w:pPr>
                    <w:pStyle w:val="31"/>
                    <w:rPr>
                      <w:color w:val="000000" w:themeColor="text1"/>
                      <w14:textFill>
                        <w14:solidFill>
                          <w14:schemeClr w14:val="tx1"/>
                        </w14:solidFill>
                      </w14:textFill>
                    </w:rPr>
                  </w:pPr>
                  <w:r>
                    <w:rPr>
                      <w:color w:val="000000" w:themeColor="text1"/>
                      <w14:textFill>
                        <w14:solidFill>
                          <w14:schemeClr w14:val="tx1"/>
                        </w14:solidFill>
                      </w14:textFill>
                    </w:rPr>
                    <w:t>酒体协调，具有黄酒品种的典型风格</w:t>
                  </w:r>
                </w:p>
              </w:tc>
              <w:tc>
                <w:tcPr>
                  <w:tcW w:w="2250" w:type="dxa"/>
                  <w:vMerge w:val="restart"/>
                  <w:vAlign w:val="center"/>
                </w:tcPr>
                <w:p w14:paraId="3951DD63">
                  <w:pPr>
                    <w:pStyle w:val="31"/>
                    <w:rPr>
                      <w:color w:val="000000" w:themeColor="text1"/>
                      <w14:textFill>
                        <w14:solidFill>
                          <w14:schemeClr w14:val="tx1"/>
                        </w14:solidFill>
                      </w14:textFill>
                    </w:rPr>
                  </w:pPr>
                  <w:r>
                    <w:rPr>
                      <w:color w:val="000000" w:themeColor="text1"/>
                      <w14:textFill>
                        <w14:solidFill>
                          <w14:schemeClr w14:val="tx1"/>
                        </w14:solidFill>
                      </w14:textFill>
                    </w:rPr>
                    <w:t>酒体较协调，具有黄酒品种的典型风格</w:t>
                  </w:r>
                </w:p>
              </w:tc>
              <w:tc>
                <w:tcPr>
                  <w:tcW w:w="2611" w:type="dxa"/>
                  <w:vMerge w:val="restart"/>
                  <w:vAlign w:val="center"/>
                </w:tcPr>
                <w:p w14:paraId="5AADFFF0">
                  <w:pPr>
                    <w:pStyle w:val="31"/>
                    <w:rPr>
                      <w:color w:val="000000" w:themeColor="text1"/>
                      <w14:textFill>
                        <w14:solidFill>
                          <w14:schemeClr w14:val="tx1"/>
                        </w14:solidFill>
                      </w14:textFill>
                    </w:rPr>
                  </w:pPr>
                  <w:r>
                    <w:rPr>
                      <w:color w:val="000000" w:themeColor="text1"/>
                      <w14:textFill>
                        <w14:solidFill>
                          <w14:schemeClr w14:val="tx1"/>
                        </w14:solidFill>
                      </w14:textFill>
                    </w:rPr>
                    <w:t>酒体尚协调，具有黄酒品种的典型风格</w:t>
                  </w:r>
                </w:p>
              </w:tc>
            </w:tr>
            <w:tr w14:paraId="2D3B7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3B527D28">
                  <w:pPr>
                    <w:pStyle w:val="31"/>
                    <w:rPr>
                      <w:color w:val="000000" w:themeColor="text1"/>
                      <w14:textFill>
                        <w14:solidFill>
                          <w14:schemeClr w14:val="tx1"/>
                        </w14:solidFill>
                      </w14:textFill>
                    </w:rPr>
                  </w:pPr>
                </w:p>
              </w:tc>
              <w:tc>
                <w:tcPr>
                  <w:tcW w:w="1485" w:type="dxa"/>
                  <w:shd w:val="clear" w:color="auto" w:fill="auto"/>
                  <w:vAlign w:val="center"/>
                </w:tcPr>
                <w:p w14:paraId="75B33C10">
                  <w:pPr>
                    <w:pStyle w:val="31"/>
                    <w:rPr>
                      <w:color w:val="000000" w:themeColor="text1"/>
                      <w14:textFill>
                        <w14:solidFill>
                          <w14:schemeClr w14:val="tx1"/>
                        </w14:solidFill>
                      </w14:textFill>
                    </w:rPr>
                  </w:pPr>
                  <w:r>
                    <w:rPr>
                      <w:color w:val="000000" w:themeColor="text1"/>
                      <w14:textFill>
                        <w14:solidFill>
                          <w14:schemeClr w14:val="tx1"/>
                        </w14:solidFill>
                      </w14:textFill>
                    </w:rPr>
                    <w:t>半干黄酒</w:t>
                  </w:r>
                </w:p>
              </w:tc>
              <w:tc>
                <w:tcPr>
                  <w:tcW w:w="2100" w:type="dxa"/>
                  <w:vMerge w:val="continue"/>
                  <w:vAlign w:val="center"/>
                </w:tcPr>
                <w:p w14:paraId="0966A968">
                  <w:pPr>
                    <w:pStyle w:val="31"/>
                    <w:rPr>
                      <w:color w:val="000000" w:themeColor="text1"/>
                      <w14:textFill>
                        <w14:solidFill>
                          <w14:schemeClr w14:val="tx1"/>
                        </w14:solidFill>
                      </w14:textFill>
                    </w:rPr>
                  </w:pPr>
                </w:p>
              </w:tc>
              <w:tc>
                <w:tcPr>
                  <w:tcW w:w="2250" w:type="dxa"/>
                  <w:vMerge w:val="continue"/>
                  <w:vAlign w:val="center"/>
                </w:tcPr>
                <w:p w14:paraId="3F887CA3">
                  <w:pPr>
                    <w:pStyle w:val="31"/>
                    <w:rPr>
                      <w:color w:val="000000" w:themeColor="text1"/>
                      <w14:textFill>
                        <w14:solidFill>
                          <w14:schemeClr w14:val="tx1"/>
                        </w14:solidFill>
                      </w14:textFill>
                    </w:rPr>
                  </w:pPr>
                </w:p>
              </w:tc>
              <w:tc>
                <w:tcPr>
                  <w:tcW w:w="2611" w:type="dxa"/>
                  <w:vMerge w:val="continue"/>
                  <w:vAlign w:val="center"/>
                </w:tcPr>
                <w:p w14:paraId="1D169B48">
                  <w:pPr>
                    <w:pStyle w:val="31"/>
                    <w:rPr>
                      <w:color w:val="000000" w:themeColor="text1"/>
                      <w14:textFill>
                        <w14:solidFill>
                          <w14:schemeClr w14:val="tx1"/>
                        </w14:solidFill>
                      </w14:textFill>
                    </w:rPr>
                  </w:pPr>
                </w:p>
              </w:tc>
            </w:tr>
            <w:tr w14:paraId="364FAD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17BBA129">
                  <w:pPr>
                    <w:pStyle w:val="31"/>
                    <w:rPr>
                      <w:color w:val="000000" w:themeColor="text1"/>
                      <w14:textFill>
                        <w14:solidFill>
                          <w14:schemeClr w14:val="tx1"/>
                        </w14:solidFill>
                      </w14:textFill>
                    </w:rPr>
                  </w:pPr>
                </w:p>
              </w:tc>
              <w:tc>
                <w:tcPr>
                  <w:tcW w:w="1485" w:type="dxa"/>
                  <w:shd w:val="clear" w:color="auto" w:fill="auto"/>
                  <w:vAlign w:val="center"/>
                </w:tcPr>
                <w:p w14:paraId="4F68604D">
                  <w:pPr>
                    <w:pStyle w:val="31"/>
                    <w:rPr>
                      <w:color w:val="000000" w:themeColor="text1"/>
                      <w14:textFill>
                        <w14:solidFill>
                          <w14:schemeClr w14:val="tx1"/>
                        </w14:solidFill>
                      </w14:textFill>
                    </w:rPr>
                  </w:pPr>
                  <w:r>
                    <w:rPr>
                      <w:color w:val="000000" w:themeColor="text1"/>
                      <w14:textFill>
                        <w14:solidFill>
                          <w14:schemeClr w14:val="tx1"/>
                        </w14:solidFill>
                      </w14:textFill>
                    </w:rPr>
                    <w:t>半甜黄酒</w:t>
                  </w:r>
                </w:p>
              </w:tc>
              <w:tc>
                <w:tcPr>
                  <w:tcW w:w="2100" w:type="dxa"/>
                  <w:vMerge w:val="continue"/>
                  <w:vAlign w:val="center"/>
                </w:tcPr>
                <w:p w14:paraId="680B598F">
                  <w:pPr>
                    <w:pStyle w:val="31"/>
                    <w:rPr>
                      <w:color w:val="000000" w:themeColor="text1"/>
                      <w14:textFill>
                        <w14:solidFill>
                          <w14:schemeClr w14:val="tx1"/>
                        </w14:solidFill>
                      </w14:textFill>
                    </w:rPr>
                  </w:pPr>
                </w:p>
              </w:tc>
              <w:tc>
                <w:tcPr>
                  <w:tcW w:w="2250" w:type="dxa"/>
                  <w:vMerge w:val="continue"/>
                  <w:vAlign w:val="center"/>
                </w:tcPr>
                <w:p w14:paraId="2E39B8EC">
                  <w:pPr>
                    <w:pStyle w:val="31"/>
                    <w:rPr>
                      <w:color w:val="000000" w:themeColor="text1"/>
                      <w14:textFill>
                        <w14:solidFill>
                          <w14:schemeClr w14:val="tx1"/>
                        </w14:solidFill>
                      </w14:textFill>
                    </w:rPr>
                  </w:pPr>
                </w:p>
              </w:tc>
              <w:tc>
                <w:tcPr>
                  <w:tcW w:w="2611" w:type="dxa"/>
                  <w:vMerge w:val="continue"/>
                  <w:vAlign w:val="center"/>
                </w:tcPr>
                <w:p w14:paraId="5C250F63">
                  <w:pPr>
                    <w:pStyle w:val="31"/>
                    <w:rPr>
                      <w:color w:val="000000" w:themeColor="text1"/>
                      <w14:textFill>
                        <w14:solidFill>
                          <w14:schemeClr w14:val="tx1"/>
                        </w14:solidFill>
                      </w14:textFill>
                    </w:rPr>
                  </w:pPr>
                </w:p>
              </w:tc>
            </w:tr>
            <w:tr w14:paraId="37114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50" w:type="dxa"/>
                  <w:vMerge w:val="continue"/>
                  <w:vAlign w:val="center"/>
                </w:tcPr>
                <w:p w14:paraId="63CD31D4">
                  <w:pPr>
                    <w:pStyle w:val="31"/>
                    <w:rPr>
                      <w:color w:val="000000" w:themeColor="text1"/>
                      <w14:textFill>
                        <w14:solidFill>
                          <w14:schemeClr w14:val="tx1"/>
                        </w14:solidFill>
                      </w14:textFill>
                    </w:rPr>
                  </w:pPr>
                </w:p>
              </w:tc>
              <w:tc>
                <w:tcPr>
                  <w:tcW w:w="1485" w:type="dxa"/>
                  <w:shd w:val="clear" w:color="auto" w:fill="auto"/>
                  <w:vAlign w:val="center"/>
                </w:tcPr>
                <w:p w14:paraId="51D6D040">
                  <w:pPr>
                    <w:pStyle w:val="31"/>
                    <w:rPr>
                      <w:color w:val="000000" w:themeColor="text1"/>
                      <w14:textFill>
                        <w14:solidFill>
                          <w14:schemeClr w14:val="tx1"/>
                        </w14:solidFill>
                      </w14:textFill>
                    </w:rPr>
                  </w:pPr>
                  <w:r>
                    <w:rPr>
                      <w:color w:val="000000" w:themeColor="text1"/>
                      <w14:textFill>
                        <w14:solidFill>
                          <w14:schemeClr w14:val="tx1"/>
                        </w14:solidFill>
                      </w14:textFill>
                    </w:rPr>
                    <w:t>甜黄酒</w:t>
                  </w:r>
                </w:p>
              </w:tc>
              <w:tc>
                <w:tcPr>
                  <w:tcW w:w="2100" w:type="dxa"/>
                  <w:vMerge w:val="continue"/>
                  <w:vAlign w:val="center"/>
                </w:tcPr>
                <w:p w14:paraId="6A44078C">
                  <w:pPr>
                    <w:pStyle w:val="31"/>
                    <w:rPr>
                      <w:color w:val="000000" w:themeColor="text1"/>
                      <w14:textFill>
                        <w14:solidFill>
                          <w14:schemeClr w14:val="tx1"/>
                        </w14:solidFill>
                      </w14:textFill>
                    </w:rPr>
                  </w:pPr>
                </w:p>
              </w:tc>
              <w:tc>
                <w:tcPr>
                  <w:tcW w:w="2250" w:type="dxa"/>
                  <w:vMerge w:val="continue"/>
                  <w:vAlign w:val="center"/>
                </w:tcPr>
                <w:p w14:paraId="3FE30CFA">
                  <w:pPr>
                    <w:pStyle w:val="31"/>
                    <w:rPr>
                      <w:color w:val="000000" w:themeColor="text1"/>
                      <w14:textFill>
                        <w14:solidFill>
                          <w14:schemeClr w14:val="tx1"/>
                        </w14:solidFill>
                      </w14:textFill>
                    </w:rPr>
                  </w:pPr>
                </w:p>
              </w:tc>
              <w:tc>
                <w:tcPr>
                  <w:tcW w:w="2611" w:type="dxa"/>
                  <w:vMerge w:val="continue"/>
                  <w:vAlign w:val="center"/>
                </w:tcPr>
                <w:p w14:paraId="00F661A6">
                  <w:pPr>
                    <w:pStyle w:val="31"/>
                    <w:rPr>
                      <w:color w:val="000000" w:themeColor="text1"/>
                      <w14:textFill>
                        <w14:solidFill>
                          <w14:schemeClr w14:val="tx1"/>
                        </w14:solidFill>
                      </w14:textFill>
                    </w:rPr>
                  </w:pPr>
                </w:p>
              </w:tc>
            </w:tr>
            <w:tr w14:paraId="39672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96" w:type="dxa"/>
                  <w:gridSpan w:val="5"/>
                  <w:vAlign w:val="center"/>
                </w:tcPr>
                <w:p w14:paraId="6F0BB483">
                  <w:pPr>
                    <w:pStyle w:val="31"/>
                    <w:rPr>
                      <w:color w:val="000000" w:themeColor="text1"/>
                      <w14:textFill>
                        <w14:solidFill>
                          <w14:schemeClr w14:val="tx1"/>
                        </w14:solidFill>
                      </w14:textFill>
                    </w:rPr>
                  </w:pPr>
                  <w:r>
                    <w:rPr>
                      <w:color w:val="000000" w:themeColor="text1"/>
                      <w14:textFill>
                        <w14:solidFill>
                          <w14:schemeClr w14:val="tx1"/>
                        </w14:solidFill>
                      </w14:textFill>
                    </w:rPr>
                    <w:t>传统型半甜黄酒理化性质</w:t>
                  </w:r>
                </w:p>
              </w:tc>
            </w:tr>
            <w:tr w14:paraId="2B8A7B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5" w:type="dxa"/>
                  <w:gridSpan w:val="2"/>
                  <w:vMerge w:val="restart"/>
                  <w:vAlign w:val="center"/>
                </w:tcPr>
                <w:p w14:paraId="06A69EA2">
                  <w:pPr>
                    <w:pStyle w:val="31"/>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6961" w:type="dxa"/>
                  <w:gridSpan w:val="3"/>
                  <w:vAlign w:val="center"/>
                </w:tcPr>
                <w:p w14:paraId="127FB19C">
                  <w:pPr>
                    <w:pStyle w:val="31"/>
                    <w:rPr>
                      <w:color w:val="000000" w:themeColor="text1"/>
                      <w14:textFill>
                        <w14:solidFill>
                          <w14:schemeClr w14:val="tx1"/>
                        </w14:solidFill>
                      </w14:textFill>
                    </w:rPr>
                  </w:pPr>
                  <w:r>
                    <w:rPr>
                      <w:color w:val="000000" w:themeColor="text1"/>
                      <w14:textFill>
                        <w14:solidFill>
                          <w14:schemeClr w14:val="tx1"/>
                        </w14:solidFill>
                      </w14:textFill>
                    </w:rPr>
                    <w:t>稻米黄酒</w:t>
                  </w:r>
                </w:p>
              </w:tc>
            </w:tr>
            <w:tr w14:paraId="7A99F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5" w:type="dxa"/>
                  <w:gridSpan w:val="2"/>
                  <w:vMerge w:val="continue"/>
                  <w:vAlign w:val="center"/>
                </w:tcPr>
                <w:p w14:paraId="1C3EB4DD">
                  <w:pPr>
                    <w:pStyle w:val="31"/>
                    <w:rPr>
                      <w:color w:val="000000" w:themeColor="text1"/>
                      <w14:textFill>
                        <w14:solidFill>
                          <w14:schemeClr w14:val="tx1"/>
                        </w14:solidFill>
                      </w14:textFill>
                    </w:rPr>
                  </w:pPr>
                </w:p>
              </w:tc>
              <w:tc>
                <w:tcPr>
                  <w:tcW w:w="2100" w:type="dxa"/>
                  <w:shd w:val="clear" w:color="auto" w:fill="auto"/>
                  <w:vAlign w:val="center"/>
                </w:tcPr>
                <w:p w14:paraId="01C022E5">
                  <w:pPr>
                    <w:pStyle w:val="31"/>
                    <w:rPr>
                      <w:color w:val="000000" w:themeColor="text1"/>
                      <w14:textFill>
                        <w14:solidFill>
                          <w14:schemeClr w14:val="tx1"/>
                        </w14:solidFill>
                      </w14:textFill>
                    </w:rPr>
                  </w:pPr>
                  <w:r>
                    <w:rPr>
                      <w:bCs/>
                      <w:color w:val="000000" w:themeColor="text1"/>
                      <w:szCs w:val="21"/>
                      <w14:textFill>
                        <w14:solidFill>
                          <w14:schemeClr w14:val="tx1"/>
                        </w14:solidFill>
                      </w14:textFill>
                    </w:rPr>
                    <w:t>优级</w:t>
                  </w:r>
                </w:p>
              </w:tc>
              <w:tc>
                <w:tcPr>
                  <w:tcW w:w="2250" w:type="dxa"/>
                  <w:shd w:val="clear" w:color="auto" w:fill="auto"/>
                  <w:vAlign w:val="center"/>
                </w:tcPr>
                <w:p w14:paraId="0B537F51">
                  <w:pPr>
                    <w:pStyle w:val="31"/>
                    <w:rPr>
                      <w:color w:val="000000" w:themeColor="text1"/>
                      <w14:textFill>
                        <w14:solidFill>
                          <w14:schemeClr w14:val="tx1"/>
                        </w14:solidFill>
                      </w14:textFill>
                    </w:rPr>
                  </w:pPr>
                  <w:r>
                    <w:rPr>
                      <w:bCs/>
                      <w:color w:val="000000" w:themeColor="text1"/>
                      <w:szCs w:val="21"/>
                      <w14:textFill>
                        <w14:solidFill>
                          <w14:schemeClr w14:val="tx1"/>
                        </w14:solidFill>
                      </w14:textFill>
                    </w:rPr>
                    <w:t>一级</w:t>
                  </w:r>
                </w:p>
              </w:tc>
              <w:tc>
                <w:tcPr>
                  <w:tcW w:w="2611" w:type="dxa"/>
                  <w:shd w:val="clear" w:color="auto" w:fill="auto"/>
                  <w:vAlign w:val="center"/>
                </w:tcPr>
                <w:p w14:paraId="2B2A8326">
                  <w:pPr>
                    <w:pStyle w:val="31"/>
                    <w:rPr>
                      <w:color w:val="000000" w:themeColor="text1"/>
                      <w14:textFill>
                        <w14:solidFill>
                          <w14:schemeClr w14:val="tx1"/>
                        </w14:solidFill>
                      </w14:textFill>
                    </w:rPr>
                  </w:pPr>
                  <w:r>
                    <w:rPr>
                      <w:color w:val="000000" w:themeColor="text1"/>
                      <w14:textFill>
                        <w14:solidFill>
                          <w14:schemeClr w14:val="tx1"/>
                        </w14:solidFill>
                      </w14:textFill>
                    </w:rPr>
                    <w:t>二级</w:t>
                  </w:r>
                </w:p>
              </w:tc>
            </w:tr>
            <w:tr w14:paraId="51004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5" w:type="dxa"/>
                  <w:gridSpan w:val="2"/>
                  <w:vAlign w:val="center"/>
                </w:tcPr>
                <w:p w14:paraId="6720DBDA">
                  <w:pPr>
                    <w:pStyle w:val="31"/>
                    <w:rPr>
                      <w:color w:val="000000" w:themeColor="text1"/>
                      <w14:textFill>
                        <w14:solidFill>
                          <w14:schemeClr w14:val="tx1"/>
                        </w14:solidFill>
                      </w14:textFill>
                    </w:rPr>
                  </w:pPr>
                  <w:r>
                    <w:rPr>
                      <w:color w:val="000000" w:themeColor="text1"/>
                      <w14:textFill>
                        <w14:solidFill>
                          <w14:schemeClr w14:val="tx1"/>
                        </w14:solidFill>
                      </w14:textFill>
                    </w:rPr>
                    <w:t>总糖（以葡萄糖计）/(g/L)≤</w:t>
                  </w:r>
                </w:p>
              </w:tc>
              <w:tc>
                <w:tcPr>
                  <w:tcW w:w="6961" w:type="dxa"/>
                  <w:gridSpan w:val="3"/>
                  <w:vAlign w:val="center"/>
                </w:tcPr>
                <w:p w14:paraId="15DF936A">
                  <w:pPr>
                    <w:pStyle w:val="31"/>
                    <w:rPr>
                      <w:color w:val="000000" w:themeColor="text1"/>
                      <w14:textFill>
                        <w14:solidFill>
                          <w14:schemeClr w14:val="tx1"/>
                        </w14:solidFill>
                      </w14:textFill>
                    </w:rPr>
                  </w:pPr>
                  <w:r>
                    <w:rPr>
                      <w:color w:val="000000" w:themeColor="text1"/>
                      <w14:textFill>
                        <w14:solidFill>
                          <w14:schemeClr w14:val="tx1"/>
                        </w14:solidFill>
                      </w14:textFill>
                    </w:rPr>
                    <w:t>15.0</w:t>
                  </w:r>
                </w:p>
              </w:tc>
            </w:tr>
            <w:tr w14:paraId="1F05B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5" w:type="dxa"/>
                  <w:gridSpan w:val="2"/>
                  <w:vAlign w:val="center"/>
                </w:tcPr>
                <w:p w14:paraId="3FB97773">
                  <w:pPr>
                    <w:pStyle w:val="31"/>
                    <w:rPr>
                      <w:color w:val="000000" w:themeColor="text1"/>
                      <w14:textFill>
                        <w14:solidFill>
                          <w14:schemeClr w14:val="tx1"/>
                        </w14:solidFill>
                      </w14:textFill>
                    </w:rPr>
                  </w:pPr>
                  <w:r>
                    <w:rPr>
                      <w:color w:val="000000" w:themeColor="text1"/>
                      <w14:textFill>
                        <w14:solidFill>
                          <w14:schemeClr w14:val="tx1"/>
                        </w14:solidFill>
                      </w14:textFill>
                    </w:rPr>
                    <w:t>非糖固形物/(g/L)≥</w:t>
                  </w:r>
                </w:p>
              </w:tc>
              <w:tc>
                <w:tcPr>
                  <w:tcW w:w="2100" w:type="dxa"/>
                  <w:vAlign w:val="center"/>
                </w:tcPr>
                <w:p w14:paraId="04FFC15F">
                  <w:pPr>
                    <w:pStyle w:val="31"/>
                    <w:rPr>
                      <w:color w:val="000000" w:themeColor="text1"/>
                      <w14:textFill>
                        <w14:solidFill>
                          <w14:schemeClr w14:val="tx1"/>
                        </w14:solidFill>
                      </w14:textFill>
                    </w:rPr>
                  </w:pPr>
                  <w:r>
                    <w:rPr>
                      <w:color w:val="000000" w:themeColor="text1"/>
                      <w14:textFill>
                        <w14:solidFill>
                          <w14:schemeClr w14:val="tx1"/>
                        </w14:solidFill>
                      </w14:textFill>
                    </w:rPr>
                    <w:t>14.0</w:t>
                  </w:r>
                </w:p>
              </w:tc>
              <w:tc>
                <w:tcPr>
                  <w:tcW w:w="2250" w:type="dxa"/>
                  <w:vAlign w:val="center"/>
                </w:tcPr>
                <w:p w14:paraId="07E985C5">
                  <w:pPr>
                    <w:pStyle w:val="31"/>
                    <w:rPr>
                      <w:color w:val="000000" w:themeColor="text1"/>
                      <w14:textFill>
                        <w14:solidFill>
                          <w14:schemeClr w14:val="tx1"/>
                        </w14:solidFill>
                      </w14:textFill>
                    </w:rPr>
                  </w:pPr>
                  <w:r>
                    <w:rPr>
                      <w:color w:val="000000" w:themeColor="text1"/>
                      <w14:textFill>
                        <w14:solidFill>
                          <w14:schemeClr w14:val="tx1"/>
                        </w14:solidFill>
                      </w14:textFill>
                    </w:rPr>
                    <w:t>11.5</w:t>
                  </w:r>
                </w:p>
              </w:tc>
              <w:tc>
                <w:tcPr>
                  <w:tcW w:w="2611" w:type="dxa"/>
                  <w:vAlign w:val="center"/>
                </w:tcPr>
                <w:p w14:paraId="394ED35E">
                  <w:pPr>
                    <w:pStyle w:val="31"/>
                    <w:rPr>
                      <w:color w:val="000000" w:themeColor="text1"/>
                      <w14:textFill>
                        <w14:solidFill>
                          <w14:schemeClr w14:val="tx1"/>
                        </w14:solidFill>
                      </w14:textFill>
                    </w:rPr>
                  </w:pPr>
                  <w:r>
                    <w:rPr>
                      <w:color w:val="000000" w:themeColor="text1"/>
                      <w14:textFill>
                        <w14:solidFill>
                          <w14:schemeClr w14:val="tx1"/>
                        </w14:solidFill>
                      </w14:textFill>
                    </w:rPr>
                    <w:t>9.5</w:t>
                  </w:r>
                </w:p>
              </w:tc>
            </w:tr>
            <w:tr w14:paraId="25391F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5" w:type="dxa"/>
                  <w:gridSpan w:val="2"/>
                  <w:vAlign w:val="center"/>
                </w:tcPr>
                <w:p w14:paraId="3746BD01">
                  <w:pPr>
                    <w:pStyle w:val="31"/>
                    <w:rPr>
                      <w:color w:val="000000" w:themeColor="text1"/>
                      <w14:textFill>
                        <w14:solidFill>
                          <w14:schemeClr w14:val="tx1"/>
                        </w14:solidFill>
                      </w14:textFill>
                    </w:rPr>
                  </w:pPr>
                  <w:r>
                    <w:rPr>
                      <w:color w:val="000000" w:themeColor="text1"/>
                      <w14:textFill>
                        <w14:solidFill>
                          <w14:schemeClr w14:val="tx1"/>
                        </w14:solidFill>
                      </w14:textFill>
                    </w:rPr>
                    <w:t>酒精度/（</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Vol）≥</w:t>
                  </w:r>
                </w:p>
              </w:tc>
              <w:tc>
                <w:tcPr>
                  <w:tcW w:w="6961" w:type="dxa"/>
                  <w:gridSpan w:val="3"/>
                  <w:vAlign w:val="center"/>
                </w:tcPr>
                <w:p w14:paraId="43EE4EE8">
                  <w:pPr>
                    <w:pStyle w:val="31"/>
                    <w:rPr>
                      <w:color w:val="000000" w:themeColor="text1"/>
                      <w14:textFill>
                        <w14:solidFill>
                          <w14:schemeClr w14:val="tx1"/>
                        </w14:solidFill>
                      </w14:textFill>
                    </w:rPr>
                  </w:pPr>
                  <w:r>
                    <w:rPr>
                      <w:color w:val="000000" w:themeColor="text1"/>
                      <w14:textFill>
                        <w14:solidFill>
                          <w14:schemeClr w14:val="tx1"/>
                        </w14:solidFill>
                      </w14:textFill>
                    </w:rPr>
                    <w:t>8.0</w:t>
                  </w:r>
                </w:p>
              </w:tc>
            </w:tr>
            <w:tr w14:paraId="06CD9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5" w:type="dxa"/>
                  <w:gridSpan w:val="2"/>
                  <w:vAlign w:val="center"/>
                </w:tcPr>
                <w:p w14:paraId="1C9DFE7D">
                  <w:pPr>
                    <w:pStyle w:val="31"/>
                    <w:rPr>
                      <w:color w:val="000000" w:themeColor="text1"/>
                      <w14:textFill>
                        <w14:solidFill>
                          <w14:schemeClr w14:val="tx1"/>
                        </w14:solidFill>
                      </w14:textFill>
                    </w:rPr>
                  </w:pPr>
                  <w:r>
                    <w:rPr>
                      <w:color w:val="000000" w:themeColor="text1"/>
                      <w14:textFill>
                        <w14:solidFill>
                          <w14:schemeClr w14:val="tx1"/>
                        </w14:solidFill>
                      </w14:textFill>
                    </w:rPr>
                    <w:t>总酸（以乙酸计）/(g/L)</w:t>
                  </w:r>
                </w:p>
              </w:tc>
              <w:tc>
                <w:tcPr>
                  <w:tcW w:w="6961" w:type="dxa"/>
                  <w:gridSpan w:val="3"/>
                  <w:vAlign w:val="center"/>
                </w:tcPr>
                <w:p w14:paraId="42E74501">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3.0-7.0</w:t>
                  </w:r>
                </w:p>
              </w:tc>
            </w:tr>
            <w:tr w14:paraId="736AA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5" w:type="dxa"/>
                  <w:gridSpan w:val="2"/>
                  <w:vAlign w:val="center"/>
                </w:tcPr>
                <w:p w14:paraId="008E7AEB">
                  <w:pPr>
                    <w:pStyle w:val="31"/>
                    <w:rPr>
                      <w:color w:val="000000" w:themeColor="text1"/>
                      <w14:textFill>
                        <w14:solidFill>
                          <w14:schemeClr w14:val="tx1"/>
                        </w14:solidFill>
                      </w14:textFill>
                    </w:rPr>
                  </w:pPr>
                  <w:r>
                    <w:rPr>
                      <w:color w:val="000000" w:themeColor="text1"/>
                      <w14:textFill>
                        <w14:solidFill>
                          <w14:schemeClr w14:val="tx1"/>
                        </w14:solidFill>
                      </w14:textFill>
                    </w:rPr>
                    <w:t>氨基酸态氮(g/L)≥</w:t>
                  </w:r>
                </w:p>
              </w:tc>
              <w:tc>
                <w:tcPr>
                  <w:tcW w:w="2100" w:type="dxa"/>
                  <w:vAlign w:val="center"/>
                </w:tcPr>
                <w:p w14:paraId="645BF23E">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0.35</w:t>
                  </w:r>
                </w:p>
              </w:tc>
              <w:tc>
                <w:tcPr>
                  <w:tcW w:w="2250" w:type="dxa"/>
                  <w:vAlign w:val="center"/>
                </w:tcPr>
                <w:p w14:paraId="7407FC9F">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0.25</w:t>
                  </w:r>
                </w:p>
              </w:tc>
              <w:tc>
                <w:tcPr>
                  <w:tcW w:w="2611" w:type="dxa"/>
                  <w:vAlign w:val="center"/>
                </w:tcPr>
                <w:p w14:paraId="5B10E203">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r>
            <w:tr w14:paraId="5A0B6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5" w:type="dxa"/>
                  <w:gridSpan w:val="2"/>
                  <w:vAlign w:val="center"/>
                </w:tcPr>
                <w:p w14:paraId="71AD5E49">
                  <w:pPr>
                    <w:pStyle w:val="31"/>
                    <w:rPr>
                      <w:color w:val="000000" w:themeColor="text1"/>
                      <w14:textFill>
                        <w14:solidFill>
                          <w14:schemeClr w14:val="tx1"/>
                        </w14:solidFill>
                      </w14:textFill>
                    </w:rPr>
                  </w:pPr>
                  <w:r>
                    <w:rPr>
                      <w:color w:val="000000" w:themeColor="text1"/>
                      <w14:textFill>
                        <w14:solidFill>
                          <w14:schemeClr w14:val="tx1"/>
                        </w14:solidFill>
                      </w14:textFill>
                    </w:rPr>
                    <w:t>pH</w:t>
                  </w:r>
                </w:p>
              </w:tc>
              <w:tc>
                <w:tcPr>
                  <w:tcW w:w="6961" w:type="dxa"/>
                  <w:gridSpan w:val="3"/>
                  <w:vAlign w:val="center"/>
                </w:tcPr>
                <w:p w14:paraId="7336E590">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3.5-4.6</w:t>
                  </w:r>
                </w:p>
              </w:tc>
            </w:tr>
            <w:tr w14:paraId="3A49C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5" w:type="dxa"/>
                  <w:gridSpan w:val="2"/>
                  <w:vAlign w:val="center"/>
                </w:tcPr>
                <w:p w14:paraId="4F0A4EC8">
                  <w:pPr>
                    <w:pStyle w:val="31"/>
                    <w:rPr>
                      <w:color w:val="000000" w:themeColor="text1"/>
                      <w14:textFill>
                        <w14:solidFill>
                          <w14:schemeClr w14:val="tx1"/>
                        </w14:solidFill>
                      </w14:textFill>
                    </w:rPr>
                  </w:pPr>
                  <w:r>
                    <w:rPr>
                      <w:color w:val="000000" w:themeColor="text1"/>
                      <w14:textFill>
                        <w14:solidFill>
                          <w14:schemeClr w14:val="tx1"/>
                        </w14:solidFill>
                      </w14:textFill>
                    </w:rPr>
                    <w:t>氧化钙/(g/L)≤</w:t>
                  </w:r>
                </w:p>
              </w:tc>
              <w:tc>
                <w:tcPr>
                  <w:tcW w:w="6961" w:type="dxa"/>
                  <w:gridSpan w:val="3"/>
                  <w:vAlign w:val="center"/>
                </w:tcPr>
                <w:p w14:paraId="0C3C9E9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1.0</w:t>
                  </w:r>
                </w:p>
              </w:tc>
            </w:tr>
            <w:tr w14:paraId="67B0D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35" w:type="dxa"/>
                  <w:gridSpan w:val="2"/>
                  <w:vAlign w:val="center"/>
                </w:tcPr>
                <w:p w14:paraId="2093D9AA">
                  <w:pPr>
                    <w:pStyle w:val="31"/>
                    <w:rPr>
                      <w:color w:val="000000" w:themeColor="text1"/>
                      <w14:textFill>
                        <w14:solidFill>
                          <w14:schemeClr w14:val="tx1"/>
                        </w14:solidFill>
                      </w14:textFill>
                    </w:rPr>
                  </w:pPr>
                  <w:r>
                    <w:rPr>
                      <w:color w:val="000000" w:themeColor="text1"/>
                      <w14:textFill>
                        <w14:solidFill>
                          <w14:schemeClr w14:val="tx1"/>
                        </w14:solidFill>
                      </w14:textFill>
                    </w:rPr>
                    <w:t>苯甲酸c/(g/L)≤</w:t>
                  </w:r>
                </w:p>
              </w:tc>
              <w:tc>
                <w:tcPr>
                  <w:tcW w:w="6961" w:type="dxa"/>
                  <w:gridSpan w:val="3"/>
                  <w:vAlign w:val="center"/>
                </w:tcPr>
                <w:p w14:paraId="715A84B4">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0.05</w:t>
                  </w:r>
                </w:p>
              </w:tc>
            </w:tr>
          </w:tbl>
          <w:p w14:paraId="71C84943">
            <w:pPr>
              <w:pStyle w:val="42"/>
              <w:widowControl/>
              <w:adjustRightInd/>
              <w:ind w:firstLine="48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本项目生产的啤酒为淡色啤酒，执行《啤酒》标准要求。</w:t>
            </w:r>
          </w:p>
          <w:p w14:paraId="2B4C16F5">
            <w:pPr>
              <w:pStyle w:val="42"/>
              <w:widowControl/>
              <w:adjustRightInd/>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表2-8  《啤酒》</w:t>
            </w:r>
            <w:r>
              <w:rPr>
                <w:b/>
                <w:color w:val="000000" w:themeColor="text1"/>
                <w14:textFill>
                  <w14:solidFill>
                    <w14:schemeClr w14:val="tx1"/>
                  </w14:solidFill>
                </w14:textFill>
              </w:rPr>
              <w:t>国家标准</w:t>
            </w:r>
          </w:p>
          <w:tbl>
            <w:tblPr>
              <w:tblStyle w:val="26"/>
              <w:tblW w:w="93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8"/>
              <w:gridCol w:w="1500"/>
              <w:gridCol w:w="685"/>
              <w:gridCol w:w="1715"/>
              <w:gridCol w:w="1566"/>
              <w:gridCol w:w="783"/>
              <w:gridCol w:w="2350"/>
            </w:tblGrid>
            <w:tr w14:paraId="672D1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Align w:val="center"/>
                </w:tcPr>
                <w:p w14:paraId="56E6F4C2">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3281" w:type="dxa"/>
                  <w:gridSpan w:val="2"/>
                  <w:shd w:val="clear" w:color="auto" w:fill="auto"/>
                  <w:vAlign w:val="center"/>
                </w:tcPr>
                <w:p w14:paraId="714FA0C0">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优级</w:t>
                  </w:r>
                </w:p>
              </w:tc>
              <w:tc>
                <w:tcPr>
                  <w:tcW w:w="3133" w:type="dxa"/>
                  <w:gridSpan w:val="2"/>
                  <w:shd w:val="clear" w:color="auto" w:fill="auto"/>
                  <w:vAlign w:val="center"/>
                </w:tcPr>
                <w:p w14:paraId="09B59C38">
                  <w:pPr>
                    <w:pStyle w:val="31"/>
                    <w:rPr>
                      <w:color w:val="000000" w:themeColor="text1"/>
                      <w:szCs w:val="21"/>
                      <w14:textFill>
                        <w14:solidFill>
                          <w14:schemeClr w14:val="tx1"/>
                        </w14:solidFill>
                      </w14:textFill>
                    </w:rPr>
                  </w:pPr>
                  <w:r>
                    <w:rPr>
                      <w:color w:val="000000" w:themeColor="text1"/>
                      <w:szCs w:val="21"/>
                      <w14:textFill>
                        <w14:solidFill>
                          <w14:schemeClr w14:val="tx1"/>
                        </w14:solidFill>
                      </w14:textFill>
                    </w:rPr>
                    <w:t>一级</w:t>
                  </w:r>
                </w:p>
              </w:tc>
            </w:tr>
            <w:tr w14:paraId="7430B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8" w:type="dxa"/>
                  <w:vMerge w:val="restart"/>
                  <w:vAlign w:val="center"/>
                </w:tcPr>
                <w:p w14:paraId="2091793D">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外观</w:t>
                  </w:r>
                  <w:r>
                    <w:rPr>
                      <w:rFonts w:hint="eastAsia"/>
                      <w:color w:val="000000" w:themeColor="text1"/>
                      <w:sz w:val="21"/>
                      <w:szCs w:val="21"/>
                      <w:vertAlign w:val="superscript"/>
                      <w14:textFill>
                        <w14:solidFill>
                          <w14:schemeClr w14:val="tx1"/>
                        </w14:solidFill>
                      </w14:textFill>
                    </w:rPr>
                    <w:t>a</w:t>
                  </w:r>
                </w:p>
              </w:tc>
              <w:tc>
                <w:tcPr>
                  <w:tcW w:w="2185" w:type="dxa"/>
                  <w:gridSpan w:val="2"/>
                  <w:vAlign w:val="center"/>
                </w:tcPr>
                <w:p w14:paraId="5AADC845">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透明度</w:t>
                  </w:r>
                </w:p>
              </w:tc>
              <w:tc>
                <w:tcPr>
                  <w:tcW w:w="6414" w:type="dxa"/>
                  <w:gridSpan w:val="4"/>
                  <w:vAlign w:val="center"/>
                </w:tcPr>
                <w:p w14:paraId="31F0F0A3">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清亮,允许有肉眼可见的微细悬浮物和沉淀物</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非外来异物</w:t>
                  </w:r>
                  <w:r>
                    <w:rPr>
                      <w:rFonts w:hint="eastAsia"/>
                      <w:color w:val="000000" w:themeColor="text1"/>
                      <w:sz w:val="21"/>
                      <w:szCs w:val="21"/>
                      <w14:textFill>
                        <w14:solidFill>
                          <w14:schemeClr w14:val="tx1"/>
                        </w14:solidFill>
                      </w14:textFill>
                    </w:rPr>
                    <w:t>）</w:t>
                  </w:r>
                </w:p>
              </w:tc>
            </w:tr>
            <w:tr w14:paraId="18A79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8" w:type="dxa"/>
                  <w:vMerge w:val="continue"/>
                  <w:vAlign w:val="center"/>
                </w:tcPr>
                <w:p w14:paraId="65037973">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2185" w:type="dxa"/>
                  <w:gridSpan w:val="2"/>
                  <w:vAlign w:val="center"/>
                </w:tcPr>
                <w:p w14:paraId="7E9F942C">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 xml:space="preserve">浊度/EBC   </w:t>
                  </w:r>
                  <w:r>
                    <w:rPr>
                      <w:rFonts w:hint="eastAsia"/>
                      <w:color w:val="000000" w:themeColor="text1"/>
                      <w:sz w:val="21"/>
                      <w:szCs w:val="21"/>
                      <w14:textFill>
                        <w14:solidFill>
                          <w14:schemeClr w14:val="tx1"/>
                        </w14:solidFill>
                      </w14:textFill>
                    </w:rPr>
                    <w:t xml:space="preserve">     </w:t>
                  </w:r>
                  <w:r>
                    <w:rPr>
                      <w:color w:val="000000" w:themeColor="text1"/>
                      <w:sz w:val="21"/>
                      <w:szCs w:val="21"/>
                      <w14:textFill>
                        <w14:solidFill>
                          <w14:schemeClr w14:val="tx1"/>
                        </w14:solidFill>
                      </w14:textFill>
                    </w:rPr>
                    <w:t>≤</w:t>
                  </w:r>
                </w:p>
              </w:tc>
              <w:tc>
                <w:tcPr>
                  <w:tcW w:w="3281" w:type="dxa"/>
                  <w:gridSpan w:val="2"/>
                  <w:vAlign w:val="center"/>
                </w:tcPr>
                <w:p w14:paraId="3CB2FFBC">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0.9</w:t>
                  </w:r>
                </w:p>
              </w:tc>
              <w:tc>
                <w:tcPr>
                  <w:tcW w:w="3133" w:type="dxa"/>
                  <w:gridSpan w:val="2"/>
                  <w:vAlign w:val="center"/>
                </w:tcPr>
                <w:p w14:paraId="7FA58864">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w:t>
                  </w:r>
                </w:p>
              </w:tc>
            </w:tr>
            <w:tr w14:paraId="1072F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8" w:type="dxa"/>
                  <w:vMerge w:val="restart"/>
                  <w:vAlign w:val="center"/>
                </w:tcPr>
                <w:p w14:paraId="1772B4BE">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泡沫</w:t>
                  </w:r>
                </w:p>
              </w:tc>
              <w:tc>
                <w:tcPr>
                  <w:tcW w:w="2185" w:type="dxa"/>
                  <w:gridSpan w:val="2"/>
                  <w:vAlign w:val="center"/>
                </w:tcPr>
                <w:p w14:paraId="4071C16A">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形态</w:t>
                  </w:r>
                </w:p>
              </w:tc>
              <w:tc>
                <w:tcPr>
                  <w:tcW w:w="3281" w:type="dxa"/>
                  <w:gridSpan w:val="2"/>
                  <w:vAlign w:val="center"/>
                </w:tcPr>
                <w:p w14:paraId="3DB9110B">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泡沫洁白细腻</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持久挂杯</w:t>
                  </w:r>
                </w:p>
              </w:tc>
              <w:tc>
                <w:tcPr>
                  <w:tcW w:w="3133" w:type="dxa"/>
                  <w:gridSpan w:val="2"/>
                  <w:vAlign w:val="center"/>
                </w:tcPr>
                <w:p w14:paraId="40D5BBFD">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泡沫</w:t>
                  </w:r>
                  <w:r>
                    <w:rPr>
                      <w:rFonts w:hint="eastAsia"/>
                      <w:color w:val="000000" w:themeColor="text1"/>
                      <w:sz w:val="21"/>
                      <w:szCs w:val="21"/>
                      <w14:textFill>
                        <w14:solidFill>
                          <w14:schemeClr w14:val="tx1"/>
                        </w14:solidFill>
                      </w14:textFill>
                    </w:rPr>
                    <w:t>较</w:t>
                  </w:r>
                  <w:r>
                    <w:rPr>
                      <w:color w:val="000000" w:themeColor="text1"/>
                      <w:sz w:val="21"/>
                      <w:szCs w:val="21"/>
                      <w14:textFill>
                        <w14:solidFill>
                          <w14:schemeClr w14:val="tx1"/>
                        </w14:solidFill>
                      </w14:textFill>
                    </w:rPr>
                    <w:t>洁白细腻</w:t>
                  </w:r>
                  <w:r>
                    <w:rPr>
                      <w:rFonts w:hint="eastAsia"/>
                      <w:color w:val="000000" w:themeColor="text1"/>
                      <w:sz w:val="21"/>
                      <w:szCs w:val="21"/>
                      <w14:textFill>
                        <w14:solidFill>
                          <w14:schemeClr w14:val="tx1"/>
                        </w14:solidFill>
                      </w14:textFill>
                    </w:rPr>
                    <w:t>，较</w:t>
                  </w:r>
                  <w:r>
                    <w:rPr>
                      <w:color w:val="000000" w:themeColor="text1"/>
                      <w:sz w:val="21"/>
                      <w:szCs w:val="21"/>
                      <w14:textFill>
                        <w14:solidFill>
                          <w14:schemeClr w14:val="tx1"/>
                        </w14:solidFill>
                      </w14:textFill>
                    </w:rPr>
                    <w:t>持久挂杯</w:t>
                  </w:r>
                </w:p>
              </w:tc>
            </w:tr>
            <w:tr w14:paraId="4A3A26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8" w:type="dxa"/>
                  <w:vMerge w:val="continue"/>
                  <w:vAlign w:val="center"/>
                </w:tcPr>
                <w:p w14:paraId="2852F056">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1500" w:type="dxa"/>
                  <w:vMerge w:val="restart"/>
                  <w:vAlign w:val="center"/>
                </w:tcPr>
                <w:p w14:paraId="463CFB45">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泡持性</w:t>
                  </w:r>
                  <w:r>
                    <w:rPr>
                      <w:color w:val="000000" w:themeColor="text1"/>
                      <w:sz w:val="21"/>
                      <w:szCs w:val="21"/>
                      <w:vertAlign w:val="superscript"/>
                      <w14:textFill>
                        <w14:solidFill>
                          <w14:schemeClr w14:val="tx1"/>
                        </w14:solidFill>
                      </w14:textFill>
                    </w:rPr>
                    <w:t>b</w:t>
                  </w:r>
                  <w:r>
                    <w:rPr>
                      <w:color w:val="000000" w:themeColor="text1"/>
                      <w:sz w:val="21"/>
                      <w:szCs w:val="21"/>
                      <w14:textFill>
                        <w14:solidFill>
                          <w14:schemeClr w14:val="tx1"/>
                        </w14:solidFill>
                      </w14:textFill>
                    </w:rPr>
                    <w:t>/s</w:t>
                  </w:r>
                  <w:r>
                    <w:rPr>
                      <w:rFonts w:hint="eastAsia"/>
                      <w:color w:val="000000" w:themeColor="text1"/>
                      <w:sz w:val="21"/>
                      <w:szCs w:val="21"/>
                      <w14:textFill>
                        <w14:solidFill>
                          <w14:schemeClr w14:val="tx1"/>
                        </w14:solidFill>
                      </w14:textFill>
                    </w:rPr>
                    <w:t xml:space="preserve">  </w:t>
                  </w:r>
                  <w:r>
                    <w:rPr>
                      <w:color w:val="000000" w:themeColor="text1"/>
                      <w:sz w:val="21"/>
                      <w:szCs w:val="21"/>
                      <w14:textFill>
                        <w14:solidFill>
                          <w14:schemeClr w14:val="tx1"/>
                        </w14:solidFill>
                      </w14:textFill>
                    </w:rPr>
                    <w:t>≥</w:t>
                  </w:r>
                </w:p>
              </w:tc>
              <w:tc>
                <w:tcPr>
                  <w:tcW w:w="685" w:type="dxa"/>
                  <w:vAlign w:val="center"/>
                </w:tcPr>
                <w:p w14:paraId="7B3950AD">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瓶装</w:t>
                  </w:r>
                </w:p>
              </w:tc>
              <w:tc>
                <w:tcPr>
                  <w:tcW w:w="3281" w:type="dxa"/>
                  <w:gridSpan w:val="2"/>
                  <w:vAlign w:val="center"/>
                </w:tcPr>
                <w:p w14:paraId="29C2DDBC">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180</w:t>
                  </w:r>
                </w:p>
              </w:tc>
              <w:tc>
                <w:tcPr>
                  <w:tcW w:w="3133" w:type="dxa"/>
                  <w:gridSpan w:val="2"/>
                  <w:vAlign w:val="center"/>
                </w:tcPr>
                <w:p w14:paraId="49318FCB">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130</w:t>
                  </w:r>
                </w:p>
              </w:tc>
            </w:tr>
            <w:tr w14:paraId="23725F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98" w:type="dxa"/>
                  <w:vMerge w:val="continue"/>
                  <w:vAlign w:val="center"/>
                </w:tcPr>
                <w:p w14:paraId="2E24EB90">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1500" w:type="dxa"/>
                  <w:vMerge w:val="continue"/>
                  <w:vAlign w:val="center"/>
                </w:tcPr>
                <w:p w14:paraId="4628ADBE">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685" w:type="dxa"/>
                  <w:vAlign w:val="center"/>
                </w:tcPr>
                <w:p w14:paraId="7C71BA7F">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听装</w:t>
                  </w:r>
                </w:p>
              </w:tc>
              <w:tc>
                <w:tcPr>
                  <w:tcW w:w="3281" w:type="dxa"/>
                  <w:gridSpan w:val="2"/>
                  <w:vAlign w:val="center"/>
                </w:tcPr>
                <w:p w14:paraId="66D87BCB">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150</w:t>
                  </w:r>
                </w:p>
              </w:tc>
              <w:tc>
                <w:tcPr>
                  <w:tcW w:w="3133" w:type="dxa"/>
                  <w:gridSpan w:val="2"/>
                  <w:vAlign w:val="center"/>
                </w:tcPr>
                <w:p w14:paraId="34EA03EA">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110</w:t>
                  </w:r>
                </w:p>
              </w:tc>
            </w:tr>
            <w:tr w14:paraId="416B6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Align w:val="center"/>
                </w:tcPr>
                <w:p w14:paraId="1010B3AE">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香气和口味</w:t>
                  </w:r>
                </w:p>
              </w:tc>
              <w:tc>
                <w:tcPr>
                  <w:tcW w:w="3281" w:type="dxa"/>
                  <w:gridSpan w:val="2"/>
                  <w:vAlign w:val="center"/>
                </w:tcPr>
                <w:p w14:paraId="2B273738">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有明显的酒花香气</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口味纯正,爽口</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酒体协调</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柔和</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无异香、异味</w:t>
                  </w:r>
                </w:p>
              </w:tc>
              <w:tc>
                <w:tcPr>
                  <w:tcW w:w="3133" w:type="dxa"/>
                  <w:gridSpan w:val="2"/>
                  <w:vAlign w:val="center"/>
                </w:tcPr>
                <w:p w14:paraId="6B057AF3">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有较明显的酒花香气</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口味纯正，较爽口</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协调</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无异香、异味</w:t>
                  </w:r>
                </w:p>
              </w:tc>
            </w:tr>
            <w:tr w14:paraId="3B5DC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97" w:type="dxa"/>
                  <w:gridSpan w:val="7"/>
                  <w:vAlign w:val="center"/>
                </w:tcPr>
                <w:p w14:paraId="5D20D4A2">
                  <w:pPr>
                    <w:pStyle w:val="42"/>
                    <w:widowControl/>
                    <w:adjustRightInd/>
                    <w:spacing w:line="240" w:lineRule="auto"/>
                    <w:ind w:firstLine="0" w:firstLineChars="0"/>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a对非瓶装的</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鲜啤酒</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无要求。</w:t>
                  </w:r>
                </w:p>
                <w:p w14:paraId="570764F3">
                  <w:pPr>
                    <w:pStyle w:val="42"/>
                    <w:widowControl/>
                    <w:adjustRightInd/>
                    <w:spacing w:line="240" w:lineRule="auto"/>
                    <w:ind w:firstLine="0" w:firstLineChars="0"/>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b对桶装</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鲜、生、熟</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啤酒无要求。</w:t>
                  </w:r>
                </w:p>
              </w:tc>
            </w:tr>
            <w:tr w14:paraId="38948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97" w:type="dxa"/>
                  <w:gridSpan w:val="7"/>
                  <w:vAlign w:val="center"/>
                </w:tcPr>
                <w:p w14:paraId="02FF3494">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淡色啤酒理化要求</w:t>
                  </w:r>
                </w:p>
              </w:tc>
            </w:tr>
            <w:tr w14:paraId="11C52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8" w:type="dxa"/>
                  <w:gridSpan w:val="4"/>
                  <w:vAlign w:val="center"/>
                </w:tcPr>
                <w:p w14:paraId="4C4B602C">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2349" w:type="dxa"/>
                  <w:gridSpan w:val="2"/>
                  <w:vAlign w:val="center"/>
                </w:tcPr>
                <w:p w14:paraId="42B21DD0">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优级</w:t>
                  </w:r>
                </w:p>
              </w:tc>
              <w:tc>
                <w:tcPr>
                  <w:tcW w:w="2350" w:type="dxa"/>
                  <w:vAlign w:val="center"/>
                </w:tcPr>
                <w:p w14:paraId="13F922B0">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一级</w:t>
                  </w:r>
                </w:p>
              </w:tc>
            </w:tr>
            <w:tr w14:paraId="44A52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Merge w:val="restart"/>
                  <w:vAlign w:val="center"/>
                </w:tcPr>
                <w:p w14:paraId="3F8BC742">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酒精度</w:t>
                  </w:r>
                  <w:r>
                    <w:rPr>
                      <w:color w:val="000000" w:themeColor="text1"/>
                      <w:sz w:val="21"/>
                      <w:szCs w:val="21"/>
                      <w:vertAlign w:val="superscript"/>
                      <w14:textFill>
                        <w14:solidFill>
                          <w14:schemeClr w14:val="tx1"/>
                        </w14:solidFill>
                      </w14:textFill>
                    </w:rPr>
                    <w:t>a</w:t>
                  </w:r>
                  <w:r>
                    <w:rPr>
                      <w:color w:val="000000" w:themeColor="text1"/>
                      <w:sz w:val="21"/>
                      <w:szCs w:val="21"/>
                      <w14:textFill>
                        <w14:solidFill>
                          <w14:schemeClr w14:val="tx1"/>
                        </w14:solidFill>
                      </w14:textFill>
                    </w:rPr>
                    <w:t>/(%vol)</w:t>
                  </w:r>
                  <w:r>
                    <w:rPr>
                      <w:rFonts w:hint="eastAsia"/>
                      <w:color w:val="000000" w:themeColor="text1"/>
                      <w:sz w:val="21"/>
                      <w:szCs w:val="21"/>
                      <w14:textFill>
                        <w14:solidFill>
                          <w14:schemeClr w14:val="tx1"/>
                        </w14:solidFill>
                      </w14:textFill>
                    </w:rPr>
                    <w:t xml:space="preserve">            </w:t>
                  </w:r>
                  <w:r>
                    <w:rPr>
                      <w:color w:val="000000" w:themeColor="text1"/>
                      <w:sz w:val="21"/>
                      <w:szCs w:val="21"/>
                      <w14:textFill>
                        <w14:solidFill>
                          <w14:schemeClr w14:val="tx1"/>
                        </w14:solidFill>
                      </w14:textFill>
                    </w:rPr>
                    <w:t>≥</w:t>
                  </w:r>
                </w:p>
              </w:tc>
              <w:tc>
                <w:tcPr>
                  <w:tcW w:w="1715" w:type="dxa"/>
                  <w:vAlign w:val="center"/>
                </w:tcPr>
                <w:p w14:paraId="01E0EBEE">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大于等于14.1°P</w:t>
                  </w:r>
                </w:p>
              </w:tc>
              <w:tc>
                <w:tcPr>
                  <w:tcW w:w="4699" w:type="dxa"/>
                  <w:gridSpan w:val="3"/>
                  <w:vAlign w:val="center"/>
                </w:tcPr>
                <w:p w14:paraId="11042DD3">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5.2</w:t>
                  </w:r>
                </w:p>
              </w:tc>
            </w:tr>
            <w:tr w14:paraId="0DE2B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Merge w:val="continue"/>
                  <w:vAlign w:val="center"/>
                </w:tcPr>
                <w:p w14:paraId="3BAC83C2">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1715" w:type="dxa"/>
                  <w:vAlign w:val="center"/>
                </w:tcPr>
                <w:p w14:paraId="2BA58E3A">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12.1°P~14.0°P</w:t>
                  </w:r>
                </w:p>
              </w:tc>
              <w:tc>
                <w:tcPr>
                  <w:tcW w:w="4699" w:type="dxa"/>
                  <w:gridSpan w:val="3"/>
                  <w:vAlign w:val="center"/>
                </w:tcPr>
                <w:p w14:paraId="19F1ED27">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4.5</w:t>
                  </w:r>
                </w:p>
              </w:tc>
            </w:tr>
            <w:tr w14:paraId="45CE6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Merge w:val="continue"/>
                  <w:vAlign w:val="center"/>
                </w:tcPr>
                <w:p w14:paraId="69B3101C">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1715" w:type="dxa"/>
                  <w:vAlign w:val="center"/>
                </w:tcPr>
                <w:p w14:paraId="366DD717">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11.1°P~12.0°P</w:t>
                  </w:r>
                </w:p>
              </w:tc>
              <w:tc>
                <w:tcPr>
                  <w:tcW w:w="4699" w:type="dxa"/>
                  <w:gridSpan w:val="3"/>
                  <w:vAlign w:val="center"/>
                </w:tcPr>
                <w:p w14:paraId="73F78D6A">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w:t>
                  </w:r>
                </w:p>
              </w:tc>
            </w:tr>
            <w:tr w14:paraId="0B60B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Merge w:val="continue"/>
                  <w:vAlign w:val="center"/>
                </w:tcPr>
                <w:p w14:paraId="02745385">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1715" w:type="dxa"/>
                  <w:vAlign w:val="center"/>
                </w:tcPr>
                <w:p w14:paraId="63DEB068">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10.1°P~11.0°P</w:t>
                  </w:r>
                </w:p>
              </w:tc>
              <w:tc>
                <w:tcPr>
                  <w:tcW w:w="4699" w:type="dxa"/>
                  <w:gridSpan w:val="3"/>
                  <w:vAlign w:val="center"/>
                </w:tcPr>
                <w:p w14:paraId="2DA7B04A">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3.7</w:t>
                  </w:r>
                </w:p>
              </w:tc>
            </w:tr>
            <w:tr w14:paraId="169B8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Merge w:val="continue"/>
                  <w:vAlign w:val="center"/>
                </w:tcPr>
                <w:p w14:paraId="5EAD257A">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1715" w:type="dxa"/>
                  <w:vAlign w:val="center"/>
                </w:tcPr>
                <w:p w14:paraId="328B9A87">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8.1°P~10.0°P</w:t>
                  </w:r>
                </w:p>
              </w:tc>
              <w:tc>
                <w:tcPr>
                  <w:tcW w:w="4699" w:type="dxa"/>
                  <w:gridSpan w:val="3"/>
                  <w:vAlign w:val="center"/>
                </w:tcPr>
                <w:p w14:paraId="4CDF8FF9">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3.3</w:t>
                  </w:r>
                </w:p>
              </w:tc>
            </w:tr>
            <w:tr w14:paraId="7AFF5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Merge w:val="continue"/>
                  <w:vAlign w:val="center"/>
                </w:tcPr>
                <w:p w14:paraId="7F26718A">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1715" w:type="dxa"/>
                  <w:vAlign w:val="center"/>
                </w:tcPr>
                <w:p w14:paraId="2C73CBF1">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小于等于8.0°P</w:t>
                  </w:r>
                </w:p>
              </w:tc>
              <w:tc>
                <w:tcPr>
                  <w:tcW w:w="4699" w:type="dxa"/>
                  <w:gridSpan w:val="3"/>
                  <w:vAlign w:val="center"/>
                </w:tcPr>
                <w:p w14:paraId="7CC71AE0">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2.5</w:t>
                  </w:r>
                </w:p>
              </w:tc>
            </w:tr>
            <w:tr w14:paraId="2EFAE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8" w:type="dxa"/>
                  <w:gridSpan w:val="4"/>
                  <w:vAlign w:val="center"/>
                </w:tcPr>
                <w:p w14:paraId="51661782">
                  <w:pPr>
                    <w:pStyle w:val="42"/>
                    <w:widowControl/>
                    <w:adjustRightInd/>
                    <w:spacing w:line="240" w:lineRule="auto"/>
                    <w:ind w:firstLine="0" w:firstLineChars="0"/>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原麦汁浓度</w:t>
                  </w:r>
                  <w:r>
                    <w:rPr>
                      <w:rFonts w:hint="eastAsia"/>
                      <w:color w:val="000000" w:themeColor="text1"/>
                      <w:sz w:val="21"/>
                      <w:szCs w:val="21"/>
                      <w:vertAlign w:val="superscript"/>
                      <w14:textFill>
                        <w14:solidFill>
                          <w14:schemeClr w14:val="tx1"/>
                        </w14:solidFill>
                      </w14:textFill>
                    </w:rPr>
                    <w:t>b</w:t>
                  </w:r>
                  <w:r>
                    <w:rPr>
                      <w:color w:val="000000" w:themeColor="text1"/>
                      <w:sz w:val="21"/>
                      <w:szCs w:val="21"/>
                      <w14:textFill>
                        <w14:solidFill>
                          <w14:schemeClr w14:val="tx1"/>
                        </w14:solidFill>
                      </w14:textFill>
                    </w:rPr>
                    <w:t>/°P</w:t>
                  </w:r>
                </w:p>
              </w:tc>
              <w:tc>
                <w:tcPr>
                  <w:tcW w:w="4699" w:type="dxa"/>
                  <w:gridSpan w:val="3"/>
                  <w:vAlign w:val="center"/>
                </w:tcPr>
                <w:p w14:paraId="2949D15D">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X</w:t>
                  </w:r>
                </w:p>
              </w:tc>
            </w:tr>
            <w:tr w14:paraId="6F089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Merge w:val="restart"/>
                  <w:vAlign w:val="center"/>
                </w:tcPr>
                <w:p w14:paraId="23EBFC0E">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总酸/（mL/100mL）         </w:t>
                  </w:r>
                  <w:r>
                    <w:rPr>
                      <w:color w:val="000000" w:themeColor="text1"/>
                      <w:sz w:val="21"/>
                      <w:szCs w:val="21"/>
                      <w14:textFill>
                        <w14:solidFill>
                          <w14:schemeClr w14:val="tx1"/>
                        </w14:solidFill>
                      </w14:textFill>
                    </w:rPr>
                    <w:t>≤</w:t>
                  </w:r>
                </w:p>
              </w:tc>
              <w:tc>
                <w:tcPr>
                  <w:tcW w:w="1715" w:type="dxa"/>
                  <w:vAlign w:val="center"/>
                </w:tcPr>
                <w:p w14:paraId="2B7F2B2F">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大于等于14.1°P</w:t>
                  </w:r>
                </w:p>
              </w:tc>
              <w:tc>
                <w:tcPr>
                  <w:tcW w:w="4699" w:type="dxa"/>
                  <w:gridSpan w:val="3"/>
                  <w:vAlign w:val="center"/>
                </w:tcPr>
                <w:p w14:paraId="4249E167">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3.0</w:t>
                  </w:r>
                </w:p>
              </w:tc>
            </w:tr>
            <w:tr w14:paraId="1F0825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Merge w:val="continue"/>
                  <w:vAlign w:val="center"/>
                </w:tcPr>
                <w:p w14:paraId="7B4C2DC2">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1715" w:type="dxa"/>
                  <w:vAlign w:val="center"/>
                </w:tcPr>
                <w:p w14:paraId="4E4C20E1">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10.1°P~14.0°P</w:t>
                  </w:r>
                </w:p>
              </w:tc>
              <w:tc>
                <w:tcPr>
                  <w:tcW w:w="4699" w:type="dxa"/>
                  <w:gridSpan w:val="3"/>
                  <w:vAlign w:val="center"/>
                </w:tcPr>
                <w:p w14:paraId="2CCDD37F">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2.6</w:t>
                  </w:r>
                </w:p>
              </w:tc>
            </w:tr>
            <w:tr w14:paraId="0360F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83" w:type="dxa"/>
                  <w:gridSpan w:val="3"/>
                  <w:vMerge w:val="continue"/>
                  <w:vAlign w:val="center"/>
                </w:tcPr>
                <w:p w14:paraId="5251F19F">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p>
              </w:tc>
              <w:tc>
                <w:tcPr>
                  <w:tcW w:w="1715" w:type="dxa"/>
                  <w:vAlign w:val="center"/>
                </w:tcPr>
                <w:p w14:paraId="36EF8A23">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小于等于10.0°P</w:t>
                  </w:r>
                </w:p>
              </w:tc>
              <w:tc>
                <w:tcPr>
                  <w:tcW w:w="4699" w:type="dxa"/>
                  <w:gridSpan w:val="3"/>
                  <w:vAlign w:val="center"/>
                </w:tcPr>
                <w:p w14:paraId="7C04FB72">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2.2</w:t>
                  </w:r>
                </w:p>
              </w:tc>
            </w:tr>
            <w:tr w14:paraId="795C2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8" w:type="dxa"/>
                  <w:gridSpan w:val="4"/>
                  <w:vAlign w:val="center"/>
                </w:tcPr>
                <w:p w14:paraId="063B90F5">
                  <w:pPr>
                    <w:pStyle w:val="42"/>
                    <w:widowControl/>
                    <w:adjustRightInd/>
                    <w:spacing w:line="240" w:lineRule="auto"/>
                    <w:ind w:firstLine="0" w:firstLineChars="0"/>
                    <w:jc w:val="both"/>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二氧化碳</w:t>
                  </w:r>
                  <w:r>
                    <w:rPr>
                      <w:rFonts w:hint="eastAsia"/>
                      <w:color w:val="000000" w:themeColor="text1"/>
                      <w:sz w:val="21"/>
                      <w:szCs w:val="21"/>
                      <w:vertAlign w:val="superscript"/>
                      <w14:textFill>
                        <w14:solidFill>
                          <w14:schemeClr w14:val="tx1"/>
                        </w14:solidFill>
                      </w14:textFill>
                    </w:rPr>
                    <w:t>c</w:t>
                  </w:r>
                  <w:r>
                    <w:rPr>
                      <w:rFonts w:hint="eastAsia"/>
                      <w:color w:val="000000" w:themeColor="text1"/>
                      <w:sz w:val="21"/>
                      <w:szCs w:val="21"/>
                      <w14:textFill>
                        <w14:solidFill>
                          <w14:schemeClr w14:val="tx1"/>
                        </w14:solidFill>
                      </w14:textFill>
                    </w:rPr>
                    <w:t>/%（质量分数）</w:t>
                  </w:r>
                </w:p>
              </w:tc>
              <w:tc>
                <w:tcPr>
                  <w:tcW w:w="4699" w:type="dxa"/>
                  <w:gridSpan w:val="3"/>
                  <w:vAlign w:val="center"/>
                </w:tcPr>
                <w:p w14:paraId="0A5BAE54">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0.35-0.65</w:t>
                  </w:r>
                </w:p>
              </w:tc>
            </w:tr>
            <w:tr w14:paraId="26A8B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8" w:type="dxa"/>
                  <w:gridSpan w:val="4"/>
                  <w:vAlign w:val="center"/>
                </w:tcPr>
                <w:p w14:paraId="04EB36F8">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 xml:space="preserve">双乙酰/(mg/L)                             </w:t>
                  </w:r>
                  <w:r>
                    <w:rPr>
                      <w:color w:val="000000" w:themeColor="text1"/>
                      <w:sz w:val="21"/>
                      <w:szCs w:val="21"/>
                      <w14:textFill>
                        <w14:solidFill>
                          <w14:schemeClr w14:val="tx1"/>
                        </w14:solidFill>
                      </w14:textFill>
                    </w:rPr>
                    <w:t>≤</w:t>
                  </w:r>
                </w:p>
              </w:tc>
              <w:tc>
                <w:tcPr>
                  <w:tcW w:w="2349" w:type="dxa"/>
                  <w:gridSpan w:val="2"/>
                  <w:vAlign w:val="center"/>
                </w:tcPr>
                <w:p w14:paraId="0716AD12">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0.10</w:t>
                  </w:r>
                </w:p>
              </w:tc>
              <w:tc>
                <w:tcPr>
                  <w:tcW w:w="2350" w:type="dxa"/>
                  <w:vAlign w:val="center"/>
                </w:tcPr>
                <w:p w14:paraId="69A2B40C">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0.15</w:t>
                  </w:r>
                </w:p>
              </w:tc>
            </w:tr>
            <w:tr w14:paraId="1BA49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698" w:type="dxa"/>
                  <w:gridSpan w:val="4"/>
                  <w:vAlign w:val="center"/>
                </w:tcPr>
                <w:p w14:paraId="5F00A1F3">
                  <w:pPr>
                    <w:pStyle w:val="42"/>
                    <w:widowControl/>
                    <w:adjustRightInd/>
                    <w:spacing w:line="240" w:lineRule="auto"/>
                    <w:ind w:firstLine="0" w:firstLineChars="0"/>
                    <w:jc w:val="both"/>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蔗糖转化酶活性</w:t>
                  </w:r>
                  <w:r>
                    <w:rPr>
                      <w:rFonts w:hint="eastAsia"/>
                      <w:color w:val="000000" w:themeColor="text1"/>
                      <w:sz w:val="21"/>
                      <w:szCs w:val="21"/>
                      <w:vertAlign w:val="superscript"/>
                      <w14:textFill>
                        <w14:solidFill>
                          <w14:schemeClr w14:val="tx1"/>
                        </w14:solidFill>
                      </w14:textFill>
                    </w:rPr>
                    <w:t>d</w:t>
                  </w:r>
                </w:p>
              </w:tc>
              <w:tc>
                <w:tcPr>
                  <w:tcW w:w="4699" w:type="dxa"/>
                  <w:gridSpan w:val="3"/>
                  <w:vAlign w:val="center"/>
                </w:tcPr>
                <w:p w14:paraId="0EF82B0C">
                  <w:pPr>
                    <w:pStyle w:val="42"/>
                    <w:widowControl/>
                    <w:adjustRightInd/>
                    <w:spacing w:line="240" w:lineRule="auto"/>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呈阳性</w:t>
                  </w:r>
                </w:p>
              </w:tc>
            </w:tr>
            <w:tr w14:paraId="30C48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397" w:type="dxa"/>
                  <w:gridSpan w:val="7"/>
                  <w:vAlign w:val="center"/>
                </w:tcPr>
                <w:p w14:paraId="7B0CE3DF">
                  <w:pPr>
                    <w:pStyle w:val="42"/>
                    <w:widowControl/>
                    <w:adjustRightInd/>
                    <w:spacing w:line="240" w:lineRule="auto"/>
                    <w:ind w:firstLine="0" w:firstLineChars="0"/>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a不包括低醇啤酒、无醇啤酒。</w:t>
                  </w:r>
                </w:p>
                <w:p w14:paraId="1FD6C917">
                  <w:pPr>
                    <w:pStyle w:val="42"/>
                    <w:widowControl/>
                    <w:adjustRightInd/>
                    <w:spacing w:line="240" w:lineRule="auto"/>
                    <w:ind w:firstLine="0" w:firstLineChars="0"/>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b“X”为标签上标注的原麦汁浓度</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≥10.0°P允许的负偏差为“一0.3”</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&lt;10.0°P允许的负偏差为“一0.2”。</w:t>
                  </w:r>
                </w:p>
                <w:p w14:paraId="231B32E4">
                  <w:pPr>
                    <w:pStyle w:val="42"/>
                    <w:widowControl/>
                    <w:adjustRightInd/>
                    <w:spacing w:line="240" w:lineRule="auto"/>
                    <w:ind w:firstLine="0" w:firstLineChars="0"/>
                    <w:jc w:val="both"/>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c</w:t>
                  </w:r>
                  <w:r>
                    <w:rPr>
                      <w:color w:val="000000" w:themeColor="text1"/>
                      <w:sz w:val="21"/>
                      <w:szCs w:val="21"/>
                      <w14:textFill>
                        <w14:solidFill>
                          <w14:schemeClr w14:val="tx1"/>
                        </w14:solidFill>
                      </w14:textFill>
                    </w:rPr>
                    <w:t>桶装</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鲜、生、熟</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啤酒二氧化碳不得小于0.25%</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质量分数</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w:t>
                  </w:r>
                </w:p>
                <w:p w14:paraId="59D6FE7C">
                  <w:pPr>
                    <w:pStyle w:val="42"/>
                    <w:widowControl/>
                    <w:adjustRightInd/>
                    <w:spacing w:line="240" w:lineRule="auto"/>
                    <w:ind w:firstLine="0" w:firstLineChars="0"/>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d仅对“生啤酒”和“鲜啤酒”有要求。</w:t>
                  </w:r>
                </w:p>
              </w:tc>
            </w:tr>
          </w:tbl>
          <w:p w14:paraId="5954049B">
            <w:pPr>
              <w:pStyle w:val="42"/>
              <w:widowControl/>
              <w:adjustRightInd/>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表2-9  《果酒通用技术要求》（QB/T 5476-2020）</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1"/>
              <w:gridCol w:w="803"/>
              <w:gridCol w:w="1411"/>
              <w:gridCol w:w="5572"/>
            </w:tblGrid>
            <w:tr w14:paraId="5FDAA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6F02B9DF">
                  <w:pPr>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项目</w:t>
                  </w:r>
                </w:p>
              </w:tc>
              <w:tc>
                <w:tcPr>
                  <w:tcW w:w="2964" w:type="pct"/>
                  <w:vAlign w:val="center"/>
                </w:tcPr>
                <w:p w14:paraId="597BADCE">
                  <w:pPr>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要求</w:t>
                  </w:r>
                </w:p>
              </w:tc>
            </w:tr>
            <w:tr w14:paraId="6EAEF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14:paraId="286BE779">
                  <w:pPr>
                    <w:adjustRightInd w:val="0"/>
                    <w:snapToGrid w:val="0"/>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感官要求</w:t>
                  </w:r>
                </w:p>
              </w:tc>
            </w:tr>
            <w:tr w14:paraId="01CFE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pct"/>
                  <w:vMerge w:val="restart"/>
                  <w:vAlign w:val="center"/>
                </w:tcPr>
                <w:p w14:paraId="238B9F3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外观</w:t>
                  </w:r>
                </w:p>
              </w:tc>
              <w:tc>
                <w:tcPr>
                  <w:tcW w:w="1178" w:type="pct"/>
                  <w:gridSpan w:val="2"/>
                  <w:vAlign w:val="center"/>
                </w:tcPr>
                <w:p w14:paraId="082F9B3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色泽</w:t>
                  </w:r>
                </w:p>
              </w:tc>
              <w:tc>
                <w:tcPr>
                  <w:tcW w:w="2964" w:type="pct"/>
                  <w:vAlign w:val="center"/>
                </w:tcPr>
                <w:p w14:paraId="3FBD9E93">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应有本品特有的色泽</w:t>
                  </w:r>
                </w:p>
              </w:tc>
            </w:tr>
            <w:tr w14:paraId="46F4F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7" w:type="pct"/>
                  <w:vMerge w:val="continue"/>
                  <w:vAlign w:val="center"/>
                </w:tcPr>
                <w:p w14:paraId="78373DA5">
                  <w:pPr>
                    <w:adjustRightInd w:val="0"/>
                    <w:snapToGrid w:val="0"/>
                    <w:jc w:val="center"/>
                    <w:rPr>
                      <w:color w:val="000000" w:themeColor="text1"/>
                      <w:szCs w:val="21"/>
                      <w14:textFill>
                        <w14:solidFill>
                          <w14:schemeClr w14:val="tx1"/>
                        </w14:solidFill>
                      </w14:textFill>
                    </w:rPr>
                  </w:pPr>
                </w:p>
              </w:tc>
              <w:tc>
                <w:tcPr>
                  <w:tcW w:w="1178" w:type="pct"/>
                  <w:gridSpan w:val="2"/>
                  <w:vAlign w:val="center"/>
                </w:tcPr>
                <w:p w14:paraId="6EB7087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澄清程度</w:t>
                  </w:r>
                </w:p>
              </w:tc>
              <w:tc>
                <w:tcPr>
                  <w:tcW w:w="2964" w:type="pct"/>
                  <w:vAlign w:val="center"/>
                </w:tcPr>
                <w:p w14:paraId="15EE775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澄清，有光泽，无明显悬浮物（</w:t>
                  </w:r>
                  <w:r>
                    <w:rPr>
                      <w:rFonts w:hint="eastAsia"/>
                      <w:color w:val="000000" w:themeColor="text1"/>
                      <w:szCs w:val="21"/>
                      <w14:textFill>
                        <w14:solidFill>
                          <w14:schemeClr w14:val="tx1"/>
                        </w14:solidFill>
                      </w14:textFill>
                    </w:rPr>
                    <w:t>可</w:t>
                  </w:r>
                  <w:r>
                    <w:rPr>
                      <w:color w:val="000000" w:themeColor="text1"/>
                      <w:szCs w:val="21"/>
                      <w14:textFill>
                        <w14:solidFill>
                          <w14:schemeClr w14:val="tx1"/>
                        </w14:solidFill>
                      </w14:textFill>
                    </w:rPr>
                    <w:t>许有少量沉淀）</w:t>
                  </w:r>
                </w:p>
              </w:tc>
            </w:tr>
            <w:tr w14:paraId="214F2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pct"/>
                  <w:vMerge w:val="continue"/>
                  <w:vAlign w:val="center"/>
                </w:tcPr>
                <w:p w14:paraId="495EC4E7">
                  <w:pPr>
                    <w:adjustRightInd w:val="0"/>
                    <w:snapToGrid w:val="0"/>
                    <w:jc w:val="center"/>
                    <w:rPr>
                      <w:color w:val="000000" w:themeColor="text1"/>
                      <w:szCs w:val="21"/>
                      <w14:textFill>
                        <w14:solidFill>
                          <w14:schemeClr w14:val="tx1"/>
                        </w14:solidFill>
                      </w14:textFill>
                    </w:rPr>
                  </w:pPr>
                </w:p>
              </w:tc>
              <w:tc>
                <w:tcPr>
                  <w:tcW w:w="1178" w:type="pct"/>
                  <w:gridSpan w:val="2"/>
                  <w:vAlign w:val="center"/>
                </w:tcPr>
                <w:p w14:paraId="19BCBF4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起泡程度</w:t>
                  </w:r>
                </w:p>
              </w:tc>
              <w:tc>
                <w:tcPr>
                  <w:tcW w:w="2964" w:type="pct"/>
                  <w:vAlign w:val="center"/>
                </w:tcPr>
                <w:p w14:paraId="7B2FE9C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起泡</w:t>
                  </w:r>
                  <w:r>
                    <w:rPr>
                      <w:rFonts w:hint="eastAsia"/>
                      <w:color w:val="000000" w:themeColor="text1"/>
                      <w:szCs w:val="21"/>
                      <w14:textFill>
                        <w14:solidFill>
                          <w14:schemeClr w14:val="tx1"/>
                        </w14:solidFill>
                      </w14:textFill>
                    </w:rPr>
                    <w:t>果</w:t>
                  </w:r>
                  <w:r>
                    <w:rPr>
                      <w:color w:val="000000" w:themeColor="text1"/>
                      <w:szCs w:val="21"/>
                      <w14:textFill>
                        <w14:solidFill>
                          <w14:schemeClr w14:val="tx1"/>
                        </w14:solidFill>
                      </w14:textFill>
                    </w:rPr>
                    <w:t>酒注入杯中时，应有细微的串珠状气泡升起，并有一定的持续性</w:t>
                  </w:r>
                </w:p>
              </w:tc>
            </w:tr>
            <w:tr w14:paraId="3E5F5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pct"/>
                  <w:vMerge w:val="restart"/>
                  <w:vAlign w:val="center"/>
                </w:tcPr>
                <w:p w14:paraId="5A16A3A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香气与滋味</w:t>
                  </w:r>
                </w:p>
              </w:tc>
              <w:tc>
                <w:tcPr>
                  <w:tcW w:w="1178" w:type="pct"/>
                  <w:gridSpan w:val="2"/>
                  <w:vAlign w:val="center"/>
                </w:tcPr>
                <w:p w14:paraId="76D68CF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香气</w:t>
                  </w:r>
                </w:p>
              </w:tc>
              <w:tc>
                <w:tcPr>
                  <w:tcW w:w="2964" w:type="pct"/>
                  <w:vAlign w:val="center"/>
                </w:tcPr>
                <w:p w14:paraId="7C80523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具有</w:t>
                  </w:r>
                  <w:r>
                    <w:rPr>
                      <w:rFonts w:hint="eastAsia"/>
                      <w:color w:val="000000" w:themeColor="text1"/>
                      <w:szCs w:val="21"/>
                      <w14:textFill>
                        <w14:solidFill>
                          <w14:schemeClr w14:val="tx1"/>
                        </w14:solidFill>
                      </w14:textFill>
                    </w:rPr>
                    <w:t>原料水果特有的香气，和谐、</w:t>
                  </w:r>
                  <w:r>
                    <w:rPr>
                      <w:color w:val="000000" w:themeColor="text1"/>
                      <w:szCs w:val="21"/>
                      <w14:textFill>
                        <w14:solidFill>
                          <w14:schemeClr w14:val="tx1"/>
                        </w14:solidFill>
                      </w14:textFill>
                    </w:rPr>
                    <w:t>纯正、优雅、</w:t>
                  </w:r>
                  <w:r>
                    <w:rPr>
                      <w:rFonts w:hint="eastAsia"/>
                      <w:color w:val="000000" w:themeColor="text1"/>
                      <w:szCs w:val="21"/>
                      <w14:textFill>
                        <w14:solidFill>
                          <w14:schemeClr w14:val="tx1"/>
                        </w14:solidFill>
                      </w14:textFill>
                    </w:rPr>
                    <w:t>恰悦</w:t>
                  </w:r>
                  <w:r>
                    <w:rPr>
                      <w:color w:val="000000" w:themeColor="text1"/>
                      <w:szCs w:val="21"/>
                      <w14:textFill>
                        <w14:solidFill>
                          <w14:schemeClr w14:val="tx1"/>
                        </w14:solidFill>
                      </w14:textFill>
                    </w:rPr>
                    <w:t>的果香与酒香，</w:t>
                  </w:r>
                  <w:r>
                    <w:rPr>
                      <w:rFonts w:hint="eastAsia"/>
                      <w:color w:val="000000" w:themeColor="text1"/>
                      <w:szCs w:val="21"/>
                      <w14:textFill>
                        <w14:solidFill>
                          <w14:schemeClr w14:val="tx1"/>
                        </w14:solidFill>
                      </w14:textFill>
                    </w:rPr>
                    <w:t>诸香协调，</w:t>
                  </w:r>
                  <w:r>
                    <w:rPr>
                      <w:color w:val="000000" w:themeColor="text1"/>
                      <w:szCs w:val="21"/>
                      <w14:textFill>
                        <w14:solidFill>
                          <w14:schemeClr w14:val="tx1"/>
                        </w14:solidFill>
                      </w14:textFill>
                    </w:rPr>
                    <w:t>陈酿型的</w:t>
                  </w:r>
                  <w:r>
                    <w:rPr>
                      <w:rFonts w:hint="eastAsia"/>
                      <w:color w:val="000000" w:themeColor="text1"/>
                      <w:szCs w:val="21"/>
                      <w14:textFill>
                        <w14:solidFill>
                          <w14:schemeClr w14:val="tx1"/>
                        </w14:solidFill>
                      </w14:textFill>
                    </w:rPr>
                    <w:t>果</w:t>
                  </w:r>
                  <w:r>
                    <w:rPr>
                      <w:color w:val="000000" w:themeColor="text1"/>
                      <w:szCs w:val="21"/>
                      <w14:textFill>
                        <w14:solidFill>
                          <w14:schemeClr w14:val="tx1"/>
                        </w14:solidFill>
                      </w14:textFill>
                    </w:rPr>
                    <w:t>酒还应具有陈酿香或橡木香</w:t>
                  </w:r>
                </w:p>
              </w:tc>
            </w:tr>
            <w:tr w14:paraId="7689C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pct"/>
                  <w:vMerge w:val="continue"/>
                  <w:vAlign w:val="center"/>
                </w:tcPr>
                <w:p w14:paraId="6E83B21E">
                  <w:pPr>
                    <w:adjustRightInd w:val="0"/>
                    <w:snapToGrid w:val="0"/>
                    <w:jc w:val="center"/>
                    <w:rPr>
                      <w:color w:val="000000" w:themeColor="text1"/>
                      <w:szCs w:val="21"/>
                      <w14:textFill>
                        <w14:solidFill>
                          <w14:schemeClr w14:val="tx1"/>
                        </w14:solidFill>
                      </w14:textFill>
                    </w:rPr>
                  </w:pPr>
                </w:p>
              </w:tc>
              <w:tc>
                <w:tcPr>
                  <w:tcW w:w="427" w:type="pct"/>
                  <w:vMerge w:val="restart"/>
                  <w:vAlign w:val="center"/>
                </w:tcPr>
                <w:p w14:paraId="38C22E5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滋味</w:t>
                  </w:r>
                </w:p>
              </w:tc>
              <w:tc>
                <w:tcPr>
                  <w:tcW w:w="750" w:type="pct"/>
                  <w:vAlign w:val="center"/>
                </w:tcPr>
                <w:p w14:paraId="23497CF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平静果酒</w:t>
                  </w:r>
                </w:p>
              </w:tc>
              <w:tc>
                <w:tcPr>
                  <w:tcW w:w="2964" w:type="pct"/>
                  <w:vAlign w:val="center"/>
                </w:tcPr>
                <w:p w14:paraId="29BC9D5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具有纯正、优雅、爽怡的口味和悦人的果香味，酒体完整</w:t>
                  </w:r>
                  <w:r>
                    <w:rPr>
                      <w:rFonts w:hint="eastAsia"/>
                      <w:color w:val="000000" w:themeColor="text1"/>
                      <w:szCs w:val="21"/>
                      <w14:textFill>
                        <w14:solidFill>
                          <w14:schemeClr w14:val="tx1"/>
                        </w14:solidFill>
                      </w14:textFill>
                    </w:rPr>
                    <w:t>，或具有甘甜醇厚的口味，酸甜协调，酒体丰满</w:t>
                  </w:r>
                </w:p>
              </w:tc>
            </w:tr>
            <w:tr w14:paraId="2B6E6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pct"/>
                  <w:vMerge w:val="continue"/>
                  <w:vAlign w:val="center"/>
                </w:tcPr>
                <w:p w14:paraId="577793D8">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48E2E0DA">
                  <w:pPr>
                    <w:adjustRightInd w:val="0"/>
                    <w:snapToGrid w:val="0"/>
                    <w:jc w:val="center"/>
                    <w:rPr>
                      <w:color w:val="000000" w:themeColor="text1"/>
                      <w:szCs w:val="21"/>
                      <w14:textFill>
                        <w14:solidFill>
                          <w14:schemeClr w14:val="tx1"/>
                        </w14:solidFill>
                      </w14:textFill>
                    </w:rPr>
                  </w:pPr>
                </w:p>
              </w:tc>
              <w:tc>
                <w:tcPr>
                  <w:tcW w:w="750" w:type="pct"/>
                  <w:vAlign w:val="center"/>
                </w:tcPr>
                <w:p w14:paraId="4CFF0AD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起泡果酒</w:t>
                  </w:r>
                </w:p>
              </w:tc>
              <w:tc>
                <w:tcPr>
                  <w:tcW w:w="2964" w:type="pct"/>
                  <w:vAlign w:val="center"/>
                </w:tcPr>
                <w:p w14:paraId="622F46F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具有优美醇正、和谐悦人的口味和发酵起泡酒的特有香味，有杀口力</w:t>
                  </w:r>
                </w:p>
              </w:tc>
            </w:tr>
            <w:tr w14:paraId="59F14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7" w:type="pct"/>
                  <w:vMerge w:val="continue"/>
                  <w:vAlign w:val="center"/>
                </w:tcPr>
                <w:p w14:paraId="4247E763">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74427B77">
                  <w:pPr>
                    <w:adjustRightInd w:val="0"/>
                    <w:snapToGrid w:val="0"/>
                    <w:jc w:val="center"/>
                    <w:rPr>
                      <w:color w:val="000000" w:themeColor="text1"/>
                      <w:szCs w:val="21"/>
                      <w14:textFill>
                        <w14:solidFill>
                          <w14:schemeClr w14:val="tx1"/>
                        </w14:solidFill>
                      </w14:textFill>
                    </w:rPr>
                  </w:pPr>
                </w:p>
              </w:tc>
              <w:tc>
                <w:tcPr>
                  <w:tcW w:w="750" w:type="pct"/>
                  <w:vAlign w:val="center"/>
                </w:tcPr>
                <w:p w14:paraId="1BCE9A0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水果汽酒</w:t>
                  </w:r>
                </w:p>
              </w:tc>
              <w:tc>
                <w:tcPr>
                  <w:tcW w:w="2964" w:type="pct"/>
                  <w:vAlign w:val="center"/>
                </w:tcPr>
                <w:p w14:paraId="4054D15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口味清新，愉快、纯正，</w:t>
                  </w:r>
                  <w:r>
                    <w:rPr>
                      <w:color w:val="000000" w:themeColor="text1"/>
                      <w:szCs w:val="21"/>
                      <w14:textFill>
                        <w14:solidFill>
                          <w14:schemeClr w14:val="tx1"/>
                        </w14:solidFill>
                      </w14:textFill>
                    </w:rPr>
                    <w:t>有杀口力</w:t>
                  </w:r>
                </w:p>
              </w:tc>
            </w:tr>
            <w:tr w14:paraId="2A546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1711275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典型性</w:t>
                  </w:r>
                </w:p>
              </w:tc>
              <w:tc>
                <w:tcPr>
                  <w:tcW w:w="2964" w:type="pct"/>
                  <w:vAlign w:val="center"/>
                </w:tcPr>
                <w:p w14:paraId="3D518DA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具有标示的品种及产品类型应有的特征和风格。</w:t>
                  </w:r>
                </w:p>
              </w:tc>
            </w:tr>
            <w:tr w14:paraId="54433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14:paraId="6D24D6D8">
                  <w:pPr>
                    <w:adjustRightInd w:val="0"/>
                    <w:snapToGrid w:val="0"/>
                    <w:jc w:val="center"/>
                    <w:rPr>
                      <w:color w:val="000000" w:themeColor="text1"/>
                      <w:szCs w:val="21"/>
                      <w14:textFill>
                        <w14:solidFill>
                          <w14:schemeClr w14:val="tx1"/>
                        </w14:solidFill>
                      </w14:textFill>
                    </w:rPr>
                  </w:pPr>
                  <w:r>
                    <w:rPr>
                      <w:b/>
                      <w:bCs/>
                      <w:color w:val="000000" w:themeColor="text1"/>
                      <w:szCs w:val="21"/>
                      <w14:textFill>
                        <w14:solidFill>
                          <w14:schemeClr w14:val="tx1"/>
                        </w14:solidFill>
                      </w14:textFill>
                    </w:rPr>
                    <w:t>理化指标</w:t>
                  </w:r>
                </w:p>
              </w:tc>
            </w:tr>
            <w:tr w14:paraId="5A596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47BCF98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酒精度</w:t>
                  </w:r>
                  <w:r>
                    <w:rPr>
                      <w:color w:val="000000" w:themeColor="text1"/>
                      <w:szCs w:val="21"/>
                      <w:vertAlign w:val="superscript"/>
                      <w14:textFill>
                        <w14:solidFill>
                          <w14:schemeClr w14:val="tx1"/>
                        </w14:solidFill>
                      </w14:textFill>
                    </w:rPr>
                    <w:t>a</w:t>
                  </w:r>
                  <w:r>
                    <w:rPr>
                      <w:rFonts w:hint="eastAsia"/>
                      <w:color w:val="000000" w:themeColor="text1"/>
                      <w:szCs w:val="21"/>
                      <w:vertAlign w:val="superscript"/>
                      <w14:textFill>
                        <w14:solidFill>
                          <w14:schemeClr w14:val="tx1"/>
                        </w14:solidFill>
                      </w14:textFill>
                    </w:rPr>
                    <w:t>，b</w:t>
                  </w:r>
                  <w:r>
                    <w:rPr>
                      <w:color w:val="000000" w:themeColor="text1"/>
                      <w:szCs w:val="21"/>
                      <w14:textFill>
                        <w14:solidFill>
                          <w14:schemeClr w14:val="tx1"/>
                        </w14:solidFill>
                      </w14:textFill>
                    </w:rPr>
                    <w:t>(20℃)(体积分数)/(%</w:t>
                  </w:r>
                  <w:r>
                    <w:rPr>
                      <w:rFonts w:hint="eastAsia"/>
                      <w:color w:val="000000" w:themeColor="text1"/>
                      <w:szCs w:val="21"/>
                      <w14:textFill>
                        <w14:solidFill>
                          <w14:schemeClr w14:val="tx1"/>
                        </w14:solidFill>
                      </w14:textFill>
                    </w:rPr>
                    <w:t>vol</w:t>
                  </w:r>
                  <w:r>
                    <w:rPr>
                      <w:color w:val="000000" w:themeColor="text1"/>
                      <w:szCs w:val="21"/>
                      <w14:textFill>
                        <w14:solidFill>
                          <w14:schemeClr w14:val="tx1"/>
                        </w14:solidFill>
                      </w14:textFill>
                    </w:rPr>
                    <w:t>)</w:t>
                  </w:r>
                </w:p>
              </w:tc>
              <w:tc>
                <w:tcPr>
                  <w:tcW w:w="2964" w:type="pct"/>
                  <w:vAlign w:val="center"/>
                </w:tcPr>
                <w:p w14:paraId="43BF2D5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.0</w:t>
                  </w:r>
                </w:p>
              </w:tc>
            </w:tr>
            <w:tr w14:paraId="21B83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6736424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总糖(以葡萄糖计)/(g/L)</w:t>
                  </w:r>
                </w:p>
              </w:tc>
              <w:tc>
                <w:tcPr>
                  <w:tcW w:w="2964" w:type="pct"/>
                  <w:vAlign w:val="center"/>
                </w:tcPr>
                <w:p w14:paraId="1AB2AD2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150</w:t>
                  </w:r>
                </w:p>
              </w:tc>
            </w:tr>
            <w:tr w14:paraId="215177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2D0EC27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干浸出物/(g/L)</w:t>
                  </w:r>
                </w:p>
              </w:tc>
              <w:tc>
                <w:tcPr>
                  <w:tcW w:w="2964" w:type="pct"/>
                  <w:vAlign w:val="center"/>
                </w:tcPr>
                <w:p w14:paraId="1371422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0</w:t>
                  </w:r>
                  <w:r>
                    <w:rPr>
                      <w:color w:val="000000" w:themeColor="text1"/>
                      <w:szCs w:val="21"/>
                      <w14:textFill>
                        <w14:solidFill>
                          <w14:schemeClr w14:val="tx1"/>
                        </w14:solidFill>
                      </w14:textFill>
                    </w:rPr>
                    <w:t>.0</w:t>
                  </w:r>
                </w:p>
              </w:tc>
            </w:tr>
            <w:tr w14:paraId="711E2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131D243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挥发酸(以乙酸计)/(g/l)</w:t>
                  </w:r>
                </w:p>
              </w:tc>
              <w:tc>
                <w:tcPr>
                  <w:tcW w:w="2964" w:type="pct"/>
                  <w:vAlign w:val="center"/>
                </w:tcPr>
                <w:p w14:paraId="1D3BE87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≤1.2</w:t>
                  </w:r>
                </w:p>
              </w:tc>
            </w:tr>
            <w:tr w14:paraId="70355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039AEE7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二氧化碳(20℃)/MPa</w:t>
                  </w:r>
                </w:p>
              </w:tc>
              <w:tc>
                <w:tcPr>
                  <w:tcW w:w="2964" w:type="pct"/>
                  <w:vAlign w:val="center"/>
                </w:tcPr>
                <w:p w14:paraId="050F23D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≥0.05</w:t>
                  </w:r>
                </w:p>
              </w:tc>
            </w:tr>
            <w:tr w14:paraId="6D248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14:paraId="28106209">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a</w:t>
                  </w:r>
                  <w:r>
                    <w:rPr>
                      <w:rFonts w:hint="eastAsia"/>
                      <w:color w:val="000000" w:themeColor="text1"/>
                      <w:szCs w:val="21"/>
                      <w14:textFill>
                        <w14:solidFill>
                          <w14:schemeClr w14:val="tx1"/>
                        </w14:solidFill>
                      </w14:textFill>
                    </w:rPr>
                    <w:t>仅适用含气果酒</w:t>
                  </w:r>
                  <w:r>
                    <w:rPr>
                      <w:color w:val="000000" w:themeColor="text1"/>
                      <w:szCs w:val="21"/>
                      <w14:textFill>
                        <w14:solidFill>
                          <w14:schemeClr w14:val="tx1"/>
                        </w14:solidFill>
                      </w14:textFill>
                    </w:rPr>
                    <w:t>；</w:t>
                  </w:r>
                </w:p>
                <w:p w14:paraId="75D9B191">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b</w:t>
                  </w:r>
                  <w:r>
                    <w:rPr>
                      <w:rFonts w:hint="eastAsia"/>
                      <w:color w:val="000000" w:themeColor="text1"/>
                      <w:szCs w:val="21"/>
                      <w14:textFill>
                        <w14:solidFill>
                          <w14:schemeClr w14:val="tx1"/>
                        </w14:solidFill>
                      </w14:textFill>
                    </w:rPr>
                    <w:t>酒精度标签标示值与实测值不应超过±1.0%vol</w:t>
                  </w:r>
                  <w:r>
                    <w:rPr>
                      <w:color w:val="000000" w:themeColor="text1"/>
                      <w:szCs w:val="21"/>
                      <w14:textFill>
                        <w14:solidFill>
                          <w14:schemeClr w14:val="tx1"/>
                        </w14:solidFill>
                      </w14:textFill>
                    </w:rPr>
                    <w:t>。</w:t>
                  </w:r>
                </w:p>
              </w:tc>
            </w:tr>
          </w:tbl>
          <w:p w14:paraId="1B731AE3">
            <w:pPr>
              <w:pStyle w:val="42"/>
              <w:widowControl/>
              <w:adjustRightInd/>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表2-10  《葡萄酒》</w:t>
            </w:r>
            <w:r>
              <w:rPr>
                <w:b/>
                <w:color w:val="000000" w:themeColor="text1"/>
                <w14:textFill>
                  <w14:solidFill>
                    <w14:schemeClr w14:val="tx1"/>
                  </w14:solidFill>
                </w14:textFill>
              </w:rPr>
              <w:t>国家标准</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4"/>
              <w:gridCol w:w="803"/>
              <w:gridCol w:w="1408"/>
              <w:gridCol w:w="5572"/>
            </w:tblGrid>
            <w:tr w14:paraId="3DA88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247DE93A">
                  <w:pPr>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项目</w:t>
                  </w:r>
                </w:p>
              </w:tc>
              <w:tc>
                <w:tcPr>
                  <w:tcW w:w="2964" w:type="pct"/>
                  <w:vAlign w:val="center"/>
                </w:tcPr>
                <w:p w14:paraId="6BBD2108">
                  <w:pPr>
                    <w:adjustRightInd w:val="0"/>
                    <w:snapToGrid w:val="0"/>
                    <w:jc w:val="center"/>
                    <w:rPr>
                      <w:b/>
                      <w:color w:val="000000" w:themeColor="text1"/>
                      <w:szCs w:val="21"/>
                      <w14:textFill>
                        <w14:solidFill>
                          <w14:schemeClr w14:val="tx1"/>
                        </w14:solidFill>
                      </w14:textFill>
                    </w:rPr>
                  </w:pPr>
                  <w:r>
                    <w:rPr>
                      <w:b/>
                      <w:color w:val="000000" w:themeColor="text1"/>
                      <w:szCs w:val="21"/>
                      <w14:textFill>
                        <w14:solidFill>
                          <w14:schemeClr w14:val="tx1"/>
                        </w14:solidFill>
                      </w14:textFill>
                    </w:rPr>
                    <w:t>要求</w:t>
                  </w:r>
                </w:p>
              </w:tc>
            </w:tr>
            <w:tr w14:paraId="7E07B7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14:paraId="619C88C8">
                  <w:pPr>
                    <w:adjustRightInd w:val="0"/>
                    <w:snapToGrid w:val="0"/>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感官要求</w:t>
                  </w:r>
                </w:p>
              </w:tc>
            </w:tr>
            <w:tr w14:paraId="37601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restart"/>
                  <w:vAlign w:val="center"/>
                </w:tcPr>
                <w:p w14:paraId="2A9EE44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外观</w:t>
                  </w:r>
                </w:p>
              </w:tc>
              <w:tc>
                <w:tcPr>
                  <w:tcW w:w="427" w:type="pct"/>
                  <w:vMerge w:val="restart"/>
                  <w:vAlign w:val="center"/>
                </w:tcPr>
                <w:p w14:paraId="73FAA8E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色泽</w:t>
                  </w:r>
                </w:p>
              </w:tc>
              <w:tc>
                <w:tcPr>
                  <w:tcW w:w="748" w:type="pct"/>
                  <w:vAlign w:val="center"/>
                </w:tcPr>
                <w:p w14:paraId="4CA6125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白葡萄酒</w:t>
                  </w:r>
                </w:p>
              </w:tc>
              <w:tc>
                <w:tcPr>
                  <w:tcW w:w="2964" w:type="pct"/>
                  <w:vAlign w:val="center"/>
                </w:tcPr>
                <w:p w14:paraId="0F8959F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近似无色、微黄带绿、浅黄、禾杆黄、金黄色</w:t>
                  </w:r>
                </w:p>
              </w:tc>
            </w:tr>
            <w:tr w14:paraId="41ABE2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14D6AD61">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384A9087">
                  <w:pPr>
                    <w:adjustRightInd w:val="0"/>
                    <w:snapToGrid w:val="0"/>
                    <w:jc w:val="center"/>
                    <w:rPr>
                      <w:color w:val="000000" w:themeColor="text1"/>
                      <w:szCs w:val="21"/>
                      <w14:textFill>
                        <w14:solidFill>
                          <w14:schemeClr w14:val="tx1"/>
                        </w14:solidFill>
                      </w14:textFill>
                    </w:rPr>
                  </w:pPr>
                </w:p>
              </w:tc>
              <w:tc>
                <w:tcPr>
                  <w:tcW w:w="748" w:type="pct"/>
                  <w:vAlign w:val="center"/>
                </w:tcPr>
                <w:p w14:paraId="58FE51B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红葡萄酒</w:t>
                  </w:r>
                </w:p>
              </w:tc>
              <w:tc>
                <w:tcPr>
                  <w:tcW w:w="2964" w:type="pct"/>
                  <w:vAlign w:val="center"/>
                </w:tcPr>
                <w:p w14:paraId="1424891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紫红、深红、宝石红、红微带棕色、棕红色</w:t>
                  </w:r>
                </w:p>
              </w:tc>
            </w:tr>
            <w:tr w14:paraId="19C5F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60383BB2">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4F2C62BB">
                  <w:pPr>
                    <w:adjustRightInd w:val="0"/>
                    <w:snapToGrid w:val="0"/>
                    <w:jc w:val="center"/>
                    <w:rPr>
                      <w:color w:val="000000" w:themeColor="text1"/>
                      <w:szCs w:val="21"/>
                      <w14:textFill>
                        <w14:solidFill>
                          <w14:schemeClr w14:val="tx1"/>
                        </w14:solidFill>
                      </w14:textFill>
                    </w:rPr>
                  </w:pPr>
                </w:p>
              </w:tc>
              <w:tc>
                <w:tcPr>
                  <w:tcW w:w="748" w:type="pct"/>
                  <w:vAlign w:val="center"/>
                </w:tcPr>
                <w:p w14:paraId="016503D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桃红葡萄酒</w:t>
                  </w:r>
                </w:p>
              </w:tc>
              <w:tc>
                <w:tcPr>
                  <w:tcW w:w="2964" w:type="pct"/>
                  <w:vAlign w:val="center"/>
                </w:tcPr>
                <w:p w14:paraId="14AEF51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桃红、淡玫红色、浅红色</w:t>
                  </w:r>
                </w:p>
              </w:tc>
            </w:tr>
            <w:tr w14:paraId="3EB36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59" w:type="pct"/>
                  <w:vMerge w:val="continue"/>
                  <w:vAlign w:val="center"/>
                </w:tcPr>
                <w:p w14:paraId="2758E258">
                  <w:pPr>
                    <w:adjustRightInd w:val="0"/>
                    <w:snapToGrid w:val="0"/>
                    <w:jc w:val="center"/>
                    <w:rPr>
                      <w:color w:val="000000" w:themeColor="text1"/>
                      <w:szCs w:val="21"/>
                      <w14:textFill>
                        <w14:solidFill>
                          <w14:schemeClr w14:val="tx1"/>
                        </w14:solidFill>
                      </w14:textFill>
                    </w:rPr>
                  </w:pPr>
                </w:p>
              </w:tc>
              <w:tc>
                <w:tcPr>
                  <w:tcW w:w="1175" w:type="pct"/>
                  <w:gridSpan w:val="2"/>
                  <w:vAlign w:val="center"/>
                </w:tcPr>
                <w:p w14:paraId="50DA76F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澄清程度</w:t>
                  </w:r>
                </w:p>
              </w:tc>
              <w:tc>
                <w:tcPr>
                  <w:tcW w:w="2964" w:type="pct"/>
                  <w:vAlign w:val="center"/>
                </w:tcPr>
                <w:p w14:paraId="7DAE9FB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澄清，有光泽，无明显悬浮物（使用软木塞封口的酒允许有少量软木渣，装瓶超过1年的葡萄酒允许有少量沉淀）</w:t>
                  </w:r>
                </w:p>
              </w:tc>
            </w:tr>
            <w:tr w14:paraId="1EFEA5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4BC2D8A2">
                  <w:pPr>
                    <w:adjustRightInd w:val="0"/>
                    <w:snapToGrid w:val="0"/>
                    <w:jc w:val="center"/>
                    <w:rPr>
                      <w:color w:val="000000" w:themeColor="text1"/>
                      <w:szCs w:val="21"/>
                      <w14:textFill>
                        <w14:solidFill>
                          <w14:schemeClr w14:val="tx1"/>
                        </w14:solidFill>
                      </w14:textFill>
                    </w:rPr>
                  </w:pPr>
                </w:p>
              </w:tc>
              <w:tc>
                <w:tcPr>
                  <w:tcW w:w="1175" w:type="pct"/>
                  <w:gridSpan w:val="2"/>
                  <w:vAlign w:val="center"/>
                </w:tcPr>
                <w:p w14:paraId="02B1453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起泡程度</w:t>
                  </w:r>
                </w:p>
              </w:tc>
              <w:tc>
                <w:tcPr>
                  <w:tcW w:w="2964" w:type="pct"/>
                  <w:vAlign w:val="center"/>
                </w:tcPr>
                <w:p w14:paraId="2E25BBE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起泡葡萄酒注入杯中时，应有细微的串珠状气泡升起，并有一定的持续性</w:t>
                  </w:r>
                </w:p>
              </w:tc>
            </w:tr>
            <w:tr w14:paraId="53BBD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restart"/>
                  <w:vAlign w:val="center"/>
                </w:tcPr>
                <w:p w14:paraId="5F74E8E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香气与滋味</w:t>
                  </w:r>
                </w:p>
              </w:tc>
              <w:tc>
                <w:tcPr>
                  <w:tcW w:w="1175" w:type="pct"/>
                  <w:gridSpan w:val="2"/>
                  <w:vAlign w:val="center"/>
                </w:tcPr>
                <w:p w14:paraId="4CB6A85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香气</w:t>
                  </w:r>
                </w:p>
              </w:tc>
              <w:tc>
                <w:tcPr>
                  <w:tcW w:w="2964" w:type="pct"/>
                  <w:vAlign w:val="center"/>
                </w:tcPr>
                <w:p w14:paraId="55443E6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具有纯正、优雅、爽怡、和谐的果香与酒香，陈酿型的葡萄酒还应具有陈酿香或橡木香</w:t>
                  </w:r>
                </w:p>
              </w:tc>
            </w:tr>
            <w:tr w14:paraId="3FAB8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3C835264">
                  <w:pPr>
                    <w:adjustRightInd w:val="0"/>
                    <w:snapToGrid w:val="0"/>
                    <w:jc w:val="center"/>
                    <w:rPr>
                      <w:color w:val="000000" w:themeColor="text1"/>
                      <w:szCs w:val="21"/>
                      <w14:textFill>
                        <w14:solidFill>
                          <w14:schemeClr w14:val="tx1"/>
                        </w14:solidFill>
                      </w14:textFill>
                    </w:rPr>
                  </w:pPr>
                </w:p>
              </w:tc>
              <w:tc>
                <w:tcPr>
                  <w:tcW w:w="427" w:type="pct"/>
                  <w:vMerge w:val="restart"/>
                  <w:vAlign w:val="center"/>
                </w:tcPr>
                <w:p w14:paraId="697859F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滋味</w:t>
                  </w:r>
                </w:p>
              </w:tc>
              <w:tc>
                <w:tcPr>
                  <w:tcW w:w="748" w:type="pct"/>
                  <w:vAlign w:val="center"/>
                </w:tcPr>
                <w:p w14:paraId="7802EE0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干、半干葡萄酒</w:t>
                  </w:r>
                </w:p>
              </w:tc>
              <w:tc>
                <w:tcPr>
                  <w:tcW w:w="2964" w:type="pct"/>
                  <w:vAlign w:val="center"/>
                </w:tcPr>
                <w:p w14:paraId="0A5C6B0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具有纯正、优雅、爽怡的口味和悦人的果香味，酒体完整</w:t>
                  </w:r>
                </w:p>
              </w:tc>
            </w:tr>
            <w:tr w14:paraId="34810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5DE44D60">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102E9495">
                  <w:pPr>
                    <w:adjustRightInd w:val="0"/>
                    <w:snapToGrid w:val="0"/>
                    <w:jc w:val="center"/>
                    <w:rPr>
                      <w:color w:val="000000" w:themeColor="text1"/>
                      <w:szCs w:val="21"/>
                      <w14:textFill>
                        <w14:solidFill>
                          <w14:schemeClr w14:val="tx1"/>
                        </w14:solidFill>
                      </w14:textFill>
                    </w:rPr>
                  </w:pPr>
                </w:p>
              </w:tc>
              <w:tc>
                <w:tcPr>
                  <w:tcW w:w="748" w:type="pct"/>
                  <w:vAlign w:val="center"/>
                </w:tcPr>
                <w:p w14:paraId="2CAEF28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半甜、甜葡萄酒</w:t>
                  </w:r>
                </w:p>
              </w:tc>
              <w:tc>
                <w:tcPr>
                  <w:tcW w:w="2964" w:type="pct"/>
                  <w:vAlign w:val="center"/>
                </w:tcPr>
                <w:p w14:paraId="704B2DC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具有甘甜醇厚的口味和陈酿的酒香味，酸甜协调，酒体丰满</w:t>
                  </w:r>
                </w:p>
              </w:tc>
            </w:tr>
            <w:tr w14:paraId="17072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0FCA3FB2">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412D592A">
                  <w:pPr>
                    <w:adjustRightInd w:val="0"/>
                    <w:snapToGrid w:val="0"/>
                    <w:jc w:val="center"/>
                    <w:rPr>
                      <w:color w:val="000000" w:themeColor="text1"/>
                      <w:szCs w:val="21"/>
                      <w14:textFill>
                        <w14:solidFill>
                          <w14:schemeClr w14:val="tx1"/>
                        </w14:solidFill>
                      </w14:textFill>
                    </w:rPr>
                  </w:pPr>
                </w:p>
              </w:tc>
              <w:tc>
                <w:tcPr>
                  <w:tcW w:w="748" w:type="pct"/>
                  <w:vAlign w:val="center"/>
                </w:tcPr>
                <w:p w14:paraId="0E2D43B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起泡葡萄酒</w:t>
                  </w:r>
                </w:p>
              </w:tc>
              <w:tc>
                <w:tcPr>
                  <w:tcW w:w="2964" w:type="pct"/>
                  <w:vAlign w:val="center"/>
                </w:tcPr>
                <w:p w14:paraId="48D88DA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具有优美醇正、和谐悦人的口味和发酵起泡酒的特有香味，有杀口力</w:t>
                  </w:r>
                </w:p>
              </w:tc>
            </w:tr>
            <w:tr w14:paraId="34400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6E03419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典型性</w:t>
                  </w:r>
                </w:p>
              </w:tc>
              <w:tc>
                <w:tcPr>
                  <w:tcW w:w="2964" w:type="pct"/>
                  <w:vAlign w:val="center"/>
                </w:tcPr>
                <w:p w14:paraId="01FC66C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具有标示的葡萄品种及产品类型应有的特征和风格。</w:t>
                  </w:r>
                </w:p>
              </w:tc>
            </w:tr>
            <w:tr w14:paraId="037090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14:paraId="1A2F7EC8">
                  <w:pPr>
                    <w:adjustRightInd w:val="0"/>
                    <w:snapToGrid w:val="0"/>
                    <w:jc w:val="center"/>
                    <w:rPr>
                      <w:color w:val="000000" w:themeColor="text1"/>
                      <w:szCs w:val="21"/>
                      <w14:textFill>
                        <w14:solidFill>
                          <w14:schemeClr w14:val="tx1"/>
                        </w14:solidFill>
                      </w14:textFill>
                    </w:rPr>
                  </w:pPr>
                  <w:r>
                    <w:rPr>
                      <w:b/>
                      <w:bCs/>
                      <w:color w:val="000000" w:themeColor="text1"/>
                      <w:szCs w:val="21"/>
                      <w14:textFill>
                        <w14:solidFill>
                          <w14:schemeClr w14:val="tx1"/>
                        </w14:solidFill>
                      </w14:textFill>
                    </w:rPr>
                    <w:t>理化指标</w:t>
                  </w:r>
                </w:p>
              </w:tc>
            </w:tr>
            <w:tr w14:paraId="19196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6009A2F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酒精度</w:t>
                  </w:r>
                  <w:r>
                    <w:rPr>
                      <w:color w:val="000000" w:themeColor="text1"/>
                      <w:szCs w:val="21"/>
                      <w:vertAlign w:val="superscript"/>
                      <w14:textFill>
                        <w14:solidFill>
                          <w14:schemeClr w14:val="tx1"/>
                        </w14:solidFill>
                      </w14:textFill>
                    </w:rPr>
                    <w:t>a</w:t>
                  </w:r>
                  <w:r>
                    <w:rPr>
                      <w:color w:val="000000" w:themeColor="text1"/>
                      <w:szCs w:val="21"/>
                      <w14:textFill>
                        <w14:solidFill>
                          <w14:schemeClr w14:val="tx1"/>
                        </w14:solidFill>
                      </w14:textFill>
                    </w:rPr>
                    <w:t>(20℃)(体积分数)/(%)</w:t>
                  </w:r>
                </w:p>
              </w:tc>
              <w:tc>
                <w:tcPr>
                  <w:tcW w:w="2964" w:type="pct"/>
                  <w:vAlign w:val="center"/>
                </w:tcPr>
                <w:p w14:paraId="55A0C86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≥7.0</w:t>
                  </w:r>
                </w:p>
              </w:tc>
            </w:tr>
            <w:tr w14:paraId="02FF5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restart"/>
                  <w:vAlign w:val="center"/>
                </w:tcPr>
                <w:p w14:paraId="0C5CC6B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总糖</w:t>
                  </w:r>
                  <w:r>
                    <w:rPr>
                      <w:color w:val="000000" w:themeColor="text1"/>
                      <w:szCs w:val="21"/>
                      <w:vertAlign w:val="superscript"/>
                      <w14:textFill>
                        <w14:solidFill>
                          <w14:schemeClr w14:val="tx1"/>
                        </w14:solidFill>
                      </w14:textFill>
                    </w:rPr>
                    <w:t>d</w:t>
                  </w:r>
                  <w:r>
                    <w:rPr>
                      <w:color w:val="000000" w:themeColor="text1"/>
                      <w:szCs w:val="21"/>
                      <w14:textFill>
                        <w14:solidFill>
                          <w14:schemeClr w14:val="tx1"/>
                        </w14:solidFill>
                      </w14:textFill>
                    </w:rPr>
                    <w:t>(以葡</w:t>
                  </w:r>
                </w:p>
                <w:p w14:paraId="2437E8B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萄糖计)/(g/L)</w:t>
                  </w:r>
                </w:p>
              </w:tc>
              <w:tc>
                <w:tcPr>
                  <w:tcW w:w="427" w:type="pct"/>
                  <w:vMerge w:val="restart"/>
                  <w:vAlign w:val="center"/>
                </w:tcPr>
                <w:p w14:paraId="6DA07A0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平静葡萄酒</w:t>
                  </w:r>
                </w:p>
                <w:p w14:paraId="7AEA7F8F">
                  <w:pPr>
                    <w:adjustRightInd w:val="0"/>
                    <w:snapToGrid w:val="0"/>
                    <w:jc w:val="center"/>
                    <w:rPr>
                      <w:color w:val="000000" w:themeColor="text1"/>
                      <w:szCs w:val="21"/>
                      <w14:textFill>
                        <w14:solidFill>
                          <w14:schemeClr w14:val="tx1"/>
                        </w14:solidFill>
                      </w14:textFill>
                    </w:rPr>
                  </w:pPr>
                </w:p>
              </w:tc>
              <w:tc>
                <w:tcPr>
                  <w:tcW w:w="748" w:type="pct"/>
                  <w:vAlign w:val="center"/>
                </w:tcPr>
                <w:p w14:paraId="6C103E7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干葡萄酒b</w:t>
                  </w:r>
                </w:p>
              </w:tc>
              <w:tc>
                <w:tcPr>
                  <w:tcW w:w="2964" w:type="pct"/>
                  <w:vAlign w:val="center"/>
                </w:tcPr>
                <w:p w14:paraId="5EB6B88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w:t>
                  </w:r>
                </w:p>
              </w:tc>
            </w:tr>
            <w:tr w14:paraId="511282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1460CD7F">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259917DA">
                  <w:pPr>
                    <w:adjustRightInd w:val="0"/>
                    <w:snapToGrid w:val="0"/>
                    <w:jc w:val="center"/>
                    <w:rPr>
                      <w:color w:val="000000" w:themeColor="text1"/>
                      <w:szCs w:val="21"/>
                      <w14:textFill>
                        <w14:solidFill>
                          <w14:schemeClr w14:val="tx1"/>
                        </w14:solidFill>
                      </w14:textFill>
                    </w:rPr>
                  </w:pPr>
                </w:p>
              </w:tc>
              <w:tc>
                <w:tcPr>
                  <w:tcW w:w="748" w:type="pct"/>
                  <w:vAlign w:val="center"/>
                </w:tcPr>
                <w:p w14:paraId="597AE65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半干葡萄酒c</w:t>
                  </w:r>
                </w:p>
              </w:tc>
              <w:tc>
                <w:tcPr>
                  <w:tcW w:w="2964" w:type="pct"/>
                  <w:vAlign w:val="center"/>
                </w:tcPr>
                <w:p w14:paraId="0B46524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4.1~12.0</w:t>
                  </w:r>
                </w:p>
              </w:tc>
            </w:tr>
            <w:tr w14:paraId="75566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4D6A26CC">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11A98F21">
                  <w:pPr>
                    <w:adjustRightInd w:val="0"/>
                    <w:snapToGrid w:val="0"/>
                    <w:jc w:val="center"/>
                    <w:rPr>
                      <w:color w:val="000000" w:themeColor="text1"/>
                      <w:szCs w:val="21"/>
                      <w14:textFill>
                        <w14:solidFill>
                          <w14:schemeClr w14:val="tx1"/>
                        </w14:solidFill>
                      </w14:textFill>
                    </w:rPr>
                  </w:pPr>
                </w:p>
              </w:tc>
              <w:tc>
                <w:tcPr>
                  <w:tcW w:w="748" w:type="pct"/>
                  <w:vAlign w:val="center"/>
                </w:tcPr>
                <w:p w14:paraId="1361B10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半甜葡萄酒</w:t>
                  </w:r>
                </w:p>
              </w:tc>
              <w:tc>
                <w:tcPr>
                  <w:tcW w:w="2964" w:type="pct"/>
                  <w:vAlign w:val="center"/>
                </w:tcPr>
                <w:p w14:paraId="54DFF7D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12.1~45.0</w:t>
                  </w:r>
                </w:p>
              </w:tc>
            </w:tr>
            <w:tr w14:paraId="78DD1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4840B05D">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30F2A0F1">
                  <w:pPr>
                    <w:adjustRightInd w:val="0"/>
                    <w:snapToGrid w:val="0"/>
                    <w:jc w:val="center"/>
                    <w:rPr>
                      <w:color w:val="000000" w:themeColor="text1"/>
                      <w:szCs w:val="21"/>
                      <w14:textFill>
                        <w14:solidFill>
                          <w14:schemeClr w14:val="tx1"/>
                        </w14:solidFill>
                      </w14:textFill>
                    </w:rPr>
                  </w:pPr>
                </w:p>
              </w:tc>
              <w:tc>
                <w:tcPr>
                  <w:tcW w:w="748" w:type="pct"/>
                  <w:vAlign w:val="center"/>
                </w:tcPr>
                <w:p w14:paraId="166319D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甜葡萄酒</w:t>
                  </w:r>
                </w:p>
              </w:tc>
              <w:tc>
                <w:tcPr>
                  <w:tcW w:w="2964" w:type="pct"/>
                  <w:vAlign w:val="center"/>
                </w:tcPr>
                <w:p w14:paraId="251DB93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≥45.1</w:t>
                  </w:r>
                </w:p>
              </w:tc>
            </w:tr>
            <w:tr w14:paraId="6DCAF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48388808">
                  <w:pPr>
                    <w:adjustRightInd w:val="0"/>
                    <w:snapToGrid w:val="0"/>
                    <w:jc w:val="center"/>
                    <w:rPr>
                      <w:color w:val="000000" w:themeColor="text1"/>
                      <w:szCs w:val="21"/>
                      <w14:textFill>
                        <w14:solidFill>
                          <w14:schemeClr w14:val="tx1"/>
                        </w14:solidFill>
                      </w14:textFill>
                    </w:rPr>
                  </w:pPr>
                </w:p>
              </w:tc>
              <w:tc>
                <w:tcPr>
                  <w:tcW w:w="427" w:type="pct"/>
                  <w:vMerge w:val="restart"/>
                  <w:vAlign w:val="center"/>
                </w:tcPr>
                <w:p w14:paraId="61C8153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高泡葡萄酒</w:t>
                  </w:r>
                </w:p>
              </w:tc>
              <w:tc>
                <w:tcPr>
                  <w:tcW w:w="748" w:type="pct"/>
                  <w:vAlign w:val="center"/>
                </w:tcPr>
                <w:p w14:paraId="4039AEC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天然型高泡葡萄酒</w:t>
                  </w:r>
                </w:p>
              </w:tc>
              <w:tc>
                <w:tcPr>
                  <w:tcW w:w="2964" w:type="pct"/>
                  <w:vAlign w:val="center"/>
                </w:tcPr>
                <w:p w14:paraId="3C95AE3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≤12.0(允许差为3.0)</w:t>
                  </w:r>
                </w:p>
              </w:tc>
            </w:tr>
            <w:tr w14:paraId="199FE0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1C989EE9">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6CC45A21">
                  <w:pPr>
                    <w:adjustRightInd w:val="0"/>
                    <w:snapToGrid w:val="0"/>
                    <w:jc w:val="center"/>
                    <w:rPr>
                      <w:color w:val="000000" w:themeColor="text1"/>
                      <w:szCs w:val="21"/>
                      <w14:textFill>
                        <w14:solidFill>
                          <w14:schemeClr w14:val="tx1"/>
                        </w14:solidFill>
                      </w14:textFill>
                    </w:rPr>
                  </w:pPr>
                </w:p>
              </w:tc>
              <w:tc>
                <w:tcPr>
                  <w:tcW w:w="748" w:type="pct"/>
                  <w:vAlign w:val="center"/>
                </w:tcPr>
                <w:p w14:paraId="1A6EA0F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绝干型高泡葡萄酒</w:t>
                  </w:r>
                </w:p>
              </w:tc>
              <w:tc>
                <w:tcPr>
                  <w:tcW w:w="2964" w:type="pct"/>
                  <w:vAlign w:val="center"/>
                </w:tcPr>
                <w:p w14:paraId="068E4A7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12.1~17.0(允许差为3.0)</w:t>
                  </w:r>
                </w:p>
              </w:tc>
            </w:tr>
            <w:tr w14:paraId="2A4FC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656518DE">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355F8F2A">
                  <w:pPr>
                    <w:adjustRightInd w:val="0"/>
                    <w:snapToGrid w:val="0"/>
                    <w:jc w:val="center"/>
                    <w:rPr>
                      <w:color w:val="000000" w:themeColor="text1"/>
                      <w:szCs w:val="21"/>
                      <w14:textFill>
                        <w14:solidFill>
                          <w14:schemeClr w14:val="tx1"/>
                        </w14:solidFill>
                      </w14:textFill>
                    </w:rPr>
                  </w:pPr>
                </w:p>
              </w:tc>
              <w:tc>
                <w:tcPr>
                  <w:tcW w:w="748" w:type="pct"/>
                  <w:vAlign w:val="center"/>
                </w:tcPr>
                <w:p w14:paraId="45C5132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干型高泡葡萄酒</w:t>
                  </w:r>
                </w:p>
              </w:tc>
              <w:tc>
                <w:tcPr>
                  <w:tcW w:w="2964" w:type="pct"/>
                  <w:vAlign w:val="center"/>
                </w:tcPr>
                <w:p w14:paraId="2178F58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17.1~32.0(允许差为3.0)</w:t>
                  </w:r>
                </w:p>
              </w:tc>
            </w:tr>
            <w:tr w14:paraId="4A4E1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6DA02023">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55605679">
                  <w:pPr>
                    <w:adjustRightInd w:val="0"/>
                    <w:snapToGrid w:val="0"/>
                    <w:jc w:val="center"/>
                    <w:rPr>
                      <w:color w:val="000000" w:themeColor="text1"/>
                      <w:szCs w:val="21"/>
                      <w14:textFill>
                        <w14:solidFill>
                          <w14:schemeClr w14:val="tx1"/>
                        </w14:solidFill>
                      </w14:textFill>
                    </w:rPr>
                  </w:pPr>
                </w:p>
              </w:tc>
              <w:tc>
                <w:tcPr>
                  <w:tcW w:w="748" w:type="pct"/>
                  <w:vAlign w:val="center"/>
                </w:tcPr>
                <w:p w14:paraId="497EA1F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半干型高泡葡萄酒</w:t>
                  </w:r>
                </w:p>
              </w:tc>
              <w:tc>
                <w:tcPr>
                  <w:tcW w:w="2964" w:type="pct"/>
                  <w:vAlign w:val="center"/>
                </w:tcPr>
                <w:p w14:paraId="27CFB2F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32.1~50.0</w:t>
                  </w:r>
                </w:p>
              </w:tc>
            </w:tr>
            <w:tr w14:paraId="63A60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06FBBD4B">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586BB7C3">
                  <w:pPr>
                    <w:adjustRightInd w:val="0"/>
                    <w:snapToGrid w:val="0"/>
                    <w:jc w:val="center"/>
                    <w:rPr>
                      <w:color w:val="000000" w:themeColor="text1"/>
                      <w:szCs w:val="21"/>
                      <w14:textFill>
                        <w14:solidFill>
                          <w14:schemeClr w14:val="tx1"/>
                        </w14:solidFill>
                      </w14:textFill>
                    </w:rPr>
                  </w:pPr>
                </w:p>
              </w:tc>
              <w:tc>
                <w:tcPr>
                  <w:tcW w:w="748" w:type="pct"/>
                  <w:vAlign w:val="center"/>
                </w:tcPr>
                <w:p w14:paraId="77B3449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甜型高泡葡萄酒</w:t>
                  </w:r>
                </w:p>
              </w:tc>
              <w:tc>
                <w:tcPr>
                  <w:tcW w:w="2964" w:type="pct"/>
                  <w:vAlign w:val="center"/>
                </w:tcPr>
                <w:p w14:paraId="39693CC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≥50.1</w:t>
                  </w:r>
                </w:p>
              </w:tc>
            </w:tr>
            <w:tr w14:paraId="4E791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restart"/>
                  <w:vAlign w:val="center"/>
                </w:tcPr>
                <w:p w14:paraId="4076242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干浸出物/(g/L)</w:t>
                  </w:r>
                </w:p>
              </w:tc>
              <w:tc>
                <w:tcPr>
                  <w:tcW w:w="1175" w:type="pct"/>
                  <w:gridSpan w:val="2"/>
                  <w:vAlign w:val="center"/>
                </w:tcPr>
                <w:p w14:paraId="5FC03F1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白葡萄酒</w:t>
                  </w:r>
                </w:p>
              </w:tc>
              <w:tc>
                <w:tcPr>
                  <w:tcW w:w="2964" w:type="pct"/>
                  <w:vAlign w:val="center"/>
                </w:tcPr>
                <w:p w14:paraId="09CEA15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≥16.0</w:t>
                  </w:r>
                </w:p>
              </w:tc>
            </w:tr>
            <w:tr w14:paraId="462A1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64ABF487">
                  <w:pPr>
                    <w:adjustRightInd w:val="0"/>
                    <w:snapToGrid w:val="0"/>
                    <w:jc w:val="center"/>
                    <w:rPr>
                      <w:color w:val="000000" w:themeColor="text1"/>
                      <w:szCs w:val="21"/>
                      <w14:textFill>
                        <w14:solidFill>
                          <w14:schemeClr w14:val="tx1"/>
                        </w14:solidFill>
                      </w14:textFill>
                    </w:rPr>
                  </w:pPr>
                </w:p>
              </w:tc>
              <w:tc>
                <w:tcPr>
                  <w:tcW w:w="1175" w:type="pct"/>
                  <w:gridSpan w:val="2"/>
                  <w:vAlign w:val="center"/>
                </w:tcPr>
                <w:p w14:paraId="6B7F44B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桃红葡萄酒</w:t>
                  </w:r>
                </w:p>
              </w:tc>
              <w:tc>
                <w:tcPr>
                  <w:tcW w:w="2964" w:type="pct"/>
                  <w:vAlign w:val="center"/>
                </w:tcPr>
                <w:p w14:paraId="5D9C60D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≥17.0</w:t>
                  </w:r>
                </w:p>
              </w:tc>
            </w:tr>
            <w:tr w14:paraId="50789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5DD1A7F8">
                  <w:pPr>
                    <w:adjustRightInd w:val="0"/>
                    <w:snapToGrid w:val="0"/>
                    <w:jc w:val="center"/>
                    <w:rPr>
                      <w:color w:val="000000" w:themeColor="text1"/>
                      <w:szCs w:val="21"/>
                      <w14:textFill>
                        <w14:solidFill>
                          <w14:schemeClr w14:val="tx1"/>
                        </w14:solidFill>
                      </w14:textFill>
                    </w:rPr>
                  </w:pPr>
                </w:p>
              </w:tc>
              <w:tc>
                <w:tcPr>
                  <w:tcW w:w="1175" w:type="pct"/>
                  <w:gridSpan w:val="2"/>
                  <w:vAlign w:val="center"/>
                </w:tcPr>
                <w:p w14:paraId="1180C12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红葡萄酒</w:t>
                  </w:r>
                </w:p>
              </w:tc>
              <w:tc>
                <w:tcPr>
                  <w:tcW w:w="2964" w:type="pct"/>
                  <w:vAlign w:val="center"/>
                </w:tcPr>
                <w:p w14:paraId="083C905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≥18.0</w:t>
                  </w:r>
                </w:p>
              </w:tc>
            </w:tr>
            <w:tr w14:paraId="7DE92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5F1D7AE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挥发酸(以乙酸计)/(g/l)</w:t>
                  </w:r>
                </w:p>
              </w:tc>
              <w:tc>
                <w:tcPr>
                  <w:tcW w:w="2964" w:type="pct"/>
                  <w:vAlign w:val="center"/>
                </w:tcPr>
                <w:p w14:paraId="5FC6F17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≤1.2</w:t>
                  </w:r>
                </w:p>
              </w:tc>
            </w:tr>
            <w:tr w14:paraId="7C7E7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restart"/>
                  <w:vAlign w:val="center"/>
                </w:tcPr>
                <w:p w14:paraId="172B0E1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柠檬酸/(g/L)</w:t>
                  </w:r>
                </w:p>
              </w:tc>
              <w:tc>
                <w:tcPr>
                  <w:tcW w:w="1175" w:type="pct"/>
                  <w:gridSpan w:val="2"/>
                  <w:vAlign w:val="center"/>
                </w:tcPr>
                <w:p w14:paraId="3FA4F1C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干、半干、半甜葡萄酒</w:t>
                  </w:r>
                </w:p>
              </w:tc>
              <w:tc>
                <w:tcPr>
                  <w:tcW w:w="2964" w:type="pct"/>
                  <w:vAlign w:val="center"/>
                </w:tcPr>
                <w:p w14:paraId="34C6C3D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r>
            <w:tr w14:paraId="114833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4ACC92EE">
                  <w:pPr>
                    <w:adjustRightInd w:val="0"/>
                    <w:snapToGrid w:val="0"/>
                    <w:jc w:val="center"/>
                    <w:rPr>
                      <w:color w:val="000000" w:themeColor="text1"/>
                      <w:szCs w:val="21"/>
                      <w14:textFill>
                        <w14:solidFill>
                          <w14:schemeClr w14:val="tx1"/>
                        </w14:solidFill>
                      </w14:textFill>
                    </w:rPr>
                  </w:pPr>
                </w:p>
              </w:tc>
              <w:tc>
                <w:tcPr>
                  <w:tcW w:w="1175" w:type="pct"/>
                  <w:gridSpan w:val="2"/>
                  <w:vAlign w:val="center"/>
                </w:tcPr>
                <w:p w14:paraId="1854EED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甜葡萄酒</w:t>
                  </w:r>
                </w:p>
              </w:tc>
              <w:tc>
                <w:tcPr>
                  <w:tcW w:w="2964" w:type="pct"/>
                  <w:vAlign w:val="center"/>
                </w:tcPr>
                <w:p w14:paraId="38FFAB7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w:t>
                  </w:r>
                </w:p>
              </w:tc>
            </w:tr>
            <w:tr w14:paraId="5E1DA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restart"/>
                  <w:vAlign w:val="center"/>
                </w:tcPr>
                <w:p w14:paraId="4505BE3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二氧化碳(20℃)/MPa</w:t>
                  </w:r>
                </w:p>
              </w:tc>
              <w:tc>
                <w:tcPr>
                  <w:tcW w:w="427" w:type="pct"/>
                  <w:vMerge w:val="restart"/>
                  <w:vAlign w:val="center"/>
                </w:tcPr>
                <w:p w14:paraId="53365C8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低泡葡萄酒</w:t>
                  </w:r>
                </w:p>
              </w:tc>
              <w:tc>
                <w:tcPr>
                  <w:tcW w:w="748" w:type="pct"/>
                  <w:vAlign w:val="center"/>
                </w:tcPr>
                <w:p w14:paraId="1B69146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＜250mL/瓶</w:t>
                  </w:r>
                </w:p>
              </w:tc>
              <w:tc>
                <w:tcPr>
                  <w:tcW w:w="2964" w:type="pct"/>
                  <w:vAlign w:val="center"/>
                </w:tcPr>
                <w:p w14:paraId="78BFCED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0.05~0.29</w:t>
                  </w:r>
                </w:p>
              </w:tc>
            </w:tr>
            <w:tr w14:paraId="5086AB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027212D3">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3AEA8A14">
                  <w:pPr>
                    <w:adjustRightInd w:val="0"/>
                    <w:snapToGrid w:val="0"/>
                    <w:jc w:val="center"/>
                    <w:rPr>
                      <w:color w:val="000000" w:themeColor="text1"/>
                      <w:szCs w:val="21"/>
                      <w14:textFill>
                        <w14:solidFill>
                          <w14:schemeClr w14:val="tx1"/>
                        </w14:solidFill>
                      </w14:textFill>
                    </w:rPr>
                  </w:pPr>
                </w:p>
              </w:tc>
              <w:tc>
                <w:tcPr>
                  <w:tcW w:w="748" w:type="pct"/>
                  <w:vAlign w:val="center"/>
                </w:tcPr>
                <w:p w14:paraId="5A3E982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≥250mL/瓶</w:t>
                  </w:r>
                </w:p>
              </w:tc>
              <w:tc>
                <w:tcPr>
                  <w:tcW w:w="2964" w:type="pct"/>
                  <w:vAlign w:val="center"/>
                </w:tcPr>
                <w:p w14:paraId="4E70532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0.05~0.34</w:t>
                  </w:r>
                </w:p>
              </w:tc>
            </w:tr>
            <w:tr w14:paraId="4E88C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09EE6A51">
                  <w:pPr>
                    <w:adjustRightInd w:val="0"/>
                    <w:snapToGrid w:val="0"/>
                    <w:jc w:val="center"/>
                    <w:rPr>
                      <w:color w:val="000000" w:themeColor="text1"/>
                      <w:szCs w:val="21"/>
                      <w14:textFill>
                        <w14:solidFill>
                          <w14:schemeClr w14:val="tx1"/>
                        </w14:solidFill>
                      </w14:textFill>
                    </w:rPr>
                  </w:pPr>
                </w:p>
              </w:tc>
              <w:tc>
                <w:tcPr>
                  <w:tcW w:w="427" w:type="pct"/>
                  <w:vMerge w:val="restart"/>
                  <w:vAlign w:val="center"/>
                </w:tcPr>
                <w:p w14:paraId="70D1DCE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高泡葡萄酒</w:t>
                  </w:r>
                </w:p>
              </w:tc>
              <w:tc>
                <w:tcPr>
                  <w:tcW w:w="748" w:type="pct"/>
                  <w:vAlign w:val="center"/>
                </w:tcPr>
                <w:p w14:paraId="2311487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＜250mL/瓶</w:t>
                  </w:r>
                </w:p>
              </w:tc>
              <w:tc>
                <w:tcPr>
                  <w:tcW w:w="2964" w:type="pct"/>
                  <w:vAlign w:val="center"/>
                </w:tcPr>
                <w:p w14:paraId="70C8EDB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≥0.30</w:t>
                  </w:r>
                </w:p>
              </w:tc>
            </w:tr>
            <w:tr w14:paraId="63DA8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1518E48A">
                  <w:pPr>
                    <w:adjustRightInd w:val="0"/>
                    <w:snapToGrid w:val="0"/>
                    <w:jc w:val="center"/>
                    <w:rPr>
                      <w:color w:val="000000" w:themeColor="text1"/>
                      <w:szCs w:val="21"/>
                      <w14:textFill>
                        <w14:solidFill>
                          <w14:schemeClr w14:val="tx1"/>
                        </w14:solidFill>
                      </w14:textFill>
                    </w:rPr>
                  </w:pPr>
                </w:p>
              </w:tc>
              <w:tc>
                <w:tcPr>
                  <w:tcW w:w="427" w:type="pct"/>
                  <w:vMerge w:val="continue"/>
                  <w:vAlign w:val="center"/>
                </w:tcPr>
                <w:p w14:paraId="7DEDE7EF">
                  <w:pPr>
                    <w:adjustRightInd w:val="0"/>
                    <w:snapToGrid w:val="0"/>
                    <w:jc w:val="center"/>
                    <w:rPr>
                      <w:color w:val="000000" w:themeColor="text1"/>
                      <w:szCs w:val="21"/>
                      <w14:textFill>
                        <w14:solidFill>
                          <w14:schemeClr w14:val="tx1"/>
                        </w14:solidFill>
                      </w14:textFill>
                    </w:rPr>
                  </w:pPr>
                </w:p>
              </w:tc>
              <w:tc>
                <w:tcPr>
                  <w:tcW w:w="748" w:type="pct"/>
                  <w:vAlign w:val="center"/>
                </w:tcPr>
                <w:p w14:paraId="6FCAAEE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≥250mL/瓶</w:t>
                  </w:r>
                </w:p>
              </w:tc>
              <w:tc>
                <w:tcPr>
                  <w:tcW w:w="2964" w:type="pct"/>
                  <w:vAlign w:val="center"/>
                </w:tcPr>
                <w:p w14:paraId="21FB9D0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≥0.35</w:t>
                  </w:r>
                </w:p>
              </w:tc>
            </w:tr>
            <w:tr w14:paraId="0A97E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18F20A8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铁/(mg/L)</w:t>
                  </w:r>
                </w:p>
              </w:tc>
              <w:tc>
                <w:tcPr>
                  <w:tcW w:w="2964" w:type="pct"/>
                  <w:vAlign w:val="center"/>
                </w:tcPr>
                <w:p w14:paraId="19FADBF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≤8.0</w:t>
                  </w:r>
                </w:p>
              </w:tc>
            </w:tr>
            <w:tr w14:paraId="09170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631410D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铜/（mg/L）</w:t>
                  </w:r>
                </w:p>
              </w:tc>
              <w:tc>
                <w:tcPr>
                  <w:tcW w:w="2964" w:type="pct"/>
                  <w:vAlign w:val="center"/>
                </w:tcPr>
                <w:p w14:paraId="4382FC8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r>
            <w:tr w14:paraId="31F991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restart"/>
                  <w:vAlign w:val="center"/>
                </w:tcPr>
                <w:p w14:paraId="4D7798D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甲醇/(mg/L)</w:t>
                  </w:r>
                </w:p>
              </w:tc>
              <w:tc>
                <w:tcPr>
                  <w:tcW w:w="1175" w:type="pct"/>
                  <w:gridSpan w:val="2"/>
                  <w:vAlign w:val="center"/>
                </w:tcPr>
                <w:p w14:paraId="6EA3F12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白、桃红葡萄酒</w:t>
                  </w:r>
                </w:p>
              </w:tc>
              <w:tc>
                <w:tcPr>
                  <w:tcW w:w="2964" w:type="pct"/>
                  <w:vAlign w:val="center"/>
                </w:tcPr>
                <w:p w14:paraId="20067F9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≤250</w:t>
                  </w:r>
                </w:p>
              </w:tc>
            </w:tr>
            <w:tr w14:paraId="02B64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59" w:type="pct"/>
                  <w:vMerge w:val="continue"/>
                  <w:vAlign w:val="center"/>
                </w:tcPr>
                <w:p w14:paraId="7158D976">
                  <w:pPr>
                    <w:adjustRightInd w:val="0"/>
                    <w:snapToGrid w:val="0"/>
                    <w:jc w:val="center"/>
                    <w:rPr>
                      <w:color w:val="000000" w:themeColor="text1"/>
                      <w:szCs w:val="21"/>
                      <w14:textFill>
                        <w14:solidFill>
                          <w14:schemeClr w14:val="tx1"/>
                        </w14:solidFill>
                      </w14:textFill>
                    </w:rPr>
                  </w:pPr>
                </w:p>
              </w:tc>
              <w:tc>
                <w:tcPr>
                  <w:tcW w:w="1175" w:type="pct"/>
                  <w:gridSpan w:val="2"/>
                  <w:vAlign w:val="center"/>
                </w:tcPr>
                <w:p w14:paraId="3E776CB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红葡萄酒</w:t>
                  </w:r>
                </w:p>
              </w:tc>
              <w:tc>
                <w:tcPr>
                  <w:tcW w:w="2964" w:type="pct"/>
                  <w:vAlign w:val="center"/>
                </w:tcPr>
                <w:p w14:paraId="650CF97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≤400</w:t>
                  </w:r>
                </w:p>
              </w:tc>
            </w:tr>
            <w:tr w14:paraId="62C5F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14400F3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苯甲酸或苯甲酸钠（以苯甲酸计）/（mg/L）</w:t>
                  </w:r>
                </w:p>
              </w:tc>
              <w:tc>
                <w:tcPr>
                  <w:tcW w:w="2964" w:type="pct"/>
                  <w:vAlign w:val="center"/>
                </w:tcPr>
                <w:p w14:paraId="59CFA3E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≤50</w:t>
                  </w:r>
                </w:p>
              </w:tc>
            </w:tr>
            <w:tr w14:paraId="3665DE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35" w:type="pct"/>
                  <w:gridSpan w:val="3"/>
                  <w:vAlign w:val="center"/>
                </w:tcPr>
                <w:p w14:paraId="5644CB6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山梨酸或山梨酸钾（以山梨酸计）/（mg/L）</w:t>
                  </w:r>
                </w:p>
              </w:tc>
              <w:tc>
                <w:tcPr>
                  <w:tcW w:w="2964" w:type="pct"/>
                  <w:vAlign w:val="center"/>
                </w:tcPr>
                <w:p w14:paraId="2A006BB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w:t>
                  </w:r>
                </w:p>
              </w:tc>
            </w:tr>
            <w:tr w14:paraId="5838F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14:paraId="6456A3A7">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注：总酸不作要求，以实测值表示[以酒石酸计（g/L）。</w:t>
                  </w:r>
                </w:p>
              </w:tc>
            </w:tr>
            <w:tr w14:paraId="0D825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4"/>
                  <w:vAlign w:val="center"/>
                </w:tcPr>
                <w:p w14:paraId="47091B82">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a酒精度标签标示值与实测值不得超过±1.0%(体积分数)；</w:t>
                  </w:r>
                </w:p>
                <w:p w14:paraId="798C223D">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b当总糖与总酸(以酒石酸计)的差值小于或等于2.0g/L时，含糖最高为9.0g/L；</w:t>
                  </w:r>
                </w:p>
                <w:p w14:paraId="155C60F6">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c当总糖与总酸(以酒石酸计)的差值小于或等于2.0g/L时，含糖最高为18.0g/L；</w:t>
                  </w:r>
                </w:p>
                <w:p w14:paraId="1D025A50">
                  <w:pPr>
                    <w:adjustRightInd w:val="0"/>
                    <w:snapToGrid w:val="0"/>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d低泡葡萄酒总糖的要求同平静葡萄酒。</w:t>
                  </w:r>
                </w:p>
              </w:tc>
            </w:tr>
          </w:tbl>
          <w:p w14:paraId="39F7AA9B">
            <w:pPr>
              <w:pStyle w:val="42"/>
              <w:widowControl/>
              <w:adjustRightInd/>
              <w:ind w:firstLine="482"/>
              <w:jc w:val="both"/>
              <w:rPr>
                <w:b/>
                <w:color w:val="000000" w:themeColor="text1"/>
                <w14:textFill>
                  <w14:solidFill>
                    <w14:schemeClr w14:val="tx1"/>
                  </w14:solidFill>
                </w14:textFill>
              </w:rPr>
            </w:pPr>
            <w:r>
              <w:rPr>
                <w:b/>
                <w:color w:val="000000" w:themeColor="text1"/>
                <w14:textFill>
                  <w14:solidFill>
                    <w14:schemeClr w14:val="tx1"/>
                  </w14:solidFill>
                </w14:textFill>
              </w:rPr>
              <w:t>4、主要生产设备</w:t>
            </w:r>
          </w:p>
          <w:p w14:paraId="715980F8">
            <w:pPr>
              <w:pStyle w:val="24"/>
              <w:spacing w:line="360" w:lineRule="auto"/>
              <w:ind w:firstLine="0" w:firstLineChars="0"/>
              <w:jc w:val="center"/>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表2-</w:t>
            </w:r>
            <w:r>
              <w:rPr>
                <w:rFonts w:hint="eastAsia" w:ascii="Times New Roman" w:hAnsi="Times New Roman"/>
                <w:b/>
                <w:color w:val="000000" w:themeColor="text1"/>
                <w:sz w:val="24"/>
                <w14:textFill>
                  <w14:solidFill>
                    <w14:schemeClr w14:val="tx1"/>
                  </w14:solidFill>
                </w14:textFill>
              </w:rPr>
              <w:t xml:space="preserve">11  </w:t>
            </w:r>
            <w:r>
              <w:rPr>
                <w:rFonts w:ascii="Times New Roman" w:hAnsi="Times New Roman"/>
                <w:b/>
                <w:color w:val="000000" w:themeColor="text1"/>
                <w:sz w:val="24"/>
                <w14:textFill>
                  <w14:solidFill>
                    <w14:schemeClr w14:val="tx1"/>
                  </w14:solidFill>
                </w14:textFill>
              </w:rPr>
              <w:t>项目主要生产设备一览表</w:t>
            </w:r>
          </w:p>
          <w:tbl>
            <w:tblPr>
              <w:tblStyle w:val="26"/>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0"/>
              <w:gridCol w:w="1434"/>
              <w:gridCol w:w="1353"/>
              <w:gridCol w:w="1605"/>
              <w:gridCol w:w="1415"/>
              <w:gridCol w:w="1192"/>
              <w:gridCol w:w="1747"/>
            </w:tblGrid>
            <w:tr w14:paraId="3EF8CA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6F544B0F">
                  <w:pPr>
                    <w:jc w:val="center"/>
                    <w:rPr>
                      <w:color w:val="000000" w:themeColor="text1"/>
                      <w:szCs w:val="21"/>
                      <w14:textFill>
                        <w14:solidFill>
                          <w14:schemeClr w14:val="tx1"/>
                        </w14:solidFill>
                      </w14:textFill>
                    </w:rPr>
                  </w:pPr>
                  <w:r>
                    <w:rPr>
                      <w:rFonts w:ascii="宋体" w:hAnsi="宋体" w:cs="宋体"/>
                      <w:color w:val="000000" w:themeColor="text1"/>
                      <w:szCs w:val="21"/>
                      <w14:textFill>
                        <w14:solidFill>
                          <w14:schemeClr w14:val="tx1"/>
                        </w14:solidFill>
                      </w14:textFill>
                    </w:rPr>
                    <w:t>序号</w:t>
                  </w:r>
                </w:p>
              </w:tc>
              <w:tc>
                <w:tcPr>
                  <w:tcW w:w="764" w:type="pct"/>
                  <w:vMerge w:val="restart"/>
                  <w:vAlign w:val="center"/>
                </w:tcPr>
                <w:p w14:paraId="7B4A3ED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主要生产单元名称</w:t>
                  </w:r>
                </w:p>
              </w:tc>
              <w:tc>
                <w:tcPr>
                  <w:tcW w:w="721" w:type="pct"/>
                  <w:vMerge w:val="restart"/>
                  <w:vAlign w:val="center"/>
                </w:tcPr>
                <w:p w14:paraId="5540C2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主要工艺名称</w:t>
                  </w:r>
                </w:p>
              </w:tc>
              <w:tc>
                <w:tcPr>
                  <w:tcW w:w="855" w:type="pct"/>
                  <w:vMerge w:val="restart"/>
                  <w:vAlign w:val="center"/>
                </w:tcPr>
                <w:p w14:paraId="6F8613D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主要生产设施名称</w:t>
                  </w:r>
                </w:p>
              </w:tc>
              <w:tc>
                <w:tcPr>
                  <w:tcW w:w="2316" w:type="pct"/>
                  <w:gridSpan w:val="3"/>
                  <w:vAlign w:val="center"/>
                </w:tcPr>
                <w:p w14:paraId="43B08C1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设施参数</w:t>
                  </w:r>
                </w:p>
              </w:tc>
            </w:tr>
            <w:tr w14:paraId="3EFBED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7359434">
                  <w:pPr>
                    <w:jc w:val="center"/>
                    <w:rPr>
                      <w:color w:val="000000" w:themeColor="text1"/>
                      <w:szCs w:val="21"/>
                      <w14:textFill>
                        <w14:solidFill>
                          <w14:schemeClr w14:val="tx1"/>
                        </w14:solidFill>
                      </w14:textFill>
                    </w:rPr>
                  </w:pPr>
                </w:p>
              </w:tc>
              <w:tc>
                <w:tcPr>
                  <w:tcW w:w="764" w:type="pct"/>
                  <w:vMerge w:val="continue"/>
                  <w:vAlign w:val="center"/>
                </w:tcPr>
                <w:p w14:paraId="6F7E8E84">
                  <w:pPr>
                    <w:jc w:val="center"/>
                    <w:rPr>
                      <w:color w:val="000000" w:themeColor="text1"/>
                      <w:szCs w:val="21"/>
                      <w14:textFill>
                        <w14:solidFill>
                          <w14:schemeClr w14:val="tx1"/>
                        </w14:solidFill>
                      </w14:textFill>
                    </w:rPr>
                  </w:pPr>
                </w:p>
              </w:tc>
              <w:tc>
                <w:tcPr>
                  <w:tcW w:w="721" w:type="pct"/>
                  <w:vMerge w:val="continue"/>
                  <w:vAlign w:val="center"/>
                </w:tcPr>
                <w:p w14:paraId="5E503F9C">
                  <w:pPr>
                    <w:jc w:val="center"/>
                    <w:rPr>
                      <w:color w:val="000000" w:themeColor="text1"/>
                      <w:szCs w:val="21"/>
                      <w14:textFill>
                        <w14:solidFill>
                          <w14:schemeClr w14:val="tx1"/>
                        </w14:solidFill>
                      </w14:textFill>
                    </w:rPr>
                  </w:pPr>
                </w:p>
              </w:tc>
              <w:tc>
                <w:tcPr>
                  <w:tcW w:w="855" w:type="pct"/>
                  <w:vMerge w:val="continue"/>
                  <w:vAlign w:val="center"/>
                </w:tcPr>
                <w:p w14:paraId="2B750218">
                  <w:pPr>
                    <w:jc w:val="center"/>
                    <w:rPr>
                      <w:color w:val="000000" w:themeColor="text1"/>
                      <w:szCs w:val="21"/>
                      <w14:textFill>
                        <w14:solidFill>
                          <w14:schemeClr w14:val="tx1"/>
                        </w14:solidFill>
                      </w14:textFill>
                    </w:rPr>
                  </w:pPr>
                </w:p>
              </w:tc>
              <w:tc>
                <w:tcPr>
                  <w:tcW w:w="754" w:type="pct"/>
                  <w:vAlign w:val="center"/>
                </w:tcPr>
                <w:p w14:paraId="23032D9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参数名称</w:t>
                  </w:r>
                </w:p>
              </w:tc>
              <w:tc>
                <w:tcPr>
                  <w:tcW w:w="635" w:type="pct"/>
                  <w:vAlign w:val="center"/>
                </w:tcPr>
                <w:p w14:paraId="011F28B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设计值</w:t>
                  </w:r>
                </w:p>
              </w:tc>
              <w:tc>
                <w:tcPr>
                  <w:tcW w:w="926" w:type="pct"/>
                  <w:vAlign w:val="center"/>
                </w:tcPr>
                <w:p w14:paraId="515794B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计量单位</w:t>
                  </w:r>
                </w:p>
              </w:tc>
            </w:tr>
            <w:tr w14:paraId="58C45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7C9617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白酒生产线</w:t>
                  </w:r>
                </w:p>
              </w:tc>
            </w:tr>
            <w:tr w14:paraId="1736E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6147C9A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vAlign w:val="center"/>
                </w:tcPr>
                <w:p w14:paraId="5B9EAD1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粉碎</w:t>
                  </w:r>
                </w:p>
              </w:tc>
              <w:tc>
                <w:tcPr>
                  <w:tcW w:w="721" w:type="pct"/>
                  <w:vMerge w:val="restart"/>
                  <w:vAlign w:val="center"/>
                </w:tcPr>
                <w:p w14:paraId="2671D78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w:t>
                  </w:r>
                </w:p>
              </w:tc>
              <w:tc>
                <w:tcPr>
                  <w:tcW w:w="855" w:type="pct"/>
                  <w:vMerge w:val="restart"/>
                  <w:vAlign w:val="center"/>
                </w:tcPr>
                <w:p w14:paraId="1DF8910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粉碎机</w:t>
                  </w:r>
                </w:p>
              </w:tc>
              <w:tc>
                <w:tcPr>
                  <w:tcW w:w="754" w:type="pct"/>
                  <w:vAlign w:val="center"/>
                </w:tcPr>
                <w:p w14:paraId="4F828DD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vAlign w:val="center"/>
                </w:tcPr>
                <w:p w14:paraId="65A268F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926" w:type="pct"/>
                  <w:vAlign w:val="center"/>
                </w:tcPr>
                <w:p w14:paraId="741D8DA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467BA7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0970C782">
                  <w:pPr>
                    <w:jc w:val="center"/>
                    <w:rPr>
                      <w:color w:val="000000" w:themeColor="text1"/>
                      <w:szCs w:val="21"/>
                      <w14:textFill>
                        <w14:solidFill>
                          <w14:schemeClr w14:val="tx1"/>
                        </w14:solidFill>
                      </w14:textFill>
                    </w:rPr>
                  </w:pPr>
                </w:p>
              </w:tc>
              <w:tc>
                <w:tcPr>
                  <w:tcW w:w="764" w:type="pct"/>
                  <w:vMerge w:val="continue"/>
                  <w:vAlign w:val="center"/>
                </w:tcPr>
                <w:p w14:paraId="5EF91E49">
                  <w:pPr>
                    <w:jc w:val="center"/>
                    <w:rPr>
                      <w:color w:val="000000" w:themeColor="text1"/>
                      <w:szCs w:val="21"/>
                      <w14:textFill>
                        <w14:solidFill>
                          <w14:schemeClr w14:val="tx1"/>
                        </w14:solidFill>
                      </w14:textFill>
                    </w:rPr>
                  </w:pPr>
                </w:p>
              </w:tc>
              <w:tc>
                <w:tcPr>
                  <w:tcW w:w="721" w:type="pct"/>
                  <w:vMerge w:val="continue"/>
                  <w:vAlign w:val="center"/>
                </w:tcPr>
                <w:p w14:paraId="37BB7E70">
                  <w:pPr>
                    <w:jc w:val="center"/>
                    <w:rPr>
                      <w:color w:val="000000" w:themeColor="text1"/>
                      <w:szCs w:val="21"/>
                      <w14:textFill>
                        <w14:solidFill>
                          <w14:schemeClr w14:val="tx1"/>
                        </w14:solidFill>
                      </w14:textFill>
                    </w:rPr>
                  </w:pPr>
                </w:p>
              </w:tc>
              <w:tc>
                <w:tcPr>
                  <w:tcW w:w="855" w:type="pct"/>
                  <w:vMerge w:val="continue"/>
                  <w:vAlign w:val="center"/>
                </w:tcPr>
                <w:p w14:paraId="7E9E28C2">
                  <w:pPr>
                    <w:jc w:val="center"/>
                    <w:rPr>
                      <w:color w:val="000000" w:themeColor="text1"/>
                      <w:szCs w:val="21"/>
                      <w14:textFill>
                        <w14:solidFill>
                          <w14:schemeClr w14:val="tx1"/>
                        </w14:solidFill>
                      </w14:textFill>
                    </w:rPr>
                  </w:pPr>
                </w:p>
              </w:tc>
              <w:tc>
                <w:tcPr>
                  <w:tcW w:w="754" w:type="pct"/>
                  <w:vAlign w:val="center"/>
                </w:tcPr>
                <w:p w14:paraId="1286CA8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vAlign w:val="center"/>
                </w:tcPr>
                <w:p w14:paraId="7853AF0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vAlign w:val="center"/>
                </w:tcPr>
                <w:p w14:paraId="0606725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2B689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314A61F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Merge w:val="restart"/>
                  <w:vAlign w:val="center"/>
                </w:tcPr>
                <w:p w14:paraId="61DDBC0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润粮蒸粮</w:t>
                  </w:r>
                </w:p>
              </w:tc>
              <w:tc>
                <w:tcPr>
                  <w:tcW w:w="721" w:type="pct"/>
                  <w:vMerge w:val="restart"/>
                  <w:vAlign w:val="center"/>
                </w:tcPr>
                <w:p w14:paraId="37FB5EE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蒸粮</w:t>
                  </w:r>
                </w:p>
              </w:tc>
              <w:tc>
                <w:tcPr>
                  <w:tcW w:w="855" w:type="pct"/>
                  <w:vMerge w:val="restart"/>
                  <w:vAlign w:val="center"/>
                </w:tcPr>
                <w:p w14:paraId="2EA0FD6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蒸煮器</w:t>
                  </w:r>
                </w:p>
              </w:tc>
              <w:tc>
                <w:tcPr>
                  <w:tcW w:w="754" w:type="pct"/>
                  <w:shd w:val="clear" w:color="auto" w:fill="auto"/>
                  <w:vAlign w:val="center"/>
                </w:tcPr>
                <w:p w14:paraId="03475EE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7FBFD12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926" w:type="pct"/>
                  <w:shd w:val="clear" w:color="auto" w:fill="auto"/>
                  <w:vAlign w:val="center"/>
                </w:tcPr>
                <w:p w14:paraId="150CBA0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3773C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FA66FDA">
                  <w:pPr>
                    <w:jc w:val="center"/>
                    <w:rPr>
                      <w:color w:val="000000" w:themeColor="text1"/>
                      <w:szCs w:val="21"/>
                      <w14:textFill>
                        <w14:solidFill>
                          <w14:schemeClr w14:val="tx1"/>
                        </w14:solidFill>
                      </w14:textFill>
                    </w:rPr>
                  </w:pPr>
                </w:p>
              </w:tc>
              <w:tc>
                <w:tcPr>
                  <w:tcW w:w="764" w:type="pct"/>
                  <w:vMerge w:val="continue"/>
                  <w:vAlign w:val="center"/>
                </w:tcPr>
                <w:p w14:paraId="6BA41EFB">
                  <w:pPr>
                    <w:jc w:val="center"/>
                    <w:rPr>
                      <w:color w:val="000000" w:themeColor="text1"/>
                      <w:szCs w:val="21"/>
                      <w14:textFill>
                        <w14:solidFill>
                          <w14:schemeClr w14:val="tx1"/>
                        </w14:solidFill>
                      </w14:textFill>
                    </w:rPr>
                  </w:pPr>
                </w:p>
              </w:tc>
              <w:tc>
                <w:tcPr>
                  <w:tcW w:w="721" w:type="pct"/>
                  <w:vMerge w:val="continue"/>
                  <w:vAlign w:val="center"/>
                </w:tcPr>
                <w:p w14:paraId="75AF7E76">
                  <w:pPr>
                    <w:jc w:val="center"/>
                    <w:rPr>
                      <w:color w:val="000000" w:themeColor="text1"/>
                      <w:szCs w:val="21"/>
                      <w14:textFill>
                        <w14:solidFill>
                          <w14:schemeClr w14:val="tx1"/>
                        </w14:solidFill>
                      </w14:textFill>
                    </w:rPr>
                  </w:pPr>
                </w:p>
              </w:tc>
              <w:tc>
                <w:tcPr>
                  <w:tcW w:w="855" w:type="pct"/>
                  <w:vMerge w:val="continue"/>
                  <w:vAlign w:val="center"/>
                </w:tcPr>
                <w:p w14:paraId="12429AF1">
                  <w:pPr>
                    <w:jc w:val="center"/>
                    <w:rPr>
                      <w:color w:val="000000" w:themeColor="text1"/>
                      <w:szCs w:val="21"/>
                      <w14:textFill>
                        <w14:solidFill>
                          <w14:schemeClr w14:val="tx1"/>
                        </w14:solidFill>
                      </w14:textFill>
                    </w:rPr>
                  </w:pPr>
                </w:p>
              </w:tc>
              <w:tc>
                <w:tcPr>
                  <w:tcW w:w="754" w:type="pct"/>
                  <w:shd w:val="clear" w:color="auto" w:fill="auto"/>
                  <w:vAlign w:val="center"/>
                </w:tcPr>
                <w:p w14:paraId="06576F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CE60AA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2C400CB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29C55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3FDD8A0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64" w:type="pct"/>
                  <w:vMerge w:val="restart"/>
                  <w:vAlign w:val="center"/>
                </w:tcPr>
                <w:p w14:paraId="75CE42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w:t>
                  </w:r>
                </w:p>
              </w:tc>
              <w:tc>
                <w:tcPr>
                  <w:tcW w:w="721" w:type="pct"/>
                  <w:vMerge w:val="restart"/>
                  <w:vAlign w:val="center"/>
                </w:tcPr>
                <w:p w14:paraId="490F8C3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w:t>
                  </w:r>
                </w:p>
              </w:tc>
              <w:tc>
                <w:tcPr>
                  <w:tcW w:w="855" w:type="pct"/>
                  <w:vMerge w:val="restart"/>
                  <w:vAlign w:val="center"/>
                </w:tcPr>
                <w:p w14:paraId="406306A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窖池</w:t>
                  </w:r>
                </w:p>
              </w:tc>
              <w:tc>
                <w:tcPr>
                  <w:tcW w:w="754" w:type="pct"/>
                  <w:shd w:val="clear" w:color="auto" w:fill="auto"/>
                  <w:vAlign w:val="center"/>
                </w:tcPr>
                <w:p w14:paraId="4E40886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设计参数</w:t>
                  </w:r>
                </w:p>
              </w:tc>
              <w:tc>
                <w:tcPr>
                  <w:tcW w:w="635" w:type="pct"/>
                  <w:shd w:val="clear" w:color="auto" w:fill="auto"/>
                  <w:vAlign w:val="center"/>
                </w:tcPr>
                <w:p w14:paraId="3E69ED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r>
                    <w:rPr>
                      <w:rFonts w:ascii="Arial" w:hAnsi="Arial" w:cs="Arial"/>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2</w:t>
                  </w:r>
                  <w:r>
                    <w:rPr>
                      <w:rFonts w:ascii="Arial" w:hAnsi="Arial" w:cs="Arial"/>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2</w:t>
                  </w:r>
                </w:p>
              </w:tc>
              <w:tc>
                <w:tcPr>
                  <w:tcW w:w="926" w:type="pct"/>
                  <w:shd w:val="clear" w:color="auto" w:fill="auto"/>
                  <w:vAlign w:val="center"/>
                </w:tcPr>
                <w:p w14:paraId="45BB047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5692C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12B65A70">
                  <w:pPr>
                    <w:jc w:val="center"/>
                    <w:rPr>
                      <w:color w:val="000000" w:themeColor="text1"/>
                      <w:szCs w:val="21"/>
                      <w14:textFill>
                        <w14:solidFill>
                          <w14:schemeClr w14:val="tx1"/>
                        </w14:solidFill>
                      </w14:textFill>
                    </w:rPr>
                  </w:pPr>
                </w:p>
              </w:tc>
              <w:tc>
                <w:tcPr>
                  <w:tcW w:w="764" w:type="pct"/>
                  <w:vMerge w:val="continue"/>
                  <w:vAlign w:val="center"/>
                </w:tcPr>
                <w:p w14:paraId="51AE8408">
                  <w:pPr>
                    <w:jc w:val="center"/>
                    <w:rPr>
                      <w:color w:val="000000" w:themeColor="text1"/>
                      <w:szCs w:val="21"/>
                      <w14:textFill>
                        <w14:solidFill>
                          <w14:schemeClr w14:val="tx1"/>
                        </w14:solidFill>
                      </w14:textFill>
                    </w:rPr>
                  </w:pPr>
                </w:p>
              </w:tc>
              <w:tc>
                <w:tcPr>
                  <w:tcW w:w="721" w:type="pct"/>
                  <w:vMerge w:val="continue"/>
                  <w:vAlign w:val="center"/>
                </w:tcPr>
                <w:p w14:paraId="6404FE23">
                  <w:pPr>
                    <w:jc w:val="center"/>
                    <w:rPr>
                      <w:color w:val="000000" w:themeColor="text1"/>
                      <w:szCs w:val="21"/>
                      <w14:textFill>
                        <w14:solidFill>
                          <w14:schemeClr w14:val="tx1"/>
                        </w14:solidFill>
                      </w14:textFill>
                    </w:rPr>
                  </w:pPr>
                </w:p>
              </w:tc>
              <w:tc>
                <w:tcPr>
                  <w:tcW w:w="855" w:type="pct"/>
                  <w:vMerge w:val="continue"/>
                  <w:vAlign w:val="center"/>
                </w:tcPr>
                <w:p w14:paraId="4811AA26">
                  <w:pPr>
                    <w:jc w:val="center"/>
                    <w:rPr>
                      <w:color w:val="000000" w:themeColor="text1"/>
                      <w:szCs w:val="21"/>
                      <w14:textFill>
                        <w14:solidFill>
                          <w14:schemeClr w14:val="tx1"/>
                        </w14:solidFill>
                      </w14:textFill>
                    </w:rPr>
                  </w:pPr>
                </w:p>
              </w:tc>
              <w:tc>
                <w:tcPr>
                  <w:tcW w:w="754" w:type="pct"/>
                  <w:shd w:val="clear" w:color="auto" w:fill="auto"/>
                  <w:vAlign w:val="center"/>
                </w:tcPr>
                <w:p w14:paraId="429E00E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71081C9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926" w:type="pct"/>
                  <w:shd w:val="clear" w:color="auto" w:fill="auto"/>
                  <w:vAlign w:val="center"/>
                </w:tcPr>
                <w:p w14:paraId="25D9605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42204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3127B95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764" w:type="pct"/>
                  <w:vMerge w:val="restart"/>
                  <w:vAlign w:val="center"/>
                </w:tcPr>
                <w:p w14:paraId="003BB62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稻壳清蒸</w:t>
                  </w:r>
                  <w:r>
                    <w:rPr>
                      <w:rFonts w:hint="eastAsia"/>
                      <w:color w:val="000000" w:themeColor="text1"/>
                      <w:szCs w:val="21"/>
                      <w14:textFill>
                        <w14:solidFill>
                          <w14:schemeClr w14:val="tx1"/>
                        </w14:solidFill>
                      </w14:textFill>
                    </w:rPr>
                    <w:t>、蒸馏</w:t>
                  </w:r>
                </w:p>
              </w:tc>
              <w:tc>
                <w:tcPr>
                  <w:tcW w:w="721" w:type="pct"/>
                  <w:vMerge w:val="restart"/>
                  <w:vAlign w:val="center"/>
                </w:tcPr>
                <w:p w14:paraId="696CD09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稻壳清蒸</w:t>
                  </w:r>
                  <w:r>
                    <w:rPr>
                      <w:rFonts w:hint="eastAsia"/>
                      <w:color w:val="000000" w:themeColor="text1"/>
                      <w:szCs w:val="21"/>
                      <w14:textFill>
                        <w14:solidFill>
                          <w14:schemeClr w14:val="tx1"/>
                        </w14:solidFill>
                      </w14:textFill>
                    </w:rPr>
                    <w:t>、蒸馏</w:t>
                  </w:r>
                </w:p>
              </w:tc>
              <w:tc>
                <w:tcPr>
                  <w:tcW w:w="855" w:type="pct"/>
                  <w:vMerge w:val="restart"/>
                  <w:vAlign w:val="center"/>
                </w:tcPr>
                <w:p w14:paraId="35D6910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甑锅</w:t>
                  </w:r>
                </w:p>
              </w:tc>
              <w:tc>
                <w:tcPr>
                  <w:tcW w:w="754" w:type="pct"/>
                  <w:shd w:val="clear" w:color="auto" w:fill="auto"/>
                  <w:vAlign w:val="center"/>
                </w:tcPr>
                <w:p w14:paraId="5BA27A8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vAlign w:val="center"/>
                </w:tcPr>
                <w:p w14:paraId="3071DC9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.0</w:t>
                  </w:r>
                </w:p>
              </w:tc>
              <w:tc>
                <w:tcPr>
                  <w:tcW w:w="926" w:type="pct"/>
                  <w:vAlign w:val="center"/>
                </w:tcPr>
                <w:p w14:paraId="5EC7C4A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/台</w:t>
                  </w:r>
                </w:p>
              </w:tc>
            </w:tr>
            <w:tr w14:paraId="5063E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5FBE967">
                  <w:pPr>
                    <w:jc w:val="center"/>
                    <w:rPr>
                      <w:color w:val="000000" w:themeColor="text1"/>
                      <w:szCs w:val="21"/>
                      <w14:textFill>
                        <w14:solidFill>
                          <w14:schemeClr w14:val="tx1"/>
                        </w14:solidFill>
                      </w14:textFill>
                    </w:rPr>
                  </w:pPr>
                </w:p>
              </w:tc>
              <w:tc>
                <w:tcPr>
                  <w:tcW w:w="764" w:type="pct"/>
                  <w:vMerge w:val="continue"/>
                  <w:vAlign w:val="center"/>
                </w:tcPr>
                <w:p w14:paraId="29E6354D">
                  <w:pPr>
                    <w:jc w:val="center"/>
                    <w:rPr>
                      <w:color w:val="000000" w:themeColor="text1"/>
                      <w:szCs w:val="21"/>
                      <w14:textFill>
                        <w14:solidFill>
                          <w14:schemeClr w14:val="tx1"/>
                        </w14:solidFill>
                      </w14:textFill>
                    </w:rPr>
                  </w:pPr>
                </w:p>
              </w:tc>
              <w:tc>
                <w:tcPr>
                  <w:tcW w:w="721" w:type="pct"/>
                  <w:vMerge w:val="continue"/>
                  <w:vAlign w:val="center"/>
                </w:tcPr>
                <w:p w14:paraId="26D549C4">
                  <w:pPr>
                    <w:jc w:val="center"/>
                    <w:rPr>
                      <w:color w:val="000000" w:themeColor="text1"/>
                      <w:szCs w:val="21"/>
                      <w14:textFill>
                        <w14:solidFill>
                          <w14:schemeClr w14:val="tx1"/>
                        </w14:solidFill>
                      </w14:textFill>
                    </w:rPr>
                  </w:pPr>
                </w:p>
              </w:tc>
              <w:tc>
                <w:tcPr>
                  <w:tcW w:w="855" w:type="pct"/>
                  <w:vMerge w:val="continue"/>
                  <w:vAlign w:val="center"/>
                </w:tcPr>
                <w:p w14:paraId="40451292">
                  <w:pPr>
                    <w:jc w:val="center"/>
                    <w:rPr>
                      <w:color w:val="000000" w:themeColor="text1"/>
                      <w:szCs w:val="21"/>
                      <w14:textFill>
                        <w14:solidFill>
                          <w14:schemeClr w14:val="tx1"/>
                        </w14:solidFill>
                      </w14:textFill>
                    </w:rPr>
                  </w:pPr>
                </w:p>
              </w:tc>
              <w:tc>
                <w:tcPr>
                  <w:tcW w:w="754" w:type="pct"/>
                  <w:shd w:val="clear" w:color="auto" w:fill="auto"/>
                  <w:vAlign w:val="center"/>
                </w:tcPr>
                <w:p w14:paraId="4888B54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52AD1C1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47D4A0A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4D199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17F3458C">
                  <w:pPr>
                    <w:jc w:val="center"/>
                    <w:rPr>
                      <w:color w:val="000000" w:themeColor="text1"/>
                      <w:szCs w:val="21"/>
                      <w14:textFill>
                        <w14:solidFill>
                          <w14:schemeClr w14:val="tx1"/>
                        </w14:solidFill>
                      </w14:textFill>
                    </w:rPr>
                  </w:pPr>
                </w:p>
              </w:tc>
              <w:tc>
                <w:tcPr>
                  <w:tcW w:w="764" w:type="pct"/>
                  <w:vMerge w:val="continue"/>
                  <w:vAlign w:val="center"/>
                </w:tcPr>
                <w:p w14:paraId="3CE373E4">
                  <w:pPr>
                    <w:jc w:val="center"/>
                    <w:rPr>
                      <w:color w:val="000000" w:themeColor="text1"/>
                      <w:szCs w:val="21"/>
                      <w14:textFill>
                        <w14:solidFill>
                          <w14:schemeClr w14:val="tx1"/>
                        </w14:solidFill>
                      </w14:textFill>
                    </w:rPr>
                  </w:pPr>
                </w:p>
              </w:tc>
              <w:tc>
                <w:tcPr>
                  <w:tcW w:w="721" w:type="pct"/>
                  <w:vMerge w:val="restart"/>
                  <w:vAlign w:val="center"/>
                </w:tcPr>
                <w:p w14:paraId="7603C21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蒸馏</w:t>
                  </w:r>
                </w:p>
              </w:tc>
              <w:tc>
                <w:tcPr>
                  <w:tcW w:w="855" w:type="pct"/>
                  <w:vMerge w:val="restart"/>
                  <w:vAlign w:val="center"/>
                </w:tcPr>
                <w:p w14:paraId="3C989A5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蒸馏机组</w:t>
                  </w:r>
                </w:p>
              </w:tc>
              <w:tc>
                <w:tcPr>
                  <w:tcW w:w="754" w:type="pct"/>
                  <w:shd w:val="clear" w:color="auto" w:fill="auto"/>
                  <w:vAlign w:val="center"/>
                </w:tcPr>
                <w:p w14:paraId="1BE6D80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38334AC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0.5</w:t>
                  </w:r>
                </w:p>
              </w:tc>
              <w:tc>
                <w:tcPr>
                  <w:tcW w:w="926" w:type="pct"/>
                  <w:shd w:val="clear" w:color="auto" w:fill="auto"/>
                  <w:vAlign w:val="center"/>
                </w:tcPr>
                <w:p w14:paraId="01661C1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33A08F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16B64B7">
                  <w:pPr>
                    <w:jc w:val="center"/>
                    <w:rPr>
                      <w:color w:val="000000" w:themeColor="text1"/>
                      <w:szCs w:val="21"/>
                      <w14:textFill>
                        <w14:solidFill>
                          <w14:schemeClr w14:val="tx1"/>
                        </w14:solidFill>
                      </w14:textFill>
                    </w:rPr>
                  </w:pPr>
                </w:p>
              </w:tc>
              <w:tc>
                <w:tcPr>
                  <w:tcW w:w="764" w:type="pct"/>
                  <w:vMerge w:val="continue"/>
                  <w:vAlign w:val="center"/>
                </w:tcPr>
                <w:p w14:paraId="453A9712">
                  <w:pPr>
                    <w:jc w:val="center"/>
                    <w:rPr>
                      <w:color w:val="000000" w:themeColor="text1"/>
                      <w:szCs w:val="21"/>
                      <w14:textFill>
                        <w14:solidFill>
                          <w14:schemeClr w14:val="tx1"/>
                        </w14:solidFill>
                      </w14:textFill>
                    </w:rPr>
                  </w:pPr>
                </w:p>
              </w:tc>
              <w:tc>
                <w:tcPr>
                  <w:tcW w:w="721" w:type="pct"/>
                  <w:vMerge w:val="continue"/>
                  <w:vAlign w:val="center"/>
                </w:tcPr>
                <w:p w14:paraId="27A608B5">
                  <w:pPr>
                    <w:jc w:val="center"/>
                    <w:rPr>
                      <w:color w:val="000000" w:themeColor="text1"/>
                      <w:szCs w:val="21"/>
                      <w14:textFill>
                        <w14:solidFill>
                          <w14:schemeClr w14:val="tx1"/>
                        </w14:solidFill>
                      </w14:textFill>
                    </w:rPr>
                  </w:pPr>
                </w:p>
              </w:tc>
              <w:tc>
                <w:tcPr>
                  <w:tcW w:w="855" w:type="pct"/>
                  <w:vMerge w:val="continue"/>
                  <w:vAlign w:val="center"/>
                </w:tcPr>
                <w:p w14:paraId="0E8042C7">
                  <w:pPr>
                    <w:jc w:val="center"/>
                    <w:rPr>
                      <w:color w:val="000000" w:themeColor="text1"/>
                      <w:szCs w:val="21"/>
                      <w14:textFill>
                        <w14:solidFill>
                          <w14:schemeClr w14:val="tx1"/>
                        </w14:solidFill>
                      </w14:textFill>
                    </w:rPr>
                  </w:pPr>
                </w:p>
              </w:tc>
              <w:tc>
                <w:tcPr>
                  <w:tcW w:w="754" w:type="pct"/>
                  <w:shd w:val="clear" w:color="auto" w:fill="auto"/>
                  <w:vAlign w:val="center"/>
                </w:tcPr>
                <w:p w14:paraId="4A4E49F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00E7D0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3C05957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4A002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1E051E6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764" w:type="pct"/>
                  <w:vMerge w:val="restart"/>
                  <w:vAlign w:val="center"/>
                </w:tcPr>
                <w:p w14:paraId="70A631C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摊晾拌曲</w:t>
                  </w:r>
                </w:p>
              </w:tc>
              <w:tc>
                <w:tcPr>
                  <w:tcW w:w="721" w:type="pct"/>
                  <w:vMerge w:val="restart"/>
                  <w:vAlign w:val="center"/>
                </w:tcPr>
                <w:p w14:paraId="1DB540B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摊晾拌曲</w:t>
                  </w:r>
                </w:p>
              </w:tc>
              <w:tc>
                <w:tcPr>
                  <w:tcW w:w="855" w:type="pct"/>
                  <w:vMerge w:val="restart"/>
                  <w:vAlign w:val="center"/>
                </w:tcPr>
                <w:p w14:paraId="53B76A6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食品级不锈钢晾床</w:t>
                  </w:r>
                </w:p>
              </w:tc>
              <w:tc>
                <w:tcPr>
                  <w:tcW w:w="754" w:type="pct"/>
                  <w:shd w:val="clear" w:color="auto" w:fill="auto"/>
                  <w:vAlign w:val="center"/>
                </w:tcPr>
                <w:p w14:paraId="4EB806A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设计参数</w:t>
                  </w:r>
                </w:p>
              </w:tc>
              <w:tc>
                <w:tcPr>
                  <w:tcW w:w="635" w:type="pct"/>
                  <w:shd w:val="clear" w:color="auto" w:fill="auto"/>
                  <w:vAlign w:val="center"/>
                </w:tcPr>
                <w:p w14:paraId="3361293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r>
                    <w:rPr>
                      <w:rFonts w:ascii="Arial" w:hAnsi="Arial" w:cs="Arial"/>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w:t>
                  </w:r>
                  <w:r>
                    <w:rPr>
                      <w:rFonts w:ascii="Arial" w:hAnsi="Arial" w:cs="Arial"/>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w:t>
                  </w:r>
                </w:p>
              </w:tc>
              <w:tc>
                <w:tcPr>
                  <w:tcW w:w="926" w:type="pct"/>
                  <w:shd w:val="clear" w:color="auto" w:fill="auto"/>
                  <w:vAlign w:val="center"/>
                </w:tcPr>
                <w:p w14:paraId="13EB43E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/台</w:t>
                  </w:r>
                </w:p>
              </w:tc>
            </w:tr>
            <w:tr w14:paraId="12C8E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B3C7F89">
                  <w:pPr>
                    <w:jc w:val="center"/>
                    <w:rPr>
                      <w:color w:val="000000" w:themeColor="text1"/>
                      <w:szCs w:val="21"/>
                      <w14:textFill>
                        <w14:solidFill>
                          <w14:schemeClr w14:val="tx1"/>
                        </w14:solidFill>
                      </w14:textFill>
                    </w:rPr>
                  </w:pPr>
                </w:p>
              </w:tc>
              <w:tc>
                <w:tcPr>
                  <w:tcW w:w="764" w:type="pct"/>
                  <w:vMerge w:val="continue"/>
                  <w:vAlign w:val="center"/>
                </w:tcPr>
                <w:p w14:paraId="46336F3C">
                  <w:pPr>
                    <w:jc w:val="center"/>
                    <w:rPr>
                      <w:color w:val="000000" w:themeColor="text1"/>
                      <w:szCs w:val="21"/>
                      <w14:textFill>
                        <w14:solidFill>
                          <w14:schemeClr w14:val="tx1"/>
                        </w14:solidFill>
                      </w14:textFill>
                    </w:rPr>
                  </w:pPr>
                </w:p>
              </w:tc>
              <w:tc>
                <w:tcPr>
                  <w:tcW w:w="721" w:type="pct"/>
                  <w:vMerge w:val="continue"/>
                  <w:vAlign w:val="center"/>
                </w:tcPr>
                <w:p w14:paraId="7485735C">
                  <w:pPr>
                    <w:jc w:val="center"/>
                    <w:rPr>
                      <w:color w:val="000000" w:themeColor="text1"/>
                      <w:szCs w:val="21"/>
                      <w14:textFill>
                        <w14:solidFill>
                          <w14:schemeClr w14:val="tx1"/>
                        </w14:solidFill>
                      </w14:textFill>
                    </w:rPr>
                  </w:pPr>
                </w:p>
              </w:tc>
              <w:tc>
                <w:tcPr>
                  <w:tcW w:w="855" w:type="pct"/>
                  <w:vMerge w:val="continue"/>
                  <w:vAlign w:val="center"/>
                </w:tcPr>
                <w:p w14:paraId="69A92365">
                  <w:pPr>
                    <w:jc w:val="center"/>
                    <w:rPr>
                      <w:color w:val="000000" w:themeColor="text1"/>
                      <w:szCs w:val="21"/>
                      <w14:textFill>
                        <w14:solidFill>
                          <w14:schemeClr w14:val="tx1"/>
                        </w14:solidFill>
                      </w14:textFill>
                    </w:rPr>
                  </w:pPr>
                </w:p>
              </w:tc>
              <w:tc>
                <w:tcPr>
                  <w:tcW w:w="754" w:type="pct"/>
                  <w:shd w:val="clear" w:color="auto" w:fill="auto"/>
                  <w:vAlign w:val="center"/>
                </w:tcPr>
                <w:p w14:paraId="075B6C2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76CCB3E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26D5D07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5E958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FE6DA7C">
                  <w:pPr>
                    <w:jc w:val="center"/>
                    <w:rPr>
                      <w:color w:val="000000" w:themeColor="text1"/>
                      <w:szCs w:val="21"/>
                      <w14:textFill>
                        <w14:solidFill>
                          <w14:schemeClr w14:val="tx1"/>
                        </w14:solidFill>
                      </w14:textFill>
                    </w:rPr>
                  </w:pPr>
                </w:p>
              </w:tc>
              <w:tc>
                <w:tcPr>
                  <w:tcW w:w="764" w:type="pct"/>
                  <w:vMerge w:val="continue"/>
                  <w:vAlign w:val="center"/>
                </w:tcPr>
                <w:p w14:paraId="4BCA7664">
                  <w:pPr>
                    <w:jc w:val="center"/>
                    <w:rPr>
                      <w:color w:val="000000" w:themeColor="text1"/>
                      <w:szCs w:val="21"/>
                      <w14:textFill>
                        <w14:solidFill>
                          <w14:schemeClr w14:val="tx1"/>
                        </w14:solidFill>
                      </w14:textFill>
                    </w:rPr>
                  </w:pPr>
                </w:p>
              </w:tc>
              <w:tc>
                <w:tcPr>
                  <w:tcW w:w="721" w:type="pct"/>
                  <w:vMerge w:val="continue"/>
                  <w:vAlign w:val="center"/>
                </w:tcPr>
                <w:p w14:paraId="7B28110F">
                  <w:pPr>
                    <w:jc w:val="center"/>
                    <w:rPr>
                      <w:color w:val="000000" w:themeColor="text1"/>
                      <w:szCs w:val="21"/>
                      <w14:textFill>
                        <w14:solidFill>
                          <w14:schemeClr w14:val="tx1"/>
                        </w14:solidFill>
                      </w14:textFill>
                    </w:rPr>
                  </w:pPr>
                </w:p>
              </w:tc>
              <w:tc>
                <w:tcPr>
                  <w:tcW w:w="855" w:type="pct"/>
                  <w:vMerge w:val="restart"/>
                  <w:vAlign w:val="center"/>
                </w:tcPr>
                <w:p w14:paraId="42A4850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温度计</w:t>
                  </w:r>
                </w:p>
              </w:tc>
              <w:tc>
                <w:tcPr>
                  <w:tcW w:w="754" w:type="pct"/>
                  <w:shd w:val="clear" w:color="auto" w:fill="auto"/>
                  <w:vAlign w:val="center"/>
                </w:tcPr>
                <w:p w14:paraId="090D34F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设计参数</w:t>
                  </w:r>
                </w:p>
              </w:tc>
              <w:tc>
                <w:tcPr>
                  <w:tcW w:w="635" w:type="pct"/>
                  <w:vAlign w:val="center"/>
                </w:tcPr>
                <w:p w14:paraId="70414E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0-100</w:t>
                  </w:r>
                </w:p>
              </w:tc>
              <w:tc>
                <w:tcPr>
                  <w:tcW w:w="926" w:type="pct"/>
                  <w:vAlign w:val="center"/>
                </w:tcPr>
                <w:p w14:paraId="5A89A0E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r w14:paraId="1AF8A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EF15925">
                  <w:pPr>
                    <w:jc w:val="center"/>
                    <w:rPr>
                      <w:color w:val="000000" w:themeColor="text1"/>
                      <w:szCs w:val="21"/>
                      <w14:textFill>
                        <w14:solidFill>
                          <w14:schemeClr w14:val="tx1"/>
                        </w14:solidFill>
                      </w14:textFill>
                    </w:rPr>
                  </w:pPr>
                </w:p>
              </w:tc>
              <w:tc>
                <w:tcPr>
                  <w:tcW w:w="764" w:type="pct"/>
                  <w:vMerge w:val="continue"/>
                  <w:vAlign w:val="center"/>
                </w:tcPr>
                <w:p w14:paraId="4A8BBACE">
                  <w:pPr>
                    <w:jc w:val="center"/>
                    <w:rPr>
                      <w:color w:val="000000" w:themeColor="text1"/>
                      <w:szCs w:val="21"/>
                      <w14:textFill>
                        <w14:solidFill>
                          <w14:schemeClr w14:val="tx1"/>
                        </w14:solidFill>
                      </w14:textFill>
                    </w:rPr>
                  </w:pPr>
                </w:p>
              </w:tc>
              <w:tc>
                <w:tcPr>
                  <w:tcW w:w="721" w:type="pct"/>
                  <w:vMerge w:val="continue"/>
                  <w:vAlign w:val="center"/>
                </w:tcPr>
                <w:p w14:paraId="2DBF5884">
                  <w:pPr>
                    <w:jc w:val="center"/>
                    <w:rPr>
                      <w:color w:val="000000" w:themeColor="text1"/>
                      <w:szCs w:val="21"/>
                      <w14:textFill>
                        <w14:solidFill>
                          <w14:schemeClr w14:val="tx1"/>
                        </w14:solidFill>
                      </w14:textFill>
                    </w:rPr>
                  </w:pPr>
                </w:p>
              </w:tc>
              <w:tc>
                <w:tcPr>
                  <w:tcW w:w="855" w:type="pct"/>
                  <w:vMerge w:val="continue"/>
                  <w:vAlign w:val="center"/>
                </w:tcPr>
                <w:p w14:paraId="753E44A0">
                  <w:pPr>
                    <w:jc w:val="center"/>
                    <w:rPr>
                      <w:color w:val="000000" w:themeColor="text1"/>
                      <w:szCs w:val="21"/>
                      <w14:textFill>
                        <w14:solidFill>
                          <w14:schemeClr w14:val="tx1"/>
                        </w14:solidFill>
                      </w14:textFill>
                    </w:rPr>
                  </w:pPr>
                </w:p>
              </w:tc>
              <w:tc>
                <w:tcPr>
                  <w:tcW w:w="754" w:type="pct"/>
                  <w:shd w:val="clear" w:color="auto" w:fill="auto"/>
                  <w:vAlign w:val="center"/>
                </w:tcPr>
                <w:p w14:paraId="2A5EC12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vAlign w:val="center"/>
                </w:tcPr>
                <w:p w14:paraId="4509155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vAlign w:val="center"/>
                </w:tcPr>
                <w:p w14:paraId="3FAF9E9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7FA14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2ABE114">
                  <w:pPr>
                    <w:jc w:val="center"/>
                    <w:rPr>
                      <w:color w:val="000000" w:themeColor="text1"/>
                      <w:szCs w:val="21"/>
                      <w14:textFill>
                        <w14:solidFill>
                          <w14:schemeClr w14:val="tx1"/>
                        </w14:solidFill>
                      </w14:textFill>
                    </w:rPr>
                  </w:pPr>
                </w:p>
              </w:tc>
              <w:tc>
                <w:tcPr>
                  <w:tcW w:w="764" w:type="pct"/>
                  <w:vMerge w:val="continue"/>
                  <w:vAlign w:val="center"/>
                </w:tcPr>
                <w:p w14:paraId="63D04505">
                  <w:pPr>
                    <w:jc w:val="center"/>
                    <w:rPr>
                      <w:color w:val="000000" w:themeColor="text1"/>
                      <w:szCs w:val="21"/>
                      <w14:textFill>
                        <w14:solidFill>
                          <w14:schemeClr w14:val="tx1"/>
                        </w14:solidFill>
                      </w14:textFill>
                    </w:rPr>
                  </w:pPr>
                </w:p>
              </w:tc>
              <w:tc>
                <w:tcPr>
                  <w:tcW w:w="721" w:type="pct"/>
                  <w:vMerge w:val="continue"/>
                  <w:vAlign w:val="center"/>
                </w:tcPr>
                <w:p w14:paraId="550EE882">
                  <w:pPr>
                    <w:jc w:val="center"/>
                    <w:rPr>
                      <w:color w:val="000000" w:themeColor="text1"/>
                      <w:szCs w:val="21"/>
                      <w14:textFill>
                        <w14:solidFill>
                          <w14:schemeClr w14:val="tx1"/>
                        </w14:solidFill>
                      </w14:textFill>
                    </w:rPr>
                  </w:pPr>
                </w:p>
              </w:tc>
              <w:tc>
                <w:tcPr>
                  <w:tcW w:w="855" w:type="pct"/>
                  <w:vAlign w:val="center"/>
                </w:tcPr>
                <w:p w14:paraId="7618A44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风扇</w:t>
                  </w:r>
                </w:p>
              </w:tc>
              <w:tc>
                <w:tcPr>
                  <w:tcW w:w="754" w:type="pct"/>
                  <w:shd w:val="clear" w:color="auto" w:fill="auto"/>
                  <w:vAlign w:val="center"/>
                </w:tcPr>
                <w:p w14:paraId="4EFE8D5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B11BB6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49F1345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084A3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7638FF8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764" w:type="pct"/>
                  <w:vMerge w:val="restart"/>
                  <w:vAlign w:val="center"/>
                </w:tcPr>
                <w:p w14:paraId="2FA8B95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陈</w:t>
                  </w:r>
                  <w:r>
                    <w:rPr>
                      <w:rFonts w:hint="eastAsia"/>
                      <w:color w:val="000000" w:themeColor="text1"/>
                      <w:szCs w:val="21"/>
                      <w14:textFill>
                        <w14:solidFill>
                          <w14:schemeClr w14:val="tx1"/>
                        </w14:solidFill>
                      </w14:textFill>
                    </w:rPr>
                    <w:t>化</w:t>
                  </w:r>
                </w:p>
              </w:tc>
              <w:tc>
                <w:tcPr>
                  <w:tcW w:w="721" w:type="pct"/>
                  <w:vMerge w:val="restart"/>
                  <w:vAlign w:val="center"/>
                </w:tcPr>
                <w:p w14:paraId="20D2077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陈</w:t>
                  </w:r>
                  <w:r>
                    <w:rPr>
                      <w:rFonts w:hint="eastAsia"/>
                      <w:color w:val="000000" w:themeColor="text1"/>
                      <w:szCs w:val="21"/>
                      <w14:textFill>
                        <w14:solidFill>
                          <w14:schemeClr w14:val="tx1"/>
                        </w14:solidFill>
                      </w14:textFill>
                    </w:rPr>
                    <w:t>化</w:t>
                  </w:r>
                </w:p>
              </w:tc>
              <w:tc>
                <w:tcPr>
                  <w:tcW w:w="855" w:type="pct"/>
                  <w:vMerge w:val="restart"/>
                  <w:vAlign w:val="center"/>
                </w:tcPr>
                <w:p w14:paraId="3E5AA77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储酒罐</w:t>
                  </w:r>
                </w:p>
              </w:tc>
              <w:tc>
                <w:tcPr>
                  <w:tcW w:w="754" w:type="pct"/>
                  <w:shd w:val="clear" w:color="auto" w:fill="auto"/>
                  <w:vAlign w:val="center"/>
                </w:tcPr>
                <w:p w14:paraId="1828CFA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337CF68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926" w:type="pct"/>
                  <w:shd w:val="clear" w:color="auto" w:fill="auto"/>
                  <w:vAlign w:val="center"/>
                </w:tcPr>
                <w:p w14:paraId="4CA8577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5A24C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A17F485">
                  <w:pPr>
                    <w:jc w:val="center"/>
                    <w:rPr>
                      <w:color w:val="000000" w:themeColor="text1"/>
                      <w:szCs w:val="21"/>
                      <w14:textFill>
                        <w14:solidFill>
                          <w14:schemeClr w14:val="tx1"/>
                        </w14:solidFill>
                      </w14:textFill>
                    </w:rPr>
                  </w:pPr>
                </w:p>
              </w:tc>
              <w:tc>
                <w:tcPr>
                  <w:tcW w:w="764" w:type="pct"/>
                  <w:vMerge w:val="continue"/>
                  <w:vAlign w:val="center"/>
                </w:tcPr>
                <w:p w14:paraId="617DC9D5">
                  <w:pPr>
                    <w:jc w:val="center"/>
                    <w:rPr>
                      <w:color w:val="000000" w:themeColor="text1"/>
                      <w:szCs w:val="21"/>
                      <w14:textFill>
                        <w14:solidFill>
                          <w14:schemeClr w14:val="tx1"/>
                        </w14:solidFill>
                      </w14:textFill>
                    </w:rPr>
                  </w:pPr>
                </w:p>
              </w:tc>
              <w:tc>
                <w:tcPr>
                  <w:tcW w:w="721" w:type="pct"/>
                  <w:vMerge w:val="continue"/>
                  <w:vAlign w:val="center"/>
                </w:tcPr>
                <w:p w14:paraId="7ACC4B9E">
                  <w:pPr>
                    <w:jc w:val="center"/>
                    <w:rPr>
                      <w:color w:val="000000" w:themeColor="text1"/>
                      <w:szCs w:val="21"/>
                      <w14:textFill>
                        <w14:solidFill>
                          <w14:schemeClr w14:val="tx1"/>
                        </w14:solidFill>
                      </w14:textFill>
                    </w:rPr>
                  </w:pPr>
                </w:p>
              </w:tc>
              <w:tc>
                <w:tcPr>
                  <w:tcW w:w="855" w:type="pct"/>
                  <w:vMerge w:val="continue"/>
                  <w:vAlign w:val="center"/>
                </w:tcPr>
                <w:p w14:paraId="625D9024">
                  <w:pPr>
                    <w:jc w:val="center"/>
                    <w:rPr>
                      <w:color w:val="000000" w:themeColor="text1"/>
                      <w:szCs w:val="21"/>
                      <w14:textFill>
                        <w14:solidFill>
                          <w14:schemeClr w14:val="tx1"/>
                        </w14:solidFill>
                      </w14:textFill>
                    </w:rPr>
                  </w:pPr>
                </w:p>
              </w:tc>
              <w:tc>
                <w:tcPr>
                  <w:tcW w:w="754" w:type="pct"/>
                  <w:shd w:val="clear" w:color="auto" w:fill="auto"/>
                  <w:vAlign w:val="center"/>
                </w:tcPr>
                <w:p w14:paraId="7E486D2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1E53028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926" w:type="pct"/>
                  <w:shd w:val="clear" w:color="auto" w:fill="auto"/>
                  <w:vAlign w:val="center"/>
                </w:tcPr>
                <w:p w14:paraId="2A99F77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28307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03563EB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p>
              </w:tc>
              <w:tc>
                <w:tcPr>
                  <w:tcW w:w="764" w:type="pct"/>
                  <w:vMerge w:val="restart"/>
                  <w:vAlign w:val="center"/>
                </w:tcPr>
                <w:p w14:paraId="59241B7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过滤</w:t>
                  </w:r>
                </w:p>
              </w:tc>
              <w:tc>
                <w:tcPr>
                  <w:tcW w:w="721" w:type="pct"/>
                  <w:vMerge w:val="restart"/>
                  <w:vAlign w:val="center"/>
                </w:tcPr>
                <w:p w14:paraId="3C4198C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过滤</w:t>
                  </w:r>
                </w:p>
              </w:tc>
              <w:tc>
                <w:tcPr>
                  <w:tcW w:w="855" w:type="pct"/>
                  <w:vMerge w:val="restart"/>
                  <w:vAlign w:val="center"/>
                </w:tcPr>
                <w:p w14:paraId="0722F2E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过滤机</w:t>
                  </w:r>
                </w:p>
              </w:tc>
              <w:tc>
                <w:tcPr>
                  <w:tcW w:w="754" w:type="pct"/>
                  <w:shd w:val="clear" w:color="auto" w:fill="auto"/>
                  <w:vAlign w:val="center"/>
                </w:tcPr>
                <w:p w14:paraId="3069426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vAlign w:val="center"/>
                </w:tcPr>
                <w:p w14:paraId="007FE28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6.0</w:t>
                  </w:r>
                </w:p>
              </w:tc>
              <w:tc>
                <w:tcPr>
                  <w:tcW w:w="926" w:type="pct"/>
                  <w:vAlign w:val="center"/>
                </w:tcPr>
                <w:p w14:paraId="3250077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71131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354CF0C">
                  <w:pPr>
                    <w:jc w:val="center"/>
                    <w:rPr>
                      <w:color w:val="000000" w:themeColor="text1"/>
                      <w:szCs w:val="21"/>
                      <w14:textFill>
                        <w14:solidFill>
                          <w14:schemeClr w14:val="tx1"/>
                        </w14:solidFill>
                      </w14:textFill>
                    </w:rPr>
                  </w:pPr>
                </w:p>
              </w:tc>
              <w:tc>
                <w:tcPr>
                  <w:tcW w:w="764" w:type="pct"/>
                  <w:vMerge w:val="continue"/>
                  <w:vAlign w:val="center"/>
                </w:tcPr>
                <w:p w14:paraId="2E610449">
                  <w:pPr>
                    <w:jc w:val="center"/>
                    <w:rPr>
                      <w:color w:val="000000" w:themeColor="text1"/>
                      <w:szCs w:val="21"/>
                      <w14:textFill>
                        <w14:solidFill>
                          <w14:schemeClr w14:val="tx1"/>
                        </w14:solidFill>
                      </w14:textFill>
                    </w:rPr>
                  </w:pPr>
                </w:p>
              </w:tc>
              <w:tc>
                <w:tcPr>
                  <w:tcW w:w="721" w:type="pct"/>
                  <w:vMerge w:val="continue"/>
                  <w:vAlign w:val="center"/>
                </w:tcPr>
                <w:p w14:paraId="7AAD4E9C">
                  <w:pPr>
                    <w:jc w:val="center"/>
                    <w:rPr>
                      <w:color w:val="000000" w:themeColor="text1"/>
                      <w:szCs w:val="21"/>
                      <w14:textFill>
                        <w14:solidFill>
                          <w14:schemeClr w14:val="tx1"/>
                        </w14:solidFill>
                      </w14:textFill>
                    </w:rPr>
                  </w:pPr>
                </w:p>
              </w:tc>
              <w:tc>
                <w:tcPr>
                  <w:tcW w:w="855" w:type="pct"/>
                  <w:vMerge w:val="continue"/>
                  <w:vAlign w:val="center"/>
                </w:tcPr>
                <w:p w14:paraId="265ABEBD">
                  <w:pPr>
                    <w:jc w:val="center"/>
                    <w:rPr>
                      <w:color w:val="000000" w:themeColor="text1"/>
                      <w:szCs w:val="21"/>
                      <w14:textFill>
                        <w14:solidFill>
                          <w14:schemeClr w14:val="tx1"/>
                        </w14:solidFill>
                      </w14:textFill>
                    </w:rPr>
                  </w:pPr>
                </w:p>
              </w:tc>
              <w:tc>
                <w:tcPr>
                  <w:tcW w:w="754" w:type="pct"/>
                  <w:shd w:val="clear" w:color="auto" w:fill="auto"/>
                  <w:vAlign w:val="center"/>
                </w:tcPr>
                <w:p w14:paraId="759E53A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vAlign w:val="center"/>
                </w:tcPr>
                <w:p w14:paraId="0BDDDED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926" w:type="pct"/>
                  <w:vAlign w:val="center"/>
                </w:tcPr>
                <w:p w14:paraId="5DD7C3E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4080A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4C29846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764" w:type="pct"/>
                  <w:vMerge w:val="restart"/>
                  <w:vAlign w:val="center"/>
                </w:tcPr>
                <w:p w14:paraId="508717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勾调</w:t>
                  </w:r>
                </w:p>
              </w:tc>
              <w:tc>
                <w:tcPr>
                  <w:tcW w:w="721" w:type="pct"/>
                  <w:vMerge w:val="restart"/>
                  <w:vAlign w:val="center"/>
                </w:tcPr>
                <w:p w14:paraId="1D5A370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勾调</w:t>
                  </w:r>
                </w:p>
              </w:tc>
              <w:tc>
                <w:tcPr>
                  <w:tcW w:w="855" w:type="pct"/>
                  <w:vMerge w:val="restart"/>
                  <w:vAlign w:val="center"/>
                </w:tcPr>
                <w:p w14:paraId="761F687D">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不锈钢储酒罐</w:t>
                  </w:r>
                </w:p>
                <w:p w14:paraId="770D2139">
                  <w:pPr>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备用18个</w:t>
                  </w:r>
                  <w:r>
                    <w:rPr>
                      <w:rFonts w:hint="eastAsia"/>
                      <w:color w:val="000000" w:themeColor="text1"/>
                      <w:szCs w:val="21"/>
                      <w14:textFill>
                        <w14:solidFill>
                          <w14:schemeClr w14:val="tx1"/>
                        </w14:solidFill>
                      </w14:textFill>
                    </w:rPr>
                    <w:t>20T储酒罐</w:t>
                  </w:r>
                  <w:r>
                    <w:rPr>
                      <w:rFonts w:hint="eastAsia"/>
                      <w:color w:val="000000" w:themeColor="text1"/>
                      <w:szCs w:val="21"/>
                      <w:lang w:eastAsia="zh-CN"/>
                      <w14:textFill>
                        <w14:solidFill>
                          <w14:schemeClr w14:val="tx1"/>
                        </w14:solidFill>
                      </w14:textFill>
                    </w:rPr>
                    <w:t>）</w:t>
                  </w:r>
                </w:p>
              </w:tc>
              <w:tc>
                <w:tcPr>
                  <w:tcW w:w="754" w:type="pct"/>
                  <w:shd w:val="clear" w:color="auto" w:fill="auto"/>
                  <w:vAlign w:val="center"/>
                </w:tcPr>
                <w:p w14:paraId="1CE68B4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1AAE3CD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4631B77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T/个</w:t>
                  </w:r>
                </w:p>
              </w:tc>
            </w:tr>
            <w:tr w14:paraId="79188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3CF4A42">
                  <w:pPr>
                    <w:jc w:val="center"/>
                    <w:rPr>
                      <w:color w:val="000000" w:themeColor="text1"/>
                      <w:szCs w:val="21"/>
                      <w14:textFill>
                        <w14:solidFill>
                          <w14:schemeClr w14:val="tx1"/>
                        </w14:solidFill>
                      </w14:textFill>
                    </w:rPr>
                  </w:pPr>
                </w:p>
              </w:tc>
              <w:tc>
                <w:tcPr>
                  <w:tcW w:w="764" w:type="pct"/>
                  <w:vMerge w:val="continue"/>
                  <w:vAlign w:val="center"/>
                </w:tcPr>
                <w:p w14:paraId="0D120A62">
                  <w:pPr>
                    <w:jc w:val="center"/>
                    <w:rPr>
                      <w:color w:val="000000" w:themeColor="text1"/>
                      <w:szCs w:val="21"/>
                      <w14:textFill>
                        <w14:solidFill>
                          <w14:schemeClr w14:val="tx1"/>
                        </w14:solidFill>
                      </w14:textFill>
                    </w:rPr>
                  </w:pPr>
                </w:p>
              </w:tc>
              <w:tc>
                <w:tcPr>
                  <w:tcW w:w="721" w:type="pct"/>
                  <w:vMerge w:val="continue"/>
                  <w:vAlign w:val="center"/>
                </w:tcPr>
                <w:p w14:paraId="20DF2070">
                  <w:pPr>
                    <w:jc w:val="center"/>
                    <w:rPr>
                      <w:color w:val="000000" w:themeColor="text1"/>
                      <w:szCs w:val="21"/>
                      <w14:textFill>
                        <w14:solidFill>
                          <w14:schemeClr w14:val="tx1"/>
                        </w14:solidFill>
                      </w14:textFill>
                    </w:rPr>
                  </w:pPr>
                </w:p>
              </w:tc>
              <w:tc>
                <w:tcPr>
                  <w:tcW w:w="855" w:type="pct"/>
                  <w:vMerge w:val="continue"/>
                  <w:vAlign w:val="center"/>
                </w:tcPr>
                <w:p w14:paraId="7B4222C2">
                  <w:pPr>
                    <w:jc w:val="center"/>
                    <w:rPr>
                      <w:color w:val="000000" w:themeColor="text1"/>
                      <w:szCs w:val="21"/>
                      <w14:textFill>
                        <w14:solidFill>
                          <w14:schemeClr w14:val="tx1"/>
                        </w14:solidFill>
                      </w14:textFill>
                    </w:rPr>
                  </w:pPr>
                </w:p>
              </w:tc>
              <w:tc>
                <w:tcPr>
                  <w:tcW w:w="754" w:type="pct"/>
                  <w:shd w:val="clear" w:color="auto" w:fill="auto"/>
                  <w:vAlign w:val="center"/>
                </w:tcPr>
                <w:p w14:paraId="0E9AB87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B4A6DE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926" w:type="pct"/>
                  <w:shd w:val="clear" w:color="auto" w:fill="auto"/>
                  <w:vAlign w:val="center"/>
                </w:tcPr>
                <w:p w14:paraId="7CB3E11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34556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1100BF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w:t>
                  </w:r>
                </w:p>
              </w:tc>
              <w:tc>
                <w:tcPr>
                  <w:tcW w:w="764" w:type="pct"/>
                  <w:vMerge w:val="restart"/>
                  <w:vAlign w:val="center"/>
                </w:tcPr>
                <w:p w14:paraId="5C82077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洗瓶灌装</w:t>
                  </w:r>
                </w:p>
              </w:tc>
              <w:tc>
                <w:tcPr>
                  <w:tcW w:w="721" w:type="pct"/>
                  <w:vMerge w:val="restart"/>
                  <w:vAlign w:val="center"/>
                </w:tcPr>
                <w:p w14:paraId="132FAD0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洗瓶灌装</w:t>
                  </w:r>
                </w:p>
              </w:tc>
              <w:tc>
                <w:tcPr>
                  <w:tcW w:w="855" w:type="pct"/>
                  <w:vMerge w:val="restart"/>
                  <w:vAlign w:val="center"/>
                </w:tcPr>
                <w:p w14:paraId="46BE10B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灌装线</w:t>
                  </w:r>
                </w:p>
              </w:tc>
              <w:tc>
                <w:tcPr>
                  <w:tcW w:w="754" w:type="pct"/>
                  <w:shd w:val="clear" w:color="auto" w:fill="auto"/>
                  <w:vAlign w:val="center"/>
                </w:tcPr>
                <w:p w14:paraId="2DC6812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77397F7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19C3223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3D4A6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08853EAD">
                  <w:pPr>
                    <w:jc w:val="center"/>
                    <w:rPr>
                      <w:color w:val="000000" w:themeColor="text1"/>
                      <w:szCs w:val="21"/>
                      <w14:textFill>
                        <w14:solidFill>
                          <w14:schemeClr w14:val="tx1"/>
                        </w14:solidFill>
                      </w14:textFill>
                    </w:rPr>
                  </w:pPr>
                </w:p>
              </w:tc>
              <w:tc>
                <w:tcPr>
                  <w:tcW w:w="764" w:type="pct"/>
                  <w:vMerge w:val="continue"/>
                  <w:vAlign w:val="center"/>
                </w:tcPr>
                <w:p w14:paraId="3D37D08F">
                  <w:pPr>
                    <w:jc w:val="center"/>
                    <w:rPr>
                      <w:color w:val="000000" w:themeColor="text1"/>
                      <w:szCs w:val="21"/>
                      <w14:textFill>
                        <w14:solidFill>
                          <w14:schemeClr w14:val="tx1"/>
                        </w14:solidFill>
                      </w14:textFill>
                    </w:rPr>
                  </w:pPr>
                </w:p>
              </w:tc>
              <w:tc>
                <w:tcPr>
                  <w:tcW w:w="721" w:type="pct"/>
                  <w:vMerge w:val="continue"/>
                  <w:vAlign w:val="center"/>
                </w:tcPr>
                <w:p w14:paraId="1192EE02">
                  <w:pPr>
                    <w:jc w:val="center"/>
                    <w:rPr>
                      <w:color w:val="000000" w:themeColor="text1"/>
                      <w:szCs w:val="21"/>
                      <w14:textFill>
                        <w14:solidFill>
                          <w14:schemeClr w14:val="tx1"/>
                        </w14:solidFill>
                      </w14:textFill>
                    </w:rPr>
                  </w:pPr>
                </w:p>
              </w:tc>
              <w:tc>
                <w:tcPr>
                  <w:tcW w:w="855" w:type="pct"/>
                  <w:vMerge w:val="continue"/>
                  <w:vAlign w:val="center"/>
                </w:tcPr>
                <w:p w14:paraId="2687E765">
                  <w:pPr>
                    <w:jc w:val="center"/>
                    <w:rPr>
                      <w:color w:val="000000" w:themeColor="text1"/>
                      <w:szCs w:val="21"/>
                      <w14:textFill>
                        <w14:solidFill>
                          <w14:schemeClr w14:val="tx1"/>
                        </w14:solidFill>
                      </w14:textFill>
                    </w:rPr>
                  </w:pPr>
                </w:p>
              </w:tc>
              <w:tc>
                <w:tcPr>
                  <w:tcW w:w="754" w:type="pct"/>
                  <w:shd w:val="clear" w:color="auto" w:fill="auto"/>
                  <w:vAlign w:val="center"/>
                </w:tcPr>
                <w:p w14:paraId="5B8CF9E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18CEED3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926" w:type="pct"/>
                  <w:shd w:val="clear" w:color="auto" w:fill="auto"/>
                  <w:vAlign w:val="center"/>
                </w:tcPr>
                <w:p w14:paraId="0B93F17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480B6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4731AE6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764" w:type="pct"/>
                  <w:vMerge w:val="restart"/>
                  <w:vAlign w:val="center"/>
                </w:tcPr>
                <w:p w14:paraId="36342AC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w:t>
                  </w:r>
                </w:p>
              </w:tc>
              <w:tc>
                <w:tcPr>
                  <w:tcW w:w="721" w:type="pct"/>
                  <w:vMerge w:val="restart"/>
                  <w:vAlign w:val="center"/>
                </w:tcPr>
                <w:p w14:paraId="7255A65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贴标</w:t>
                  </w:r>
                </w:p>
              </w:tc>
              <w:tc>
                <w:tcPr>
                  <w:tcW w:w="855" w:type="pct"/>
                  <w:vMerge w:val="restart"/>
                  <w:vAlign w:val="center"/>
                </w:tcPr>
                <w:p w14:paraId="10CF799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全自动台式平面贴标机</w:t>
                  </w:r>
                </w:p>
              </w:tc>
              <w:tc>
                <w:tcPr>
                  <w:tcW w:w="754" w:type="pct"/>
                  <w:shd w:val="clear" w:color="auto" w:fill="auto"/>
                  <w:vAlign w:val="center"/>
                </w:tcPr>
                <w:p w14:paraId="1780D2E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7BD57D3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926" w:type="pct"/>
                  <w:shd w:val="clear" w:color="auto" w:fill="auto"/>
                  <w:vAlign w:val="center"/>
                </w:tcPr>
                <w:p w14:paraId="7CB0DE5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个/min</w:t>
                  </w:r>
                </w:p>
              </w:tc>
            </w:tr>
            <w:tr w14:paraId="65265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FBAB099">
                  <w:pPr>
                    <w:jc w:val="center"/>
                    <w:rPr>
                      <w:color w:val="000000" w:themeColor="text1"/>
                      <w:szCs w:val="21"/>
                      <w14:textFill>
                        <w14:solidFill>
                          <w14:schemeClr w14:val="tx1"/>
                        </w14:solidFill>
                      </w14:textFill>
                    </w:rPr>
                  </w:pPr>
                </w:p>
              </w:tc>
              <w:tc>
                <w:tcPr>
                  <w:tcW w:w="764" w:type="pct"/>
                  <w:vMerge w:val="continue"/>
                  <w:vAlign w:val="center"/>
                </w:tcPr>
                <w:p w14:paraId="22CC8F2E">
                  <w:pPr>
                    <w:jc w:val="center"/>
                    <w:rPr>
                      <w:color w:val="000000" w:themeColor="text1"/>
                      <w:szCs w:val="21"/>
                      <w14:textFill>
                        <w14:solidFill>
                          <w14:schemeClr w14:val="tx1"/>
                        </w14:solidFill>
                      </w14:textFill>
                    </w:rPr>
                  </w:pPr>
                </w:p>
              </w:tc>
              <w:tc>
                <w:tcPr>
                  <w:tcW w:w="721" w:type="pct"/>
                  <w:vMerge w:val="continue"/>
                  <w:vAlign w:val="center"/>
                </w:tcPr>
                <w:p w14:paraId="46451E1C">
                  <w:pPr>
                    <w:jc w:val="center"/>
                    <w:rPr>
                      <w:color w:val="000000" w:themeColor="text1"/>
                      <w:szCs w:val="21"/>
                      <w14:textFill>
                        <w14:solidFill>
                          <w14:schemeClr w14:val="tx1"/>
                        </w14:solidFill>
                      </w14:textFill>
                    </w:rPr>
                  </w:pPr>
                </w:p>
              </w:tc>
              <w:tc>
                <w:tcPr>
                  <w:tcW w:w="855" w:type="pct"/>
                  <w:vMerge w:val="continue"/>
                  <w:vAlign w:val="center"/>
                </w:tcPr>
                <w:p w14:paraId="4DBD4E21">
                  <w:pPr>
                    <w:jc w:val="center"/>
                    <w:rPr>
                      <w:color w:val="000000" w:themeColor="text1"/>
                      <w:szCs w:val="21"/>
                      <w14:textFill>
                        <w14:solidFill>
                          <w14:schemeClr w14:val="tx1"/>
                        </w14:solidFill>
                      </w14:textFill>
                    </w:rPr>
                  </w:pPr>
                </w:p>
              </w:tc>
              <w:tc>
                <w:tcPr>
                  <w:tcW w:w="754" w:type="pct"/>
                  <w:shd w:val="clear" w:color="auto" w:fill="auto"/>
                  <w:vAlign w:val="center"/>
                </w:tcPr>
                <w:p w14:paraId="1D87A8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5BC2474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926" w:type="pct"/>
                  <w:shd w:val="clear" w:color="auto" w:fill="auto"/>
                  <w:vAlign w:val="center"/>
                </w:tcPr>
                <w:p w14:paraId="180874D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29E03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6C3FCA7">
                  <w:pPr>
                    <w:jc w:val="center"/>
                    <w:rPr>
                      <w:color w:val="000000" w:themeColor="text1"/>
                      <w:szCs w:val="21"/>
                      <w14:textFill>
                        <w14:solidFill>
                          <w14:schemeClr w14:val="tx1"/>
                        </w14:solidFill>
                      </w14:textFill>
                    </w:rPr>
                  </w:pPr>
                </w:p>
              </w:tc>
              <w:tc>
                <w:tcPr>
                  <w:tcW w:w="764" w:type="pct"/>
                  <w:vMerge w:val="continue"/>
                  <w:vAlign w:val="center"/>
                </w:tcPr>
                <w:p w14:paraId="42F9E48E">
                  <w:pPr>
                    <w:jc w:val="center"/>
                    <w:rPr>
                      <w:color w:val="000000" w:themeColor="text1"/>
                      <w:szCs w:val="21"/>
                      <w14:textFill>
                        <w14:solidFill>
                          <w14:schemeClr w14:val="tx1"/>
                        </w14:solidFill>
                      </w14:textFill>
                    </w:rPr>
                  </w:pPr>
                </w:p>
              </w:tc>
              <w:tc>
                <w:tcPr>
                  <w:tcW w:w="721" w:type="pct"/>
                  <w:vMerge w:val="restart"/>
                  <w:vAlign w:val="center"/>
                </w:tcPr>
                <w:p w14:paraId="388A1DD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喷码</w:t>
                  </w:r>
                </w:p>
              </w:tc>
              <w:tc>
                <w:tcPr>
                  <w:tcW w:w="855" w:type="pct"/>
                  <w:vMerge w:val="restart"/>
                  <w:vAlign w:val="center"/>
                </w:tcPr>
                <w:p w14:paraId="7BFBAD2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激光喷码机</w:t>
                  </w:r>
                </w:p>
              </w:tc>
              <w:tc>
                <w:tcPr>
                  <w:tcW w:w="754" w:type="pct"/>
                  <w:shd w:val="clear" w:color="auto" w:fill="auto"/>
                  <w:vAlign w:val="center"/>
                </w:tcPr>
                <w:p w14:paraId="38A2B14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0C2B481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180</w:t>
                  </w:r>
                </w:p>
              </w:tc>
              <w:tc>
                <w:tcPr>
                  <w:tcW w:w="926" w:type="pct"/>
                  <w:shd w:val="clear" w:color="auto" w:fill="auto"/>
                  <w:vAlign w:val="center"/>
                </w:tcPr>
                <w:p w14:paraId="58BFD27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m/min</w:t>
                  </w:r>
                </w:p>
              </w:tc>
            </w:tr>
            <w:tr w14:paraId="62F74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100FFCDC">
                  <w:pPr>
                    <w:jc w:val="center"/>
                    <w:rPr>
                      <w:color w:val="000000" w:themeColor="text1"/>
                      <w:szCs w:val="21"/>
                      <w14:textFill>
                        <w14:solidFill>
                          <w14:schemeClr w14:val="tx1"/>
                        </w14:solidFill>
                      </w14:textFill>
                    </w:rPr>
                  </w:pPr>
                </w:p>
              </w:tc>
              <w:tc>
                <w:tcPr>
                  <w:tcW w:w="764" w:type="pct"/>
                  <w:vMerge w:val="continue"/>
                  <w:vAlign w:val="center"/>
                </w:tcPr>
                <w:p w14:paraId="215C4CFB">
                  <w:pPr>
                    <w:jc w:val="center"/>
                    <w:rPr>
                      <w:color w:val="000000" w:themeColor="text1"/>
                      <w:szCs w:val="21"/>
                      <w14:textFill>
                        <w14:solidFill>
                          <w14:schemeClr w14:val="tx1"/>
                        </w14:solidFill>
                      </w14:textFill>
                    </w:rPr>
                  </w:pPr>
                </w:p>
              </w:tc>
              <w:tc>
                <w:tcPr>
                  <w:tcW w:w="721" w:type="pct"/>
                  <w:vMerge w:val="continue"/>
                  <w:vAlign w:val="center"/>
                </w:tcPr>
                <w:p w14:paraId="2CD42FC2">
                  <w:pPr>
                    <w:jc w:val="center"/>
                    <w:rPr>
                      <w:color w:val="000000" w:themeColor="text1"/>
                      <w:szCs w:val="21"/>
                      <w14:textFill>
                        <w14:solidFill>
                          <w14:schemeClr w14:val="tx1"/>
                        </w14:solidFill>
                      </w14:textFill>
                    </w:rPr>
                  </w:pPr>
                </w:p>
              </w:tc>
              <w:tc>
                <w:tcPr>
                  <w:tcW w:w="855" w:type="pct"/>
                  <w:vMerge w:val="continue"/>
                  <w:vAlign w:val="center"/>
                </w:tcPr>
                <w:p w14:paraId="3DF4B544">
                  <w:pPr>
                    <w:jc w:val="center"/>
                    <w:rPr>
                      <w:color w:val="000000" w:themeColor="text1"/>
                      <w:szCs w:val="21"/>
                      <w14:textFill>
                        <w14:solidFill>
                          <w14:schemeClr w14:val="tx1"/>
                        </w14:solidFill>
                      </w14:textFill>
                    </w:rPr>
                  </w:pPr>
                </w:p>
              </w:tc>
              <w:tc>
                <w:tcPr>
                  <w:tcW w:w="754" w:type="pct"/>
                  <w:shd w:val="clear" w:color="auto" w:fill="auto"/>
                  <w:vAlign w:val="center"/>
                </w:tcPr>
                <w:p w14:paraId="11DE86C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EBFF7C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652172C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1129B1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27D7E6E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黄酒生产线</w:t>
                  </w:r>
                </w:p>
              </w:tc>
            </w:tr>
            <w:tr w14:paraId="654D4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7D871A9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vAlign w:val="center"/>
                </w:tcPr>
                <w:p w14:paraId="2A43928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浸米</w:t>
                  </w:r>
                </w:p>
              </w:tc>
              <w:tc>
                <w:tcPr>
                  <w:tcW w:w="721" w:type="pct"/>
                  <w:vMerge w:val="restart"/>
                  <w:vAlign w:val="center"/>
                </w:tcPr>
                <w:p w14:paraId="7CB9AE7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浸米</w:t>
                  </w:r>
                </w:p>
              </w:tc>
              <w:tc>
                <w:tcPr>
                  <w:tcW w:w="855" w:type="pct"/>
                  <w:vMerge w:val="restart"/>
                  <w:vAlign w:val="center"/>
                </w:tcPr>
                <w:p w14:paraId="6FE0EA5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浸米缸</w:t>
                  </w:r>
                </w:p>
              </w:tc>
              <w:tc>
                <w:tcPr>
                  <w:tcW w:w="754" w:type="pct"/>
                  <w:shd w:val="clear" w:color="auto" w:fill="auto"/>
                  <w:vAlign w:val="center"/>
                </w:tcPr>
                <w:p w14:paraId="5502921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设计参数</w:t>
                  </w:r>
                </w:p>
              </w:tc>
              <w:tc>
                <w:tcPr>
                  <w:tcW w:w="635" w:type="pct"/>
                  <w:shd w:val="clear" w:color="auto" w:fill="auto"/>
                  <w:vAlign w:val="center"/>
                </w:tcPr>
                <w:p w14:paraId="3F8C568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926" w:type="pct"/>
                  <w:shd w:val="clear" w:color="auto" w:fill="auto"/>
                  <w:vAlign w:val="center"/>
                </w:tcPr>
                <w:p w14:paraId="2F9A1A9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kg/个</w:t>
                  </w:r>
                </w:p>
              </w:tc>
            </w:tr>
            <w:tr w14:paraId="65969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E3F9417">
                  <w:pPr>
                    <w:jc w:val="center"/>
                    <w:rPr>
                      <w:color w:val="000000" w:themeColor="text1"/>
                      <w:szCs w:val="21"/>
                      <w14:textFill>
                        <w14:solidFill>
                          <w14:schemeClr w14:val="tx1"/>
                        </w14:solidFill>
                      </w14:textFill>
                    </w:rPr>
                  </w:pPr>
                </w:p>
              </w:tc>
              <w:tc>
                <w:tcPr>
                  <w:tcW w:w="764" w:type="pct"/>
                  <w:vMerge w:val="continue"/>
                  <w:vAlign w:val="center"/>
                </w:tcPr>
                <w:p w14:paraId="0C6B9A17">
                  <w:pPr>
                    <w:jc w:val="center"/>
                    <w:rPr>
                      <w:color w:val="000000" w:themeColor="text1"/>
                      <w:szCs w:val="21"/>
                      <w14:textFill>
                        <w14:solidFill>
                          <w14:schemeClr w14:val="tx1"/>
                        </w14:solidFill>
                      </w14:textFill>
                    </w:rPr>
                  </w:pPr>
                </w:p>
              </w:tc>
              <w:tc>
                <w:tcPr>
                  <w:tcW w:w="721" w:type="pct"/>
                  <w:vMerge w:val="continue"/>
                  <w:vAlign w:val="center"/>
                </w:tcPr>
                <w:p w14:paraId="1184B3C2">
                  <w:pPr>
                    <w:jc w:val="center"/>
                    <w:rPr>
                      <w:color w:val="000000" w:themeColor="text1"/>
                      <w:szCs w:val="21"/>
                      <w14:textFill>
                        <w14:solidFill>
                          <w14:schemeClr w14:val="tx1"/>
                        </w14:solidFill>
                      </w14:textFill>
                    </w:rPr>
                  </w:pPr>
                </w:p>
              </w:tc>
              <w:tc>
                <w:tcPr>
                  <w:tcW w:w="855" w:type="pct"/>
                  <w:vMerge w:val="continue"/>
                  <w:vAlign w:val="center"/>
                </w:tcPr>
                <w:p w14:paraId="23AA2EE8">
                  <w:pPr>
                    <w:jc w:val="center"/>
                    <w:rPr>
                      <w:color w:val="000000" w:themeColor="text1"/>
                      <w:szCs w:val="21"/>
                      <w14:textFill>
                        <w14:solidFill>
                          <w14:schemeClr w14:val="tx1"/>
                        </w14:solidFill>
                      </w14:textFill>
                    </w:rPr>
                  </w:pPr>
                </w:p>
              </w:tc>
              <w:tc>
                <w:tcPr>
                  <w:tcW w:w="754" w:type="pct"/>
                  <w:shd w:val="clear" w:color="auto" w:fill="auto"/>
                  <w:vAlign w:val="center"/>
                </w:tcPr>
                <w:p w14:paraId="6A81C82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6386273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2CC6E05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570DE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0FE2844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Merge w:val="restart"/>
                  <w:vAlign w:val="center"/>
                </w:tcPr>
                <w:p w14:paraId="680CF13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蒸煮</w:t>
                  </w:r>
                </w:p>
              </w:tc>
              <w:tc>
                <w:tcPr>
                  <w:tcW w:w="721" w:type="pct"/>
                  <w:vMerge w:val="restart"/>
                  <w:vAlign w:val="center"/>
                </w:tcPr>
                <w:p w14:paraId="176AD83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蒸煮</w:t>
                  </w:r>
                </w:p>
              </w:tc>
              <w:tc>
                <w:tcPr>
                  <w:tcW w:w="855" w:type="pct"/>
                  <w:vMerge w:val="restart"/>
                  <w:shd w:val="clear" w:color="auto" w:fill="auto"/>
                  <w:vAlign w:val="center"/>
                </w:tcPr>
                <w:p w14:paraId="6F3B929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蒸米机</w:t>
                  </w:r>
                </w:p>
              </w:tc>
              <w:tc>
                <w:tcPr>
                  <w:tcW w:w="754" w:type="pct"/>
                  <w:shd w:val="clear" w:color="auto" w:fill="auto"/>
                  <w:vAlign w:val="center"/>
                </w:tcPr>
                <w:p w14:paraId="30D0FF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4D291BE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w:t>
                  </w:r>
                </w:p>
              </w:tc>
              <w:tc>
                <w:tcPr>
                  <w:tcW w:w="926" w:type="pct"/>
                  <w:shd w:val="clear" w:color="auto" w:fill="auto"/>
                  <w:vAlign w:val="center"/>
                </w:tcPr>
                <w:p w14:paraId="69CD1D4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738A9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38BCFAF">
                  <w:pPr>
                    <w:jc w:val="center"/>
                    <w:rPr>
                      <w:color w:val="000000" w:themeColor="text1"/>
                      <w:szCs w:val="21"/>
                      <w14:textFill>
                        <w14:solidFill>
                          <w14:schemeClr w14:val="tx1"/>
                        </w14:solidFill>
                      </w14:textFill>
                    </w:rPr>
                  </w:pPr>
                </w:p>
              </w:tc>
              <w:tc>
                <w:tcPr>
                  <w:tcW w:w="764" w:type="pct"/>
                  <w:vMerge w:val="continue"/>
                  <w:vAlign w:val="center"/>
                </w:tcPr>
                <w:p w14:paraId="01B8A824">
                  <w:pPr>
                    <w:jc w:val="center"/>
                    <w:rPr>
                      <w:color w:val="000000" w:themeColor="text1"/>
                      <w:szCs w:val="21"/>
                      <w14:textFill>
                        <w14:solidFill>
                          <w14:schemeClr w14:val="tx1"/>
                        </w14:solidFill>
                      </w14:textFill>
                    </w:rPr>
                  </w:pPr>
                </w:p>
              </w:tc>
              <w:tc>
                <w:tcPr>
                  <w:tcW w:w="721" w:type="pct"/>
                  <w:vMerge w:val="continue"/>
                  <w:vAlign w:val="center"/>
                </w:tcPr>
                <w:p w14:paraId="7797B32D">
                  <w:pPr>
                    <w:jc w:val="center"/>
                    <w:rPr>
                      <w:color w:val="000000" w:themeColor="text1"/>
                      <w:szCs w:val="21"/>
                      <w14:textFill>
                        <w14:solidFill>
                          <w14:schemeClr w14:val="tx1"/>
                        </w14:solidFill>
                      </w14:textFill>
                    </w:rPr>
                  </w:pPr>
                </w:p>
              </w:tc>
              <w:tc>
                <w:tcPr>
                  <w:tcW w:w="855" w:type="pct"/>
                  <w:vMerge w:val="continue"/>
                  <w:shd w:val="clear" w:color="auto" w:fill="auto"/>
                  <w:vAlign w:val="center"/>
                </w:tcPr>
                <w:p w14:paraId="39E425C3">
                  <w:pPr>
                    <w:jc w:val="center"/>
                    <w:rPr>
                      <w:color w:val="000000" w:themeColor="text1"/>
                      <w:szCs w:val="21"/>
                      <w14:textFill>
                        <w14:solidFill>
                          <w14:schemeClr w14:val="tx1"/>
                        </w14:solidFill>
                      </w14:textFill>
                    </w:rPr>
                  </w:pPr>
                </w:p>
              </w:tc>
              <w:tc>
                <w:tcPr>
                  <w:tcW w:w="754" w:type="pct"/>
                  <w:shd w:val="clear" w:color="auto" w:fill="auto"/>
                  <w:vAlign w:val="center"/>
                </w:tcPr>
                <w:p w14:paraId="34D4B39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9ABCA6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926" w:type="pct"/>
                  <w:shd w:val="clear" w:color="auto" w:fill="auto"/>
                  <w:vAlign w:val="center"/>
                </w:tcPr>
                <w:p w14:paraId="1BE1BA9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57E0D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0B05901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64" w:type="pct"/>
                  <w:vMerge w:val="restart"/>
                  <w:vAlign w:val="center"/>
                </w:tcPr>
                <w:p w14:paraId="192656A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摊晾拌曲</w:t>
                  </w:r>
                </w:p>
              </w:tc>
              <w:tc>
                <w:tcPr>
                  <w:tcW w:w="721" w:type="pct"/>
                  <w:vMerge w:val="restart"/>
                  <w:vAlign w:val="center"/>
                </w:tcPr>
                <w:p w14:paraId="619053E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摊晾拌曲</w:t>
                  </w:r>
                </w:p>
              </w:tc>
              <w:tc>
                <w:tcPr>
                  <w:tcW w:w="855" w:type="pct"/>
                  <w:vMerge w:val="restart"/>
                  <w:vAlign w:val="center"/>
                </w:tcPr>
                <w:p w14:paraId="17A4212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食品级不锈钢晾床</w:t>
                  </w:r>
                </w:p>
              </w:tc>
              <w:tc>
                <w:tcPr>
                  <w:tcW w:w="754" w:type="pct"/>
                  <w:shd w:val="clear" w:color="auto" w:fill="auto"/>
                  <w:vAlign w:val="center"/>
                </w:tcPr>
                <w:p w14:paraId="28E40BE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设计参数</w:t>
                  </w:r>
                </w:p>
              </w:tc>
              <w:tc>
                <w:tcPr>
                  <w:tcW w:w="635" w:type="pct"/>
                  <w:shd w:val="clear" w:color="auto" w:fill="auto"/>
                  <w:vAlign w:val="center"/>
                </w:tcPr>
                <w:p w14:paraId="2AC5EC9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rFonts w:ascii="Arial" w:hAnsi="Arial" w:cs="Arial"/>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w:t>
                  </w:r>
                  <w:r>
                    <w:rPr>
                      <w:rFonts w:ascii="Arial" w:hAnsi="Arial" w:cs="Arial"/>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w:t>
                  </w:r>
                </w:p>
              </w:tc>
              <w:tc>
                <w:tcPr>
                  <w:tcW w:w="926" w:type="pct"/>
                  <w:shd w:val="clear" w:color="auto" w:fill="auto"/>
                  <w:vAlign w:val="center"/>
                </w:tcPr>
                <w:p w14:paraId="18F5F89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/台</w:t>
                  </w:r>
                </w:p>
              </w:tc>
            </w:tr>
            <w:tr w14:paraId="42919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9B66C2B">
                  <w:pPr>
                    <w:jc w:val="center"/>
                    <w:rPr>
                      <w:color w:val="000000" w:themeColor="text1"/>
                      <w:szCs w:val="21"/>
                      <w14:textFill>
                        <w14:solidFill>
                          <w14:schemeClr w14:val="tx1"/>
                        </w14:solidFill>
                      </w14:textFill>
                    </w:rPr>
                  </w:pPr>
                </w:p>
              </w:tc>
              <w:tc>
                <w:tcPr>
                  <w:tcW w:w="764" w:type="pct"/>
                  <w:vMerge w:val="continue"/>
                  <w:vAlign w:val="center"/>
                </w:tcPr>
                <w:p w14:paraId="5D1898BE">
                  <w:pPr>
                    <w:jc w:val="center"/>
                    <w:rPr>
                      <w:color w:val="000000" w:themeColor="text1"/>
                      <w:szCs w:val="21"/>
                      <w14:textFill>
                        <w14:solidFill>
                          <w14:schemeClr w14:val="tx1"/>
                        </w14:solidFill>
                      </w14:textFill>
                    </w:rPr>
                  </w:pPr>
                </w:p>
              </w:tc>
              <w:tc>
                <w:tcPr>
                  <w:tcW w:w="721" w:type="pct"/>
                  <w:vMerge w:val="continue"/>
                  <w:vAlign w:val="center"/>
                </w:tcPr>
                <w:p w14:paraId="6C31D237">
                  <w:pPr>
                    <w:jc w:val="center"/>
                    <w:rPr>
                      <w:color w:val="000000" w:themeColor="text1"/>
                      <w:szCs w:val="21"/>
                      <w14:textFill>
                        <w14:solidFill>
                          <w14:schemeClr w14:val="tx1"/>
                        </w14:solidFill>
                      </w14:textFill>
                    </w:rPr>
                  </w:pPr>
                </w:p>
              </w:tc>
              <w:tc>
                <w:tcPr>
                  <w:tcW w:w="855" w:type="pct"/>
                  <w:vMerge w:val="continue"/>
                  <w:vAlign w:val="center"/>
                </w:tcPr>
                <w:p w14:paraId="57EE5241">
                  <w:pPr>
                    <w:jc w:val="center"/>
                    <w:rPr>
                      <w:color w:val="000000" w:themeColor="text1"/>
                      <w:szCs w:val="21"/>
                      <w14:textFill>
                        <w14:solidFill>
                          <w14:schemeClr w14:val="tx1"/>
                        </w14:solidFill>
                      </w14:textFill>
                    </w:rPr>
                  </w:pPr>
                </w:p>
              </w:tc>
              <w:tc>
                <w:tcPr>
                  <w:tcW w:w="754" w:type="pct"/>
                  <w:shd w:val="clear" w:color="auto" w:fill="auto"/>
                  <w:vAlign w:val="center"/>
                </w:tcPr>
                <w:p w14:paraId="0B465E8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69722A7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1BC436D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4B67F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05DEBD48">
                  <w:pPr>
                    <w:jc w:val="center"/>
                    <w:rPr>
                      <w:color w:val="000000" w:themeColor="text1"/>
                      <w:szCs w:val="21"/>
                      <w14:textFill>
                        <w14:solidFill>
                          <w14:schemeClr w14:val="tx1"/>
                        </w14:solidFill>
                      </w14:textFill>
                    </w:rPr>
                  </w:pPr>
                </w:p>
              </w:tc>
              <w:tc>
                <w:tcPr>
                  <w:tcW w:w="764" w:type="pct"/>
                  <w:vMerge w:val="continue"/>
                  <w:vAlign w:val="center"/>
                </w:tcPr>
                <w:p w14:paraId="18A2CCDA">
                  <w:pPr>
                    <w:jc w:val="center"/>
                    <w:rPr>
                      <w:color w:val="000000" w:themeColor="text1"/>
                      <w:szCs w:val="21"/>
                      <w14:textFill>
                        <w14:solidFill>
                          <w14:schemeClr w14:val="tx1"/>
                        </w14:solidFill>
                      </w14:textFill>
                    </w:rPr>
                  </w:pPr>
                </w:p>
              </w:tc>
              <w:tc>
                <w:tcPr>
                  <w:tcW w:w="721" w:type="pct"/>
                  <w:vMerge w:val="continue"/>
                  <w:vAlign w:val="center"/>
                </w:tcPr>
                <w:p w14:paraId="2359A8E0">
                  <w:pPr>
                    <w:jc w:val="center"/>
                    <w:rPr>
                      <w:color w:val="000000" w:themeColor="text1"/>
                      <w:szCs w:val="21"/>
                      <w14:textFill>
                        <w14:solidFill>
                          <w14:schemeClr w14:val="tx1"/>
                        </w14:solidFill>
                      </w14:textFill>
                    </w:rPr>
                  </w:pPr>
                </w:p>
              </w:tc>
              <w:tc>
                <w:tcPr>
                  <w:tcW w:w="855" w:type="pct"/>
                  <w:shd w:val="clear" w:color="auto" w:fill="auto"/>
                  <w:vAlign w:val="center"/>
                </w:tcPr>
                <w:p w14:paraId="23058A0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风扇</w:t>
                  </w:r>
                </w:p>
              </w:tc>
              <w:tc>
                <w:tcPr>
                  <w:tcW w:w="754" w:type="pct"/>
                  <w:shd w:val="clear" w:color="auto" w:fill="auto"/>
                  <w:vAlign w:val="center"/>
                </w:tcPr>
                <w:p w14:paraId="0F22F8D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7F068F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1F1C75A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67AA4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41BB023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764" w:type="pct"/>
                  <w:vMerge w:val="restart"/>
                  <w:vAlign w:val="center"/>
                </w:tcPr>
                <w:p w14:paraId="375CE52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w:t>
                  </w:r>
                </w:p>
              </w:tc>
              <w:tc>
                <w:tcPr>
                  <w:tcW w:w="721" w:type="pct"/>
                  <w:vMerge w:val="restart"/>
                  <w:vAlign w:val="center"/>
                </w:tcPr>
                <w:p w14:paraId="2EF9A01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w:t>
                  </w:r>
                </w:p>
              </w:tc>
              <w:tc>
                <w:tcPr>
                  <w:tcW w:w="855" w:type="pct"/>
                  <w:vMerge w:val="restart"/>
                  <w:vAlign w:val="center"/>
                </w:tcPr>
                <w:p w14:paraId="2E83233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发酵缸</w:t>
                  </w:r>
                </w:p>
              </w:tc>
              <w:tc>
                <w:tcPr>
                  <w:tcW w:w="754" w:type="pct"/>
                  <w:shd w:val="clear" w:color="auto" w:fill="auto"/>
                  <w:vAlign w:val="center"/>
                </w:tcPr>
                <w:p w14:paraId="1CDF6A3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1CA1D11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926" w:type="pct"/>
                  <w:shd w:val="clear" w:color="auto" w:fill="auto"/>
                  <w:vAlign w:val="center"/>
                </w:tcPr>
                <w:p w14:paraId="23B602A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5E18E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0C7D7A5">
                  <w:pPr>
                    <w:jc w:val="center"/>
                    <w:rPr>
                      <w:color w:val="000000" w:themeColor="text1"/>
                      <w:szCs w:val="21"/>
                      <w14:textFill>
                        <w14:solidFill>
                          <w14:schemeClr w14:val="tx1"/>
                        </w14:solidFill>
                      </w14:textFill>
                    </w:rPr>
                  </w:pPr>
                </w:p>
              </w:tc>
              <w:tc>
                <w:tcPr>
                  <w:tcW w:w="764" w:type="pct"/>
                  <w:vMerge w:val="continue"/>
                  <w:vAlign w:val="center"/>
                </w:tcPr>
                <w:p w14:paraId="4905AE6C">
                  <w:pPr>
                    <w:jc w:val="center"/>
                    <w:rPr>
                      <w:color w:val="000000" w:themeColor="text1"/>
                      <w:szCs w:val="21"/>
                      <w14:textFill>
                        <w14:solidFill>
                          <w14:schemeClr w14:val="tx1"/>
                        </w14:solidFill>
                      </w14:textFill>
                    </w:rPr>
                  </w:pPr>
                </w:p>
              </w:tc>
              <w:tc>
                <w:tcPr>
                  <w:tcW w:w="721" w:type="pct"/>
                  <w:vMerge w:val="continue"/>
                  <w:vAlign w:val="center"/>
                </w:tcPr>
                <w:p w14:paraId="2F615BC1">
                  <w:pPr>
                    <w:jc w:val="center"/>
                    <w:rPr>
                      <w:color w:val="000000" w:themeColor="text1"/>
                      <w:szCs w:val="21"/>
                      <w14:textFill>
                        <w14:solidFill>
                          <w14:schemeClr w14:val="tx1"/>
                        </w14:solidFill>
                      </w14:textFill>
                    </w:rPr>
                  </w:pPr>
                </w:p>
              </w:tc>
              <w:tc>
                <w:tcPr>
                  <w:tcW w:w="855" w:type="pct"/>
                  <w:vMerge w:val="continue"/>
                  <w:vAlign w:val="center"/>
                </w:tcPr>
                <w:p w14:paraId="1D43C553">
                  <w:pPr>
                    <w:jc w:val="center"/>
                    <w:rPr>
                      <w:color w:val="000000" w:themeColor="text1"/>
                      <w:szCs w:val="21"/>
                      <w14:textFill>
                        <w14:solidFill>
                          <w14:schemeClr w14:val="tx1"/>
                        </w14:solidFill>
                      </w14:textFill>
                    </w:rPr>
                  </w:pPr>
                </w:p>
              </w:tc>
              <w:tc>
                <w:tcPr>
                  <w:tcW w:w="754" w:type="pct"/>
                  <w:shd w:val="clear" w:color="auto" w:fill="auto"/>
                  <w:vAlign w:val="center"/>
                </w:tcPr>
                <w:p w14:paraId="7A56337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4676F1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926" w:type="pct"/>
                  <w:shd w:val="clear" w:color="auto" w:fill="auto"/>
                  <w:vAlign w:val="center"/>
                </w:tcPr>
                <w:p w14:paraId="75208F4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51870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08A4F0A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764" w:type="pct"/>
                  <w:vMerge w:val="restart"/>
                  <w:vAlign w:val="center"/>
                </w:tcPr>
                <w:p w14:paraId="0377718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压滤</w:t>
                  </w:r>
                </w:p>
              </w:tc>
              <w:tc>
                <w:tcPr>
                  <w:tcW w:w="721" w:type="pct"/>
                  <w:vMerge w:val="restart"/>
                  <w:vAlign w:val="center"/>
                </w:tcPr>
                <w:p w14:paraId="7160BF1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压滤</w:t>
                  </w:r>
                </w:p>
              </w:tc>
              <w:tc>
                <w:tcPr>
                  <w:tcW w:w="855" w:type="pct"/>
                  <w:vMerge w:val="restart"/>
                  <w:vAlign w:val="center"/>
                </w:tcPr>
                <w:p w14:paraId="1379E58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压滤机</w:t>
                  </w:r>
                </w:p>
              </w:tc>
              <w:tc>
                <w:tcPr>
                  <w:tcW w:w="754" w:type="pct"/>
                  <w:shd w:val="clear" w:color="auto" w:fill="auto"/>
                  <w:vAlign w:val="center"/>
                </w:tcPr>
                <w:p w14:paraId="52AF567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1544653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926" w:type="pct"/>
                  <w:shd w:val="clear" w:color="auto" w:fill="auto"/>
                  <w:vAlign w:val="center"/>
                </w:tcPr>
                <w:p w14:paraId="29C67CD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6E137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D1ECCD7">
                  <w:pPr>
                    <w:jc w:val="center"/>
                    <w:rPr>
                      <w:color w:val="000000" w:themeColor="text1"/>
                      <w:szCs w:val="21"/>
                      <w14:textFill>
                        <w14:solidFill>
                          <w14:schemeClr w14:val="tx1"/>
                        </w14:solidFill>
                      </w14:textFill>
                    </w:rPr>
                  </w:pPr>
                </w:p>
              </w:tc>
              <w:tc>
                <w:tcPr>
                  <w:tcW w:w="764" w:type="pct"/>
                  <w:vMerge w:val="continue"/>
                  <w:vAlign w:val="center"/>
                </w:tcPr>
                <w:p w14:paraId="16966415">
                  <w:pPr>
                    <w:jc w:val="center"/>
                    <w:rPr>
                      <w:color w:val="000000" w:themeColor="text1"/>
                      <w:szCs w:val="21"/>
                      <w14:textFill>
                        <w14:solidFill>
                          <w14:schemeClr w14:val="tx1"/>
                        </w14:solidFill>
                      </w14:textFill>
                    </w:rPr>
                  </w:pPr>
                </w:p>
              </w:tc>
              <w:tc>
                <w:tcPr>
                  <w:tcW w:w="721" w:type="pct"/>
                  <w:vMerge w:val="continue"/>
                  <w:vAlign w:val="center"/>
                </w:tcPr>
                <w:p w14:paraId="1BBCD6E1">
                  <w:pPr>
                    <w:jc w:val="center"/>
                    <w:rPr>
                      <w:color w:val="000000" w:themeColor="text1"/>
                      <w:szCs w:val="21"/>
                      <w14:textFill>
                        <w14:solidFill>
                          <w14:schemeClr w14:val="tx1"/>
                        </w14:solidFill>
                      </w14:textFill>
                    </w:rPr>
                  </w:pPr>
                </w:p>
              </w:tc>
              <w:tc>
                <w:tcPr>
                  <w:tcW w:w="855" w:type="pct"/>
                  <w:vMerge w:val="continue"/>
                  <w:vAlign w:val="center"/>
                </w:tcPr>
                <w:p w14:paraId="401D875D">
                  <w:pPr>
                    <w:jc w:val="center"/>
                    <w:rPr>
                      <w:color w:val="000000" w:themeColor="text1"/>
                      <w:szCs w:val="21"/>
                      <w14:textFill>
                        <w14:solidFill>
                          <w14:schemeClr w14:val="tx1"/>
                        </w14:solidFill>
                      </w14:textFill>
                    </w:rPr>
                  </w:pPr>
                </w:p>
              </w:tc>
              <w:tc>
                <w:tcPr>
                  <w:tcW w:w="754" w:type="pct"/>
                  <w:shd w:val="clear" w:color="auto" w:fill="auto"/>
                  <w:vAlign w:val="center"/>
                </w:tcPr>
                <w:p w14:paraId="5C80273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660DB2B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926" w:type="pct"/>
                  <w:shd w:val="clear" w:color="auto" w:fill="auto"/>
                  <w:vAlign w:val="center"/>
                </w:tcPr>
                <w:p w14:paraId="16A226D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47EC1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044858D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764" w:type="pct"/>
                  <w:vMerge w:val="restart"/>
                  <w:shd w:val="clear" w:color="auto" w:fill="auto"/>
                  <w:vAlign w:val="center"/>
                </w:tcPr>
                <w:p w14:paraId="3CBFB15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陈</w:t>
                  </w:r>
                  <w:r>
                    <w:rPr>
                      <w:rFonts w:hint="eastAsia"/>
                      <w:color w:val="000000" w:themeColor="text1"/>
                      <w:szCs w:val="21"/>
                      <w14:textFill>
                        <w14:solidFill>
                          <w14:schemeClr w14:val="tx1"/>
                        </w14:solidFill>
                      </w14:textFill>
                    </w:rPr>
                    <w:t>化</w:t>
                  </w:r>
                </w:p>
              </w:tc>
              <w:tc>
                <w:tcPr>
                  <w:tcW w:w="721" w:type="pct"/>
                  <w:vMerge w:val="restart"/>
                  <w:shd w:val="clear" w:color="auto" w:fill="auto"/>
                  <w:vAlign w:val="center"/>
                </w:tcPr>
                <w:p w14:paraId="1CBA29A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陈</w:t>
                  </w:r>
                  <w:r>
                    <w:rPr>
                      <w:rFonts w:hint="eastAsia"/>
                      <w:color w:val="000000" w:themeColor="text1"/>
                      <w:szCs w:val="21"/>
                      <w14:textFill>
                        <w14:solidFill>
                          <w14:schemeClr w14:val="tx1"/>
                        </w14:solidFill>
                      </w14:textFill>
                    </w:rPr>
                    <w:t>化</w:t>
                  </w:r>
                </w:p>
              </w:tc>
              <w:tc>
                <w:tcPr>
                  <w:tcW w:w="855" w:type="pct"/>
                  <w:vMerge w:val="restart"/>
                  <w:shd w:val="clear" w:color="auto" w:fill="auto"/>
                  <w:vAlign w:val="center"/>
                </w:tcPr>
                <w:p w14:paraId="5E07383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储酒罐</w:t>
                  </w:r>
                </w:p>
              </w:tc>
              <w:tc>
                <w:tcPr>
                  <w:tcW w:w="754" w:type="pct"/>
                  <w:shd w:val="clear" w:color="auto" w:fill="auto"/>
                  <w:vAlign w:val="center"/>
                </w:tcPr>
                <w:p w14:paraId="2B073A6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21E4E4B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0.25</w:t>
                  </w:r>
                </w:p>
              </w:tc>
              <w:tc>
                <w:tcPr>
                  <w:tcW w:w="926" w:type="pct"/>
                  <w:shd w:val="clear" w:color="auto" w:fill="auto"/>
                  <w:vAlign w:val="center"/>
                </w:tcPr>
                <w:p w14:paraId="251667B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33DAE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AFAF9D9">
                  <w:pPr>
                    <w:jc w:val="center"/>
                    <w:rPr>
                      <w:color w:val="000000" w:themeColor="text1"/>
                      <w:szCs w:val="21"/>
                      <w14:textFill>
                        <w14:solidFill>
                          <w14:schemeClr w14:val="tx1"/>
                        </w14:solidFill>
                      </w14:textFill>
                    </w:rPr>
                  </w:pPr>
                </w:p>
              </w:tc>
              <w:tc>
                <w:tcPr>
                  <w:tcW w:w="764" w:type="pct"/>
                  <w:vMerge w:val="continue"/>
                  <w:vAlign w:val="center"/>
                </w:tcPr>
                <w:p w14:paraId="4FC4820E">
                  <w:pPr>
                    <w:jc w:val="center"/>
                    <w:rPr>
                      <w:color w:val="000000" w:themeColor="text1"/>
                      <w:szCs w:val="21"/>
                      <w14:textFill>
                        <w14:solidFill>
                          <w14:schemeClr w14:val="tx1"/>
                        </w14:solidFill>
                      </w14:textFill>
                    </w:rPr>
                  </w:pPr>
                </w:p>
              </w:tc>
              <w:tc>
                <w:tcPr>
                  <w:tcW w:w="721" w:type="pct"/>
                  <w:vMerge w:val="continue"/>
                  <w:vAlign w:val="center"/>
                </w:tcPr>
                <w:p w14:paraId="73C0F6EB">
                  <w:pPr>
                    <w:jc w:val="center"/>
                    <w:rPr>
                      <w:color w:val="000000" w:themeColor="text1"/>
                      <w:szCs w:val="21"/>
                      <w14:textFill>
                        <w14:solidFill>
                          <w14:schemeClr w14:val="tx1"/>
                        </w14:solidFill>
                      </w14:textFill>
                    </w:rPr>
                  </w:pPr>
                </w:p>
              </w:tc>
              <w:tc>
                <w:tcPr>
                  <w:tcW w:w="855" w:type="pct"/>
                  <w:vMerge w:val="continue"/>
                  <w:vAlign w:val="center"/>
                </w:tcPr>
                <w:p w14:paraId="423F5D6B">
                  <w:pPr>
                    <w:jc w:val="center"/>
                    <w:rPr>
                      <w:color w:val="000000" w:themeColor="text1"/>
                      <w:szCs w:val="21"/>
                      <w14:textFill>
                        <w14:solidFill>
                          <w14:schemeClr w14:val="tx1"/>
                        </w14:solidFill>
                      </w14:textFill>
                    </w:rPr>
                  </w:pPr>
                </w:p>
              </w:tc>
              <w:tc>
                <w:tcPr>
                  <w:tcW w:w="754" w:type="pct"/>
                  <w:shd w:val="clear" w:color="auto" w:fill="auto"/>
                  <w:vAlign w:val="center"/>
                </w:tcPr>
                <w:p w14:paraId="40248E4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519668B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926" w:type="pct"/>
                  <w:shd w:val="clear" w:color="auto" w:fill="auto"/>
                  <w:vAlign w:val="center"/>
                </w:tcPr>
                <w:p w14:paraId="1000B9A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4879E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526CDCD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p>
              </w:tc>
              <w:tc>
                <w:tcPr>
                  <w:tcW w:w="764" w:type="pct"/>
                  <w:vMerge w:val="restart"/>
                  <w:vAlign w:val="center"/>
                </w:tcPr>
                <w:p w14:paraId="2161017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过滤</w:t>
                  </w:r>
                </w:p>
              </w:tc>
              <w:tc>
                <w:tcPr>
                  <w:tcW w:w="721" w:type="pct"/>
                  <w:vMerge w:val="restart"/>
                  <w:vAlign w:val="center"/>
                </w:tcPr>
                <w:p w14:paraId="5F360A4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过滤</w:t>
                  </w:r>
                </w:p>
              </w:tc>
              <w:tc>
                <w:tcPr>
                  <w:tcW w:w="855" w:type="pct"/>
                  <w:vMerge w:val="restart"/>
                  <w:vAlign w:val="center"/>
                </w:tcPr>
                <w:p w14:paraId="3A4F11F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过滤机</w:t>
                  </w:r>
                </w:p>
              </w:tc>
              <w:tc>
                <w:tcPr>
                  <w:tcW w:w="754" w:type="pct"/>
                  <w:shd w:val="clear" w:color="auto" w:fill="auto"/>
                  <w:vAlign w:val="center"/>
                </w:tcPr>
                <w:p w14:paraId="7DE6B94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741CCC7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926" w:type="pct"/>
                  <w:shd w:val="clear" w:color="auto" w:fill="auto"/>
                  <w:vAlign w:val="center"/>
                </w:tcPr>
                <w:p w14:paraId="5CD66BA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4BE78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76F7C05">
                  <w:pPr>
                    <w:jc w:val="center"/>
                    <w:rPr>
                      <w:color w:val="000000" w:themeColor="text1"/>
                      <w:szCs w:val="21"/>
                      <w14:textFill>
                        <w14:solidFill>
                          <w14:schemeClr w14:val="tx1"/>
                        </w14:solidFill>
                      </w14:textFill>
                    </w:rPr>
                  </w:pPr>
                </w:p>
              </w:tc>
              <w:tc>
                <w:tcPr>
                  <w:tcW w:w="764" w:type="pct"/>
                  <w:vMerge w:val="continue"/>
                  <w:vAlign w:val="center"/>
                </w:tcPr>
                <w:p w14:paraId="4A4B0301">
                  <w:pPr>
                    <w:jc w:val="center"/>
                    <w:rPr>
                      <w:color w:val="000000" w:themeColor="text1"/>
                      <w:szCs w:val="21"/>
                      <w14:textFill>
                        <w14:solidFill>
                          <w14:schemeClr w14:val="tx1"/>
                        </w14:solidFill>
                      </w14:textFill>
                    </w:rPr>
                  </w:pPr>
                </w:p>
              </w:tc>
              <w:tc>
                <w:tcPr>
                  <w:tcW w:w="721" w:type="pct"/>
                  <w:vMerge w:val="continue"/>
                  <w:vAlign w:val="center"/>
                </w:tcPr>
                <w:p w14:paraId="4536EAA3">
                  <w:pPr>
                    <w:jc w:val="center"/>
                    <w:rPr>
                      <w:color w:val="000000" w:themeColor="text1"/>
                      <w:szCs w:val="21"/>
                      <w14:textFill>
                        <w14:solidFill>
                          <w14:schemeClr w14:val="tx1"/>
                        </w14:solidFill>
                      </w14:textFill>
                    </w:rPr>
                  </w:pPr>
                </w:p>
              </w:tc>
              <w:tc>
                <w:tcPr>
                  <w:tcW w:w="855" w:type="pct"/>
                  <w:vMerge w:val="continue"/>
                  <w:vAlign w:val="center"/>
                </w:tcPr>
                <w:p w14:paraId="3DA76BCC">
                  <w:pPr>
                    <w:jc w:val="center"/>
                    <w:rPr>
                      <w:color w:val="000000" w:themeColor="text1"/>
                      <w:szCs w:val="21"/>
                      <w14:textFill>
                        <w14:solidFill>
                          <w14:schemeClr w14:val="tx1"/>
                        </w14:solidFill>
                      </w14:textFill>
                    </w:rPr>
                  </w:pPr>
                </w:p>
              </w:tc>
              <w:tc>
                <w:tcPr>
                  <w:tcW w:w="754" w:type="pct"/>
                  <w:shd w:val="clear" w:color="auto" w:fill="auto"/>
                  <w:vAlign w:val="center"/>
                </w:tcPr>
                <w:p w14:paraId="46A0B34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317924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749EF14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33414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5D473FF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764" w:type="pct"/>
                  <w:vMerge w:val="restart"/>
                  <w:vAlign w:val="center"/>
                </w:tcPr>
                <w:p w14:paraId="23A2A69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冷冻</w:t>
                  </w:r>
                </w:p>
              </w:tc>
              <w:tc>
                <w:tcPr>
                  <w:tcW w:w="721" w:type="pct"/>
                  <w:vMerge w:val="restart"/>
                  <w:vAlign w:val="center"/>
                </w:tcPr>
                <w:p w14:paraId="23F2B0A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冷冻</w:t>
                  </w:r>
                </w:p>
              </w:tc>
              <w:tc>
                <w:tcPr>
                  <w:tcW w:w="855" w:type="pct"/>
                  <w:vMerge w:val="restart"/>
                  <w:vAlign w:val="center"/>
                </w:tcPr>
                <w:p w14:paraId="745BAAF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冷冻罐</w:t>
                  </w:r>
                </w:p>
              </w:tc>
              <w:tc>
                <w:tcPr>
                  <w:tcW w:w="754" w:type="pct"/>
                  <w:shd w:val="clear" w:color="auto" w:fill="auto"/>
                  <w:vAlign w:val="center"/>
                </w:tcPr>
                <w:p w14:paraId="5D9D239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6BFADB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w:t>
                  </w:r>
                </w:p>
              </w:tc>
              <w:tc>
                <w:tcPr>
                  <w:tcW w:w="926" w:type="pct"/>
                  <w:shd w:val="clear" w:color="auto" w:fill="auto"/>
                  <w:vAlign w:val="center"/>
                </w:tcPr>
                <w:p w14:paraId="222EF9E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3FEC6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9397FE7">
                  <w:pPr>
                    <w:jc w:val="center"/>
                    <w:rPr>
                      <w:color w:val="000000" w:themeColor="text1"/>
                      <w:szCs w:val="21"/>
                      <w14:textFill>
                        <w14:solidFill>
                          <w14:schemeClr w14:val="tx1"/>
                        </w14:solidFill>
                      </w14:textFill>
                    </w:rPr>
                  </w:pPr>
                </w:p>
              </w:tc>
              <w:tc>
                <w:tcPr>
                  <w:tcW w:w="764" w:type="pct"/>
                  <w:vMerge w:val="continue"/>
                  <w:vAlign w:val="center"/>
                </w:tcPr>
                <w:p w14:paraId="5D58088E">
                  <w:pPr>
                    <w:jc w:val="center"/>
                    <w:rPr>
                      <w:color w:val="000000" w:themeColor="text1"/>
                      <w:szCs w:val="21"/>
                      <w14:textFill>
                        <w14:solidFill>
                          <w14:schemeClr w14:val="tx1"/>
                        </w14:solidFill>
                      </w14:textFill>
                    </w:rPr>
                  </w:pPr>
                </w:p>
              </w:tc>
              <w:tc>
                <w:tcPr>
                  <w:tcW w:w="721" w:type="pct"/>
                  <w:vMerge w:val="continue"/>
                  <w:vAlign w:val="center"/>
                </w:tcPr>
                <w:p w14:paraId="166F2E20">
                  <w:pPr>
                    <w:jc w:val="center"/>
                    <w:rPr>
                      <w:color w:val="000000" w:themeColor="text1"/>
                      <w:szCs w:val="21"/>
                      <w14:textFill>
                        <w14:solidFill>
                          <w14:schemeClr w14:val="tx1"/>
                        </w14:solidFill>
                      </w14:textFill>
                    </w:rPr>
                  </w:pPr>
                </w:p>
              </w:tc>
              <w:tc>
                <w:tcPr>
                  <w:tcW w:w="855" w:type="pct"/>
                  <w:vMerge w:val="continue"/>
                  <w:vAlign w:val="center"/>
                </w:tcPr>
                <w:p w14:paraId="79E254C8">
                  <w:pPr>
                    <w:jc w:val="center"/>
                    <w:rPr>
                      <w:color w:val="000000" w:themeColor="text1"/>
                      <w:szCs w:val="21"/>
                      <w14:textFill>
                        <w14:solidFill>
                          <w14:schemeClr w14:val="tx1"/>
                        </w14:solidFill>
                      </w14:textFill>
                    </w:rPr>
                  </w:pPr>
                </w:p>
              </w:tc>
              <w:tc>
                <w:tcPr>
                  <w:tcW w:w="754" w:type="pct"/>
                  <w:shd w:val="clear" w:color="auto" w:fill="auto"/>
                  <w:vAlign w:val="center"/>
                </w:tcPr>
                <w:p w14:paraId="7CF2DE9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6ED0B22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4719A46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1B3DC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243C9CD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w:t>
                  </w:r>
                </w:p>
              </w:tc>
              <w:tc>
                <w:tcPr>
                  <w:tcW w:w="764" w:type="pct"/>
                  <w:vMerge w:val="restart"/>
                  <w:vAlign w:val="center"/>
                </w:tcPr>
                <w:p w14:paraId="5EEF422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杀菌</w:t>
                  </w:r>
                </w:p>
              </w:tc>
              <w:tc>
                <w:tcPr>
                  <w:tcW w:w="721" w:type="pct"/>
                  <w:vMerge w:val="restart"/>
                  <w:vAlign w:val="center"/>
                </w:tcPr>
                <w:p w14:paraId="19D8DC4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杀菌</w:t>
                  </w:r>
                </w:p>
              </w:tc>
              <w:tc>
                <w:tcPr>
                  <w:tcW w:w="855" w:type="pct"/>
                  <w:vMerge w:val="restart"/>
                  <w:vAlign w:val="center"/>
                </w:tcPr>
                <w:p w14:paraId="78620FE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高温杀菌机</w:t>
                  </w:r>
                </w:p>
              </w:tc>
              <w:tc>
                <w:tcPr>
                  <w:tcW w:w="754" w:type="pct"/>
                  <w:shd w:val="clear" w:color="auto" w:fill="auto"/>
                  <w:vAlign w:val="center"/>
                </w:tcPr>
                <w:p w14:paraId="34A1A9C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7CC45703">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1754DADA">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t/h</w:t>
                  </w:r>
                </w:p>
              </w:tc>
            </w:tr>
            <w:tr w14:paraId="3E888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BEDFB41">
                  <w:pPr>
                    <w:jc w:val="center"/>
                    <w:rPr>
                      <w:color w:val="000000" w:themeColor="text1"/>
                      <w:szCs w:val="21"/>
                      <w14:textFill>
                        <w14:solidFill>
                          <w14:schemeClr w14:val="tx1"/>
                        </w14:solidFill>
                      </w14:textFill>
                    </w:rPr>
                  </w:pPr>
                </w:p>
              </w:tc>
              <w:tc>
                <w:tcPr>
                  <w:tcW w:w="764" w:type="pct"/>
                  <w:vMerge w:val="continue"/>
                  <w:vAlign w:val="center"/>
                </w:tcPr>
                <w:p w14:paraId="317880AC">
                  <w:pPr>
                    <w:jc w:val="center"/>
                    <w:rPr>
                      <w:color w:val="000000" w:themeColor="text1"/>
                      <w:szCs w:val="21"/>
                      <w14:textFill>
                        <w14:solidFill>
                          <w14:schemeClr w14:val="tx1"/>
                        </w14:solidFill>
                      </w14:textFill>
                    </w:rPr>
                  </w:pPr>
                </w:p>
              </w:tc>
              <w:tc>
                <w:tcPr>
                  <w:tcW w:w="721" w:type="pct"/>
                  <w:vMerge w:val="continue"/>
                  <w:vAlign w:val="center"/>
                </w:tcPr>
                <w:p w14:paraId="574F9811">
                  <w:pPr>
                    <w:jc w:val="center"/>
                    <w:rPr>
                      <w:color w:val="000000" w:themeColor="text1"/>
                      <w:szCs w:val="21"/>
                      <w14:textFill>
                        <w14:solidFill>
                          <w14:schemeClr w14:val="tx1"/>
                        </w14:solidFill>
                      </w14:textFill>
                    </w:rPr>
                  </w:pPr>
                </w:p>
              </w:tc>
              <w:tc>
                <w:tcPr>
                  <w:tcW w:w="855" w:type="pct"/>
                  <w:vMerge w:val="continue"/>
                  <w:vAlign w:val="center"/>
                </w:tcPr>
                <w:p w14:paraId="1136A20A">
                  <w:pPr>
                    <w:jc w:val="center"/>
                    <w:rPr>
                      <w:color w:val="000000" w:themeColor="text1"/>
                      <w:szCs w:val="21"/>
                      <w14:textFill>
                        <w14:solidFill>
                          <w14:schemeClr w14:val="tx1"/>
                        </w14:solidFill>
                      </w14:textFill>
                    </w:rPr>
                  </w:pPr>
                </w:p>
              </w:tc>
              <w:tc>
                <w:tcPr>
                  <w:tcW w:w="754" w:type="pct"/>
                  <w:shd w:val="clear" w:color="auto" w:fill="auto"/>
                  <w:vAlign w:val="center"/>
                </w:tcPr>
                <w:p w14:paraId="0079058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288CC0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49C9B47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731A9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7884140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764" w:type="pct"/>
                  <w:vMerge w:val="restart"/>
                  <w:vAlign w:val="center"/>
                </w:tcPr>
                <w:p w14:paraId="72032D3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降度</w:t>
                  </w:r>
                </w:p>
              </w:tc>
              <w:tc>
                <w:tcPr>
                  <w:tcW w:w="721" w:type="pct"/>
                  <w:vMerge w:val="restart"/>
                  <w:vAlign w:val="center"/>
                </w:tcPr>
                <w:p w14:paraId="0AB0DD7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降度</w:t>
                  </w:r>
                </w:p>
              </w:tc>
              <w:tc>
                <w:tcPr>
                  <w:tcW w:w="855" w:type="pct"/>
                  <w:vMerge w:val="restart"/>
                  <w:shd w:val="clear" w:color="auto" w:fill="auto"/>
                  <w:vAlign w:val="center"/>
                </w:tcPr>
                <w:p w14:paraId="522C9B5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不锈钢储酒罐</w:t>
                  </w:r>
                </w:p>
              </w:tc>
              <w:tc>
                <w:tcPr>
                  <w:tcW w:w="754" w:type="pct"/>
                  <w:shd w:val="clear" w:color="auto" w:fill="auto"/>
                  <w:vAlign w:val="center"/>
                </w:tcPr>
                <w:p w14:paraId="710E197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7599E36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56273AF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41578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FB8E21A">
                  <w:pPr>
                    <w:jc w:val="center"/>
                    <w:rPr>
                      <w:color w:val="000000" w:themeColor="text1"/>
                      <w:szCs w:val="21"/>
                      <w14:textFill>
                        <w14:solidFill>
                          <w14:schemeClr w14:val="tx1"/>
                        </w14:solidFill>
                      </w14:textFill>
                    </w:rPr>
                  </w:pPr>
                </w:p>
              </w:tc>
              <w:tc>
                <w:tcPr>
                  <w:tcW w:w="764" w:type="pct"/>
                  <w:vMerge w:val="continue"/>
                  <w:vAlign w:val="center"/>
                </w:tcPr>
                <w:p w14:paraId="7AA9FA25">
                  <w:pPr>
                    <w:jc w:val="center"/>
                    <w:rPr>
                      <w:color w:val="000000" w:themeColor="text1"/>
                      <w:szCs w:val="21"/>
                      <w14:textFill>
                        <w14:solidFill>
                          <w14:schemeClr w14:val="tx1"/>
                        </w14:solidFill>
                      </w14:textFill>
                    </w:rPr>
                  </w:pPr>
                </w:p>
              </w:tc>
              <w:tc>
                <w:tcPr>
                  <w:tcW w:w="721" w:type="pct"/>
                  <w:vMerge w:val="continue"/>
                  <w:vAlign w:val="center"/>
                </w:tcPr>
                <w:p w14:paraId="4E36D9C3">
                  <w:pPr>
                    <w:jc w:val="center"/>
                    <w:rPr>
                      <w:color w:val="000000" w:themeColor="text1"/>
                      <w:szCs w:val="21"/>
                      <w14:textFill>
                        <w14:solidFill>
                          <w14:schemeClr w14:val="tx1"/>
                        </w14:solidFill>
                      </w14:textFill>
                    </w:rPr>
                  </w:pPr>
                </w:p>
              </w:tc>
              <w:tc>
                <w:tcPr>
                  <w:tcW w:w="855" w:type="pct"/>
                  <w:vMerge w:val="continue"/>
                  <w:vAlign w:val="center"/>
                </w:tcPr>
                <w:p w14:paraId="3EB34D9D">
                  <w:pPr>
                    <w:jc w:val="center"/>
                    <w:rPr>
                      <w:color w:val="000000" w:themeColor="text1"/>
                      <w:szCs w:val="21"/>
                      <w14:textFill>
                        <w14:solidFill>
                          <w14:schemeClr w14:val="tx1"/>
                        </w14:solidFill>
                      </w14:textFill>
                    </w:rPr>
                  </w:pPr>
                </w:p>
              </w:tc>
              <w:tc>
                <w:tcPr>
                  <w:tcW w:w="754" w:type="pct"/>
                  <w:shd w:val="clear" w:color="auto" w:fill="auto"/>
                  <w:vAlign w:val="center"/>
                </w:tcPr>
                <w:p w14:paraId="0060E41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567C9B3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926" w:type="pct"/>
                  <w:shd w:val="clear" w:color="auto" w:fill="auto"/>
                  <w:vAlign w:val="center"/>
                </w:tcPr>
                <w:p w14:paraId="5C63D82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075C81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36EDE21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w:t>
                  </w:r>
                </w:p>
              </w:tc>
              <w:tc>
                <w:tcPr>
                  <w:tcW w:w="764" w:type="pct"/>
                  <w:vMerge w:val="restart"/>
                  <w:shd w:val="clear" w:color="auto" w:fill="auto"/>
                  <w:vAlign w:val="center"/>
                </w:tcPr>
                <w:p w14:paraId="624908A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洗瓶灌装</w:t>
                  </w:r>
                </w:p>
              </w:tc>
              <w:tc>
                <w:tcPr>
                  <w:tcW w:w="721" w:type="pct"/>
                  <w:vMerge w:val="restart"/>
                  <w:shd w:val="clear" w:color="auto" w:fill="auto"/>
                  <w:vAlign w:val="center"/>
                </w:tcPr>
                <w:p w14:paraId="6AE9C2F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洗瓶灌装</w:t>
                  </w:r>
                </w:p>
              </w:tc>
              <w:tc>
                <w:tcPr>
                  <w:tcW w:w="855" w:type="pct"/>
                  <w:vMerge w:val="restart"/>
                  <w:shd w:val="clear" w:color="auto" w:fill="auto"/>
                  <w:vAlign w:val="center"/>
                </w:tcPr>
                <w:p w14:paraId="3DB5C64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灌装线</w:t>
                  </w:r>
                </w:p>
              </w:tc>
              <w:tc>
                <w:tcPr>
                  <w:tcW w:w="754" w:type="pct"/>
                  <w:shd w:val="clear" w:color="auto" w:fill="auto"/>
                  <w:vAlign w:val="center"/>
                </w:tcPr>
                <w:p w14:paraId="762105E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696225C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6.0</w:t>
                  </w:r>
                </w:p>
              </w:tc>
              <w:tc>
                <w:tcPr>
                  <w:tcW w:w="926" w:type="pct"/>
                  <w:shd w:val="clear" w:color="auto" w:fill="auto"/>
                  <w:vAlign w:val="center"/>
                </w:tcPr>
                <w:p w14:paraId="058DDF7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75EBD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0C88D759">
                  <w:pPr>
                    <w:jc w:val="center"/>
                    <w:rPr>
                      <w:color w:val="000000" w:themeColor="text1"/>
                      <w:szCs w:val="21"/>
                      <w14:textFill>
                        <w14:solidFill>
                          <w14:schemeClr w14:val="tx1"/>
                        </w14:solidFill>
                      </w14:textFill>
                    </w:rPr>
                  </w:pPr>
                </w:p>
              </w:tc>
              <w:tc>
                <w:tcPr>
                  <w:tcW w:w="764" w:type="pct"/>
                  <w:vMerge w:val="continue"/>
                  <w:vAlign w:val="center"/>
                </w:tcPr>
                <w:p w14:paraId="5D527F61">
                  <w:pPr>
                    <w:jc w:val="center"/>
                    <w:rPr>
                      <w:color w:val="000000" w:themeColor="text1"/>
                      <w:szCs w:val="21"/>
                      <w14:textFill>
                        <w14:solidFill>
                          <w14:schemeClr w14:val="tx1"/>
                        </w14:solidFill>
                      </w14:textFill>
                    </w:rPr>
                  </w:pPr>
                </w:p>
              </w:tc>
              <w:tc>
                <w:tcPr>
                  <w:tcW w:w="721" w:type="pct"/>
                  <w:vMerge w:val="continue"/>
                  <w:vAlign w:val="center"/>
                </w:tcPr>
                <w:p w14:paraId="25C67327">
                  <w:pPr>
                    <w:jc w:val="center"/>
                    <w:rPr>
                      <w:color w:val="000000" w:themeColor="text1"/>
                      <w:szCs w:val="21"/>
                      <w14:textFill>
                        <w14:solidFill>
                          <w14:schemeClr w14:val="tx1"/>
                        </w14:solidFill>
                      </w14:textFill>
                    </w:rPr>
                  </w:pPr>
                </w:p>
              </w:tc>
              <w:tc>
                <w:tcPr>
                  <w:tcW w:w="855" w:type="pct"/>
                  <w:vMerge w:val="continue"/>
                  <w:vAlign w:val="center"/>
                </w:tcPr>
                <w:p w14:paraId="5DA41746">
                  <w:pPr>
                    <w:jc w:val="center"/>
                    <w:rPr>
                      <w:color w:val="000000" w:themeColor="text1"/>
                      <w:szCs w:val="21"/>
                      <w14:textFill>
                        <w14:solidFill>
                          <w14:schemeClr w14:val="tx1"/>
                        </w14:solidFill>
                      </w14:textFill>
                    </w:rPr>
                  </w:pPr>
                </w:p>
              </w:tc>
              <w:tc>
                <w:tcPr>
                  <w:tcW w:w="754" w:type="pct"/>
                  <w:shd w:val="clear" w:color="auto" w:fill="auto"/>
                  <w:vAlign w:val="center"/>
                </w:tcPr>
                <w:p w14:paraId="3513E81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E4859C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2948CF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8A50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7B03880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764" w:type="pct"/>
                  <w:vMerge w:val="restart"/>
                  <w:shd w:val="clear" w:color="auto" w:fill="auto"/>
                  <w:vAlign w:val="center"/>
                </w:tcPr>
                <w:p w14:paraId="3E7D529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w:t>
                  </w:r>
                </w:p>
              </w:tc>
              <w:tc>
                <w:tcPr>
                  <w:tcW w:w="721" w:type="pct"/>
                  <w:vMerge w:val="restart"/>
                  <w:shd w:val="clear" w:color="auto" w:fill="auto"/>
                  <w:vAlign w:val="center"/>
                </w:tcPr>
                <w:p w14:paraId="669B46C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贴标</w:t>
                  </w:r>
                </w:p>
              </w:tc>
              <w:tc>
                <w:tcPr>
                  <w:tcW w:w="855" w:type="pct"/>
                  <w:vMerge w:val="restart"/>
                  <w:shd w:val="clear" w:color="auto" w:fill="auto"/>
                  <w:vAlign w:val="center"/>
                </w:tcPr>
                <w:p w14:paraId="272CFCA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全自动台式平面贴标机</w:t>
                  </w:r>
                </w:p>
              </w:tc>
              <w:tc>
                <w:tcPr>
                  <w:tcW w:w="754" w:type="pct"/>
                  <w:shd w:val="clear" w:color="auto" w:fill="auto"/>
                  <w:vAlign w:val="center"/>
                </w:tcPr>
                <w:p w14:paraId="5CC0D61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54C29F3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926" w:type="pct"/>
                  <w:shd w:val="clear" w:color="auto" w:fill="auto"/>
                  <w:vAlign w:val="center"/>
                </w:tcPr>
                <w:p w14:paraId="1564DEE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个/min</w:t>
                  </w:r>
                </w:p>
              </w:tc>
            </w:tr>
            <w:tr w14:paraId="7C27B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725ABE0">
                  <w:pPr>
                    <w:jc w:val="center"/>
                    <w:rPr>
                      <w:color w:val="000000" w:themeColor="text1"/>
                      <w:szCs w:val="21"/>
                      <w14:textFill>
                        <w14:solidFill>
                          <w14:schemeClr w14:val="tx1"/>
                        </w14:solidFill>
                      </w14:textFill>
                    </w:rPr>
                  </w:pPr>
                </w:p>
              </w:tc>
              <w:tc>
                <w:tcPr>
                  <w:tcW w:w="764" w:type="pct"/>
                  <w:vMerge w:val="continue"/>
                  <w:vAlign w:val="center"/>
                </w:tcPr>
                <w:p w14:paraId="1C7BAE3B">
                  <w:pPr>
                    <w:jc w:val="center"/>
                    <w:rPr>
                      <w:color w:val="000000" w:themeColor="text1"/>
                      <w:szCs w:val="21"/>
                      <w14:textFill>
                        <w14:solidFill>
                          <w14:schemeClr w14:val="tx1"/>
                        </w14:solidFill>
                      </w14:textFill>
                    </w:rPr>
                  </w:pPr>
                </w:p>
              </w:tc>
              <w:tc>
                <w:tcPr>
                  <w:tcW w:w="721" w:type="pct"/>
                  <w:vMerge w:val="continue"/>
                  <w:vAlign w:val="center"/>
                </w:tcPr>
                <w:p w14:paraId="3E461893">
                  <w:pPr>
                    <w:jc w:val="center"/>
                    <w:rPr>
                      <w:color w:val="000000" w:themeColor="text1"/>
                      <w:szCs w:val="21"/>
                      <w14:textFill>
                        <w14:solidFill>
                          <w14:schemeClr w14:val="tx1"/>
                        </w14:solidFill>
                      </w14:textFill>
                    </w:rPr>
                  </w:pPr>
                </w:p>
              </w:tc>
              <w:tc>
                <w:tcPr>
                  <w:tcW w:w="855" w:type="pct"/>
                  <w:vMerge w:val="continue"/>
                  <w:vAlign w:val="center"/>
                </w:tcPr>
                <w:p w14:paraId="49C5E660">
                  <w:pPr>
                    <w:jc w:val="center"/>
                    <w:rPr>
                      <w:color w:val="000000" w:themeColor="text1"/>
                      <w:szCs w:val="21"/>
                      <w14:textFill>
                        <w14:solidFill>
                          <w14:schemeClr w14:val="tx1"/>
                        </w14:solidFill>
                      </w14:textFill>
                    </w:rPr>
                  </w:pPr>
                </w:p>
              </w:tc>
              <w:tc>
                <w:tcPr>
                  <w:tcW w:w="754" w:type="pct"/>
                  <w:shd w:val="clear" w:color="auto" w:fill="auto"/>
                  <w:vAlign w:val="center"/>
                </w:tcPr>
                <w:p w14:paraId="62031C1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E06A80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926" w:type="pct"/>
                  <w:shd w:val="clear" w:color="auto" w:fill="auto"/>
                  <w:vAlign w:val="center"/>
                </w:tcPr>
                <w:p w14:paraId="7E57CC9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38AD1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1FE8E342">
                  <w:pPr>
                    <w:jc w:val="center"/>
                    <w:rPr>
                      <w:color w:val="000000" w:themeColor="text1"/>
                      <w:szCs w:val="21"/>
                      <w14:textFill>
                        <w14:solidFill>
                          <w14:schemeClr w14:val="tx1"/>
                        </w14:solidFill>
                      </w14:textFill>
                    </w:rPr>
                  </w:pPr>
                </w:p>
              </w:tc>
              <w:tc>
                <w:tcPr>
                  <w:tcW w:w="764" w:type="pct"/>
                  <w:vMerge w:val="continue"/>
                  <w:vAlign w:val="center"/>
                </w:tcPr>
                <w:p w14:paraId="6D8761F6">
                  <w:pPr>
                    <w:jc w:val="center"/>
                    <w:rPr>
                      <w:color w:val="000000" w:themeColor="text1"/>
                      <w:szCs w:val="21"/>
                      <w14:textFill>
                        <w14:solidFill>
                          <w14:schemeClr w14:val="tx1"/>
                        </w14:solidFill>
                      </w14:textFill>
                    </w:rPr>
                  </w:pPr>
                </w:p>
              </w:tc>
              <w:tc>
                <w:tcPr>
                  <w:tcW w:w="721" w:type="pct"/>
                  <w:vMerge w:val="restart"/>
                  <w:shd w:val="clear" w:color="auto" w:fill="auto"/>
                  <w:vAlign w:val="center"/>
                </w:tcPr>
                <w:p w14:paraId="169C9F2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喷码</w:t>
                  </w:r>
                </w:p>
              </w:tc>
              <w:tc>
                <w:tcPr>
                  <w:tcW w:w="855" w:type="pct"/>
                  <w:vMerge w:val="restart"/>
                  <w:shd w:val="clear" w:color="auto" w:fill="auto"/>
                  <w:vAlign w:val="center"/>
                </w:tcPr>
                <w:p w14:paraId="0EC07AC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激光喷码机</w:t>
                  </w:r>
                </w:p>
              </w:tc>
              <w:tc>
                <w:tcPr>
                  <w:tcW w:w="754" w:type="pct"/>
                  <w:shd w:val="clear" w:color="auto" w:fill="auto"/>
                  <w:vAlign w:val="center"/>
                </w:tcPr>
                <w:p w14:paraId="50FC628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753CCAE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180</w:t>
                  </w:r>
                </w:p>
              </w:tc>
              <w:tc>
                <w:tcPr>
                  <w:tcW w:w="926" w:type="pct"/>
                  <w:shd w:val="clear" w:color="auto" w:fill="auto"/>
                  <w:vAlign w:val="center"/>
                </w:tcPr>
                <w:p w14:paraId="6D9FE6A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m/min</w:t>
                  </w:r>
                </w:p>
              </w:tc>
            </w:tr>
            <w:tr w14:paraId="2C9461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FD8F8E5">
                  <w:pPr>
                    <w:jc w:val="center"/>
                    <w:rPr>
                      <w:color w:val="000000" w:themeColor="text1"/>
                      <w:szCs w:val="21"/>
                      <w14:textFill>
                        <w14:solidFill>
                          <w14:schemeClr w14:val="tx1"/>
                        </w14:solidFill>
                      </w14:textFill>
                    </w:rPr>
                  </w:pPr>
                </w:p>
              </w:tc>
              <w:tc>
                <w:tcPr>
                  <w:tcW w:w="764" w:type="pct"/>
                  <w:vMerge w:val="continue"/>
                  <w:vAlign w:val="center"/>
                </w:tcPr>
                <w:p w14:paraId="16899DFE">
                  <w:pPr>
                    <w:jc w:val="center"/>
                    <w:rPr>
                      <w:color w:val="000000" w:themeColor="text1"/>
                      <w:szCs w:val="21"/>
                      <w14:textFill>
                        <w14:solidFill>
                          <w14:schemeClr w14:val="tx1"/>
                        </w14:solidFill>
                      </w14:textFill>
                    </w:rPr>
                  </w:pPr>
                </w:p>
              </w:tc>
              <w:tc>
                <w:tcPr>
                  <w:tcW w:w="721" w:type="pct"/>
                  <w:vMerge w:val="continue"/>
                  <w:vAlign w:val="center"/>
                </w:tcPr>
                <w:p w14:paraId="09E77300">
                  <w:pPr>
                    <w:jc w:val="center"/>
                    <w:rPr>
                      <w:color w:val="000000" w:themeColor="text1"/>
                      <w:szCs w:val="21"/>
                      <w14:textFill>
                        <w14:solidFill>
                          <w14:schemeClr w14:val="tx1"/>
                        </w14:solidFill>
                      </w14:textFill>
                    </w:rPr>
                  </w:pPr>
                </w:p>
              </w:tc>
              <w:tc>
                <w:tcPr>
                  <w:tcW w:w="855" w:type="pct"/>
                  <w:vMerge w:val="continue"/>
                  <w:vAlign w:val="center"/>
                </w:tcPr>
                <w:p w14:paraId="6CF85A9E">
                  <w:pPr>
                    <w:jc w:val="center"/>
                    <w:rPr>
                      <w:color w:val="000000" w:themeColor="text1"/>
                      <w:szCs w:val="21"/>
                      <w14:textFill>
                        <w14:solidFill>
                          <w14:schemeClr w14:val="tx1"/>
                        </w14:solidFill>
                      </w14:textFill>
                    </w:rPr>
                  </w:pPr>
                </w:p>
              </w:tc>
              <w:tc>
                <w:tcPr>
                  <w:tcW w:w="754" w:type="pct"/>
                  <w:shd w:val="clear" w:color="auto" w:fill="auto"/>
                  <w:vAlign w:val="center"/>
                </w:tcPr>
                <w:p w14:paraId="568DD8A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E8C43C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926" w:type="pct"/>
                  <w:shd w:val="clear" w:color="auto" w:fill="auto"/>
                  <w:vAlign w:val="center"/>
                </w:tcPr>
                <w:p w14:paraId="03E9B6C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1102E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299F1C8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啤酒生产线</w:t>
                  </w:r>
                </w:p>
              </w:tc>
            </w:tr>
            <w:tr w14:paraId="66735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3EDFE42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shd w:val="clear" w:color="auto" w:fill="auto"/>
                  <w:vAlign w:val="center"/>
                </w:tcPr>
                <w:p w14:paraId="2733159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粉碎</w:t>
                  </w:r>
                </w:p>
              </w:tc>
              <w:tc>
                <w:tcPr>
                  <w:tcW w:w="721" w:type="pct"/>
                  <w:vMerge w:val="restart"/>
                  <w:shd w:val="clear" w:color="auto" w:fill="auto"/>
                  <w:vAlign w:val="center"/>
                </w:tcPr>
                <w:p w14:paraId="56AA62F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w:t>
                  </w:r>
                </w:p>
              </w:tc>
              <w:tc>
                <w:tcPr>
                  <w:tcW w:w="855" w:type="pct"/>
                  <w:vMerge w:val="restart"/>
                  <w:shd w:val="clear" w:color="auto" w:fill="auto"/>
                  <w:vAlign w:val="center"/>
                </w:tcPr>
                <w:p w14:paraId="5B06DF3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粉碎机</w:t>
                  </w:r>
                </w:p>
              </w:tc>
              <w:tc>
                <w:tcPr>
                  <w:tcW w:w="754" w:type="pct"/>
                  <w:shd w:val="clear" w:color="auto" w:fill="auto"/>
                  <w:vAlign w:val="center"/>
                </w:tcPr>
                <w:p w14:paraId="1DAAE2F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01D1783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926" w:type="pct"/>
                  <w:shd w:val="clear" w:color="auto" w:fill="auto"/>
                  <w:vAlign w:val="center"/>
                </w:tcPr>
                <w:p w14:paraId="4E4EEC6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6282E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23169F5">
                  <w:pPr>
                    <w:jc w:val="center"/>
                    <w:rPr>
                      <w:color w:val="000000" w:themeColor="text1"/>
                      <w:szCs w:val="21"/>
                      <w14:textFill>
                        <w14:solidFill>
                          <w14:schemeClr w14:val="tx1"/>
                        </w14:solidFill>
                      </w14:textFill>
                    </w:rPr>
                  </w:pPr>
                </w:p>
              </w:tc>
              <w:tc>
                <w:tcPr>
                  <w:tcW w:w="764" w:type="pct"/>
                  <w:vMerge w:val="continue"/>
                  <w:vAlign w:val="center"/>
                </w:tcPr>
                <w:p w14:paraId="1C746E3F">
                  <w:pPr>
                    <w:jc w:val="center"/>
                    <w:rPr>
                      <w:color w:val="000000" w:themeColor="text1"/>
                      <w:szCs w:val="21"/>
                      <w14:textFill>
                        <w14:solidFill>
                          <w14:schemeClr w14:val="tx1"/>
                        </w14:solidFill>
                      </w14:textFill>
                    </w:rPr>
                  </w:pPr>
                </w:p>
              </w:tc>
              <w:tc>
                <w:tcPr>
                  <w:tcW w:w="721" w:type="pct"/>
                  <w:vMerge w:val="continue"/>
                  <w:vAlign w:val="center"/>
                </w:tcPr>
                <w:p w14:paraId="2E77A79D">
                  <w:pPr>
                    <w:jc w:val="center"/>
                    <w:rPr>
                      <w:color w:val="000000" w:themeColor="text1"/>
                      <w:szCs w:val="21"/>
                      <w14:textFill>
                        <w14:solidFill>
                          <w14:schemeClr w14:val="tx1"/>
                        </w14:solidFill>
                      </w14:textFill>
                    </w:rPr>
                  </w:pPr>
                </w:p>
              </w:tc>
              <w:tc>
                <w:tcPr>
                  <w:tcW w:w="855" w:type="pct"/>
                  <w:vMerge w:val="continue"/>
                  <w:vAlign w:val="center"/>
                </w:tcPr>
                <w:p w14:paraId="16F776BF">
                  <w:pPr>
                    <w:jc w:val="center"/>
                    <w:rPr>
                      <w:color w:val="000000" w:themeColor="text1"/>
                      <w:szCs w:val="21"/>
                      <w14:textFill>
                        <w14:solidFill>
                          <w14:schemeClr w14:val="tx1"/>
                        </w14:solidFill>
                      </w14:textFill>
                    </w:rPr>
                  </w:pPr>
                </w:p>
              </w:tc>
              <w:tc>
                <w:tcPr>
                  <w:tcW w:w="754" w:type="pct"/>
                  <w:shd w:val="clear" w:color="auto" w:fill="auto"/>
                  <w:vAlign w:val="center"/>
                </w:tcPr>
                <w:p w14:paraId="0FAF814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540567D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772308F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BAF5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5B59BD8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Merge w:val="restart"/>
                  <w:vAlign w:val="center"/>
                </w:tcPr>
                <w:p w14:paraId="34775FD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糊化</w:t>
                  </w:r>
                </w:p>
              </w:tc>
              <w:tc>
                <w:tcPr>
                  <w:tcW w:w="721" w:type="pct"/>
                  <w:vMerge w:val="restart"/>
                  <w:vAlign w:val="center"/>
                </w:tcPr>
                <w:p w14:paraId="6D72BC3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糊化</w:t>
                  </w:r>
                </w:p>
              </w:tc>
              <w:tc>
                <w:tcPr>
                  <w:tcW w:w="855" w:type="pct"/>
                  <w:vMerge w:val="restart"/>
                  <w:vAlign w:val="center"/>
                </w:tcPr>
                <w:p w14:paraId="69F24E0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糊化锅</w:t>
                  </w:r>
                </w:p>
              </w:tc>
              <w:tc>
                <w:tcPr>
                  <w:tcW w:w="754" w:type="pct"/>
                  <w:shd w:val="clear" w:color="auto" w:fill="auto"/>
                  <w:vAlign w:val="center"/>
                </w:tcPr>
                <w:p w14:paraId="1B07973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410B222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w:t>
                  </w:r>
                </w:p>
              </w:tc>
              <w:tc>
                <w:tcPr>
                  <w:tcW w:w="926" w:type="pct"/>
                  <w:shd w:val="clear" w:color="auto" w:fill="auto"/>
                  <w:vAlign w:val="center"/>
                </w:tcPr>
                <w:p w14:paraId="6994449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22EE1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EAFBF75">
                  <w:pPr>
                    <w:jc w:val="center"/>
                    <w:rPr>
                      <w:color w:val="000000" w:themeColor="text1"/>
                      <w:szCs w:val="21"/>
                      <w14:textFill>
                        <w14:solidFill>
                          <w14:schemeClr w14:val="tx1"/>
                        </w14:solidFill>
                      </w14:textFill>
                    </w:rPr>
                  </w:pPr>
                </w:p>
              </w:tc>
              <w:tc>
                <w:tcPr>
                  <w:tcW w:w="764" w:type="pct"/>
                  <w:vMerge w:val="continue"/>
                  <w:vAlign w:val="center"/>
                </w:tcPr>
                <w:p w14:paraId="4580728E">
                  <w:pPr>
                    <w:jc w:val="center"/>
                    <w:rPr>
                      <w:color w:val="000000" w:themeColor="text1"/>
                      <w:szCs w:val="21"/>
                      <w14:textFill>
                        <w14:solidFill>
                          <w14:schemeClr w14:val="tx1"/>
                        </w14:solidFill>
                      </w14:textFill>
                    </w:rPr>
                  </w:pPr>
                </w:p>
              </w:tc>
              <w:tc>
                <w:tcPr>
                  <w:tcW w:w="721" w:type="pct"/>
                  <w:vMerge w:val="continue"/>
                  <w:vAlign w:val="center"/>
                </w:tcPr>
                <w:p w14:paraId="77F995F1">
                  <w:pPr>
                    <w:jc w:val="center"/>
                    <w:rPr>
                      <w:color w:val="000000" w:themeColor="text1"/>
                      <w:szCs w:val="21"/>
                      <w14:textFill>
                        <w14:solidFill>
                          <w14:schemeClr w14:val="tx1"/>
                        </w14:solidFill>
                      </w14:textFill>
                    </w:rPr>
                  </w:pPr>
                </w:p>
              </w:tc>
              <w:tc>
                <w:tcPr>
                  <w:tcW w:w="855" w:type="pct"/>
                  <w:vMerge w:val="continue"/>
                  <w:vAlign w:val="center"/>
                </w:tcPr>
                <w:p w14:paraId="61150E68">
                  <w:pPr>
                    <w:jc w:val="center"/>
                    <w:rPr>
                      <w:color w:val="000000" w:themeColor="text1"/>
                      <w:szCs w:val="21"/>
                      <w14:textFill>
                        <w14:solidFill>
                          <w14:schemeClr w14:val="tx1"/>
                        </w14:solidFill>
                      </w14:textFill>
                    </w:rPr>
                  </w:pPr>
                </w:p>
              </w:tc>
              <w:tc>
                <w:tcPr>
                  <w:tcW w:w="754" w:type="pct"/>
                  <w:shd w:val="clear" w:color="auto" w:fill="auto"/>
                  <w:vAlign w:val="center"/>
                </w:tcPr>
                <w:p w14:paraId="45D4FBC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7D7A0EE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926" w:type="pct"/>
                  <w:shd w:val="clear" w:color="auto" w:fill="auto"/>
                  <w:vAlign w:val="center"/>
                </w:tcPr>
                <w:p w14:paraId="4C9CEDA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195160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3F06296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64" w:type="pct"/>
                  <w:vMerge w:val="restart"/>
                  <w:vAlign w:val="center"/>
                </w:tcPr>
                <w:p w14:paraId="3D378B6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糖化</w:t>
                  </w:r>
                </w:p>
              </w:tc>
              <w:tc>
                <w:tcPr>
                  <w:tcW w:w="721" w:type="pct"/>
                  <w:vMerge w:val="restart"/>
                  <w:vAlign w:val="center"/>
                </w:tcPr>
                <w:p w14:paraId="018CAD6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糖化</w:t>
                  </w:r>
                </w:p>
              </w:tc>
              <w:tc>
                <w:tcPr>
                  <w:tcW w:w="855" w:type="pct"/>
                  <w:vMerge w:val="restart"/>
                  <w:vAlign w:val="center"/>
                </w:tcPr>
                <w:p w14:paraId="6031E5E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糖化罐</w:t>
                  </w:r>
                </w:p>
              </w:tc>
              <w:tc>
                <w:tcPr>
                  <w:tcW w:w="754" w:type="pct"/>
                  <w:shd w:val="clear" w:color="auto" w:fill="auto"/>
                  <w:vAlign w:val="center"/>
                </w:tcPr>
                <w:p w14:paraId="3A685A7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225D2CD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133BA1B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2EC07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04B8788">
                  <w:pPr>
                    <w:jc w:val="center"/>
                    <w:rPr>
                      <w:color w:val="000000" w:themeColor="text1"/>
                      <w:szCs w:val="21"/>
                      <w14:textFill>
                        <w14:solidFill>
                          <w14:schemeClr w14:val="tx1"/>
                        </w14:solidFill>
                      </w14:textFill>
                    </w:rPr>
                  </w:pPr>
                </w:p>
              </w:tc>
              <w:tc>
                <w:tcPr>
                  <w:tcW w:w="764" w:type="pct"/>
                  <w:vMerge w:val="continue"/>
                  <w:vAlign w:val="center"/>
                </w:tcPr>
                <w:p w14:paraId="45505B7D">
                  <w:pPr>
                    <w:jc w:val="center"/>
                    <w:rPr>
                      <w:color w:val="000000" w:themeColor="text1"/>
                      <w:szCs w:val="21"/>
                      <w14:textFill>
                        <w14:solidFill>
                          <w14:schemeClr w14:val="tx1"/>
                        </w14:solidFill>
                      </w14:textFill>
                    </w:rPr>
                  </w:pPr>
                </w:p>
              </w:tc>
              <w:tc>
                <w:tcPr>
                  <w:tcW w:w="721" w:type="pct"/>
                  <w:vMerge w:val="continue"/>
                  <w:vAlign w:val="center"/>
                </w:tcPr>
                <w:p w14:paraId="6DB19655">
                  <w:pPr>
                    <w:jc w:val="center"/>
                    <w:rPr>
                      <w:color w:val="000000" w:themeColor="text1"/>
                      <w:szCs w:val="21"/>
                      <w14:textFill>
                        <w14:solidFill>
                          <w14:schemeClr w14:val="tx1"/>
                        </w14:solidFill>
                      </w14:textFill>
                    </w:rPr>
                  </w:pPr>
                </w:p>
              </w:tc>
              <w:tc>
                <w:tcPr>
                  <w:tcW w:w="855" w:type="pct"/>
                  <w:vMerge w:val="continue"/>
                  <w:vAlign w:val="center"/>
                </w:tcPr>
                <w:p w14:paraId="18FD0025">
                  <w:pPr>
                    <w:jc w:val="center"/>
                    <w:rPr>
                      <w:color w:val="000000" w:themeColor="text1"/>
                      <w:szCs w:val="21"/>
                      <w14:textFill>
                        <w14:solidFill>
                          <w14:schemeClr w14:val="tx1"/>
                        </w14:solidFill>
                      </w14:textFill>
                    </w:rPr>
                  </w:pPr>
                </w:p>
              </w:tc>
              <w:tc>
                <w:tcPr>
                  <w:tcW w:w="754" w:type="pct"/>
                  <w:shd w:val="clear" w:color="auto" w:fill="auto"/>
                  <w:vAlign w:val="center"/>
                </w:tcPr>
                <w:p w14:paraId="0BED805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276AF3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24</w:t>
                  </w:r>
                </w:p>
              </w:tc>
              <w:tc>
                <w:tcPr>
                  <w:tcW w:w="926" w:type="pct"/>
                  <w:shd w:val="clear" w:color="auto" w:fill="auto"/>
                  <w:vAlign w:val="center"/>
                </w:tcPr>
                <w:p w14:paraId="69B91D5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4F2F9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0429075">
                  <w:pPr>
                    <w:jc w:val="center"/>
                    <w:rPr>
                      <w:color w:val="000000" w:themeColor="text1"/>
                      <w:szCs w:val="21"/>
                      <w14:textFill>
                        <w14:solidFill>
                          <w14:schemeClr w14:val="tx1"/>
                        </w14:solidFill>
                      </w14:textFill>
                    </w:rPr>
                  </w:pPr>
                </w:p>
              </w:tc>
              <w:tc>
                <w:tcPr>
                  <w:tcW w:w="764" w:type="pct"/>
                  <w:vMerge w:val="continue"/>
                  <w:vAlign w:val="center"/>
                </w:tcPr>
                <w:p w14:paraId="7456F6B8">
                  <w:pPr>
                    <w:jc w:val="center"/>
                    <w:rPr>
                      <w:color w:val="000000" w:themeColor="text1"/>
                      <w:szCs w:val="21"/>
                      <w14:textFill>
                        <w14:solidFill>
                          <w14:schemeClr w14:val="tx1"/>
                        </w14:solidFill>
                      </w14:textFill>
                    </w:rPr>
                  </w:pPr>
                </w:p>
              </w:tc>
              <w:tc>
                <w:tcPr>
                  <w:tcW w:w="721" w:type="pct"/>
                  <w:vMerge w:val="restart"/>
                  <w:vAlign w:val="center"/>
                </w:tcPr>
                <w:p w14:paraId="55E9E4A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煮沸</w:t>
                  </w:r>
                </w:p>
              </w:tc>
              <w:tc>
                <w:tcPr>
                  <w:tcW w:w="855" w:type="pct"/>
                  <w:vMerge w:val="restart"/>
                  <w:vAlign w:val="center"/>
                </w:tcPr>
                <w:p w14:paraId="44E6AFD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蒸煮锅</w:t>
                  </w:r>
                </w:p>
              </w:tc>
              <w:tc>
                <w:tcPr>
                  <w:tcW w:w="754" w:type="pct"/>
                  <w:shd w:val="clear" w:color="auto" w:fill="auto"/>
                  <w:vAlign w:val="center"/>
                </w:tcPr>
                <w:p w14:paraId="5B3CE30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6977899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w:t>
                  </w:r>
                </w:p>
              </w:tc>
              <w:tc>
                <w:tcPr>
                  <w:tcW w:w="926" w:type="pct"/>
                  <w:shd w:val="clear" w:color="auto" w:fill="auto"/>
                  <w:vAlign w:val="center"/>
                </w:tcPr>
                <w:p w14:paraId="4A898E2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2CE5B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2587122">
                  <w:pPr>
                    <w:jc w:val="center"/>
                    <w:rPr>
                      <w:color w:val="000000" w:themeColor="text1"/>
                      <w:szCs w:val="21"/>
                      <w14:textFill>
                        <w14:solidFill>
                          <w14:schemeClr w14:val="tx1"/>
                        </w14:solidFill>
                      </w14:textFill>
                    </w:rPr>
                  </w:pPr>
                </w:p>
              </w:tc>
              <w:tc>
                <w:tcPr>
                  <w:tcW w:w="764" w:type="pct"/>
                  <w:vMerge w:val="continue"/>
                  <w:vAlign w:val="center"/>
                </w:tcPr>
                <w:p w14:paraId="511526C0">
                  <w:pPr>
                    <w:jc w:val="center"/>
                    <w:rPr>
                      <w:color w:val="000000" w:themeColor="text1"/>
                      <w:szCs w:val="21"/>
                      <w14:textFill>
                        <w14:solidFill>
                          <w14:schemeClr w14:val="tx1"/>
                        </w14:solidFill>
                      </w14:textFill>
                    </w:rPr>
                  </w:pPr>
                </w:p>
              </w:tc>
              <w:tc>
                <w:tcPr>
                  <w:tcW w:w="721" w:type="pct"/>
                  <w:vMerge w:val="continue"/>
                  <w:vAlign w:val="center"/>
                </w:tcPr>
                <w:p w14:paraId="383A19A5">
                  <w:pPr>
                    <w:jc w:val="center"/>
                    <w:rPr>
                      <w:color w:val="000000" w:themeColor="text1"/>
                      <w:szCs w:val="21"/>
                      <w14:textFill>
                        <w14:solidFill>
                          <w14:schemeClr w14:val="tx1"/>
                        </w14:solidFill>
                      </w14:textFill>
                    </w:rPr>
                  </w:pPr>
                </w:p>
              </w:tc>
              <w:tc>
                <w:tcPr>
                  <w:tcW w:w="855" w:type="pct"/>
                  <w:vMerge w:val="continue"/>
                  <w:vAlign w:val="center"/>
                </w:tcPr>
                <w:p w14:paraId="446C8F4D">
                  <w:pPr>
                    <w:jc w:val="center"/>
                    <w:rPr>
                      <w:color w:val="000000" w:themeColor="text1"/>
                      <w:szCs w:val="21"/>
                      <w14:textFill>
                        <w14:solidFill>
                          <w14:schemeClr w14:val="tx1"/>
                        </w14:solidFill>
                      </w14:textFill>
                    </w:rPr>
                  </w:pPr>
                </w:p>
              </w:tc>
              <w:tc>
                <w:tcPr>
                  <w:tcW w:w="754" w:type="pct"/>
                  <w:shd w:val="clear" w:color="auto" w:fill="auto"/>
                  <w:vAlign w:val="center"/>
                </w:tcPr>
                <w:p w14:paraId="1063D61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693EC24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926" w:type="pct"/>
                  <w:shd w:val="clear" w:color="auto" w:fill="auto"/>
                  <w:vAlign w:val="center"/>
                </w:tcPr>
                <w:p w14:paraId="5DD7BB5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5ABBF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E5BBDAB">
                  <w:pPr>
                    <w:jc w:val="center"/>
                    <w:rPr>
                      <w:color w:val="000000" w:themeColor="text1"/>
                      <w:szCs w:val="21"/>
                      <w14:textFill>
                        <w14:solidFill>
                          <w14:schemeClr w14:val="tx1"/>
                        </w14:solidFill>
                      </w14:textFill>
                    </w:rPr>
                  </w:pPr>
                </w:p>
              </w:tc>
              <w:tc>
                <w:tcPr>
                  <w:tcW w:w="764" w:type="pct"/>
                  <w:vMerge w:val="continue"/>
                  <w:vAlign w:val="center"/>
                </w:tcPr>
                <w:p w14:paraId="0FC57847">
                  <w:pPr>
                    <w:jc w:val="center"/>
                    <w:rPr>
                      <w:color w:val="000000" w:themeColor="text1"/>
                      <w:szCs w:val="21"/>
                      <w14:textFill>
                        <w14:solidFill>
                          <w14:schemeClr w14:val="tx1"/>
                        </w14:solidFill>
                      </w14:textFill>
                    </w:rPr>
                  </w:pPr>
                </w:p>
              </w:tc>
              <w:tc>
                <w:tcPr>
                  <w:tcW w:w="721" w:type="pct"/>
                  <w:vMerge w:val="restart"/>
                  <w:vAlign w:val="center"/>
                </w:tcPr>
                <w:p w14:paraId="00DA0B7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沉淀</w:t>
                  </w:r>
                </w:p>
              </w:tc>
              <w:tc>
                <w:tcPr>
                  <w:tcW w:w="855" w:type="pct"/>
                  <w:vMerge w:val="restart"/>
                  <w:vAlign w:val="center"/>
                </w:tcPr>
                <w:p w14:paraId="4DC7613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回旋槽</w:t>
                  </w:r>
                </w:p>
              </w:tc>
              <w:tc>
                <w:tcPr>
                  <w:tcW w:w="754" w:type="pct"/>
                  <w:shd w:val="clear" w:color="auto" w:fill="auto"/>
                  <w:vAlign w:val="center"/>
                </w:tcPr>
                <w:p w14:paraId="2E07D50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22AD0DB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rFonts w:ascii="Arial" w:hAnsi="Arial" w:cs="Arial"/>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w:t>
                  </w:r>
                  <w:r>
                    <w:rPr>
                      <w:rFonts w:ascii="Arial" w:hAnsi="Arial" w:cs="Arial"/>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w:t>
                  </w:r>
                </w:p>
              </w:tc>
              <w:tc>
                <w:tcPr>
                  <w:tcW w:w="926" w:type="pct"/>
                  <w:shd w:val="clear" w:color="auto" w:fill="auto"/>
                  <w:vAlign w:val="center"/>
                </w:tcPr>
                <w:p w14:paraId="6B170B2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685FD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0AFCAB7">
                  <w:pPr>
                    <w:jc w:val="center"/>
                    <w:rPr>
                      <w:color w:val="000000" w:themeColor="text1"/>
                      <w:szCs w:val="21"/>
                      <w14:textFill>
                        <w14:solidFill>
                          <w14:schemeClr w14:val="tx1"/>
                        </w14:solidFill>
                      </w14:textFill>
                    </w:rPr>
                  </w:pPr>
                </w:p>
              </w:tc>
              <w:tc>
                <w:tcPr>
                  <w:tcW w:w="764" w:type="pct"/>
                  <w:vMerge w:val="continue"/>
                  <w:vAlign w:val="center"/>
                </w:tcPr>
                <w:p w14:paraId="62189579">
                  <w:pPr>
                    <w:jc w:val="center"/>
                    <w:rPr>
                      <w:color w:val="000000" w:themeColor="text1"/>
                      <w:szCs w:val="21"/>
                      <w14:textFill>
                        <w14:solidFill>
                          <w14:schemeClr w14:val="tx1"/>
                        </w14:solidFill>
                      </w14:textFill>
                    </w:rPr>
                  </w:pPr>
                </w:p>
              </w:tc>
              <w:tc>
                <w:tcPr>
                  <w:tcW w:w="721" w:type="pct"/>
                  <w:vMerge w:val="continue"/>
                  <w:vAlign w:val="center"/>
                </w:tcPr>
                <w:p w14:paraId="1CD2C60F">
                  <w:pPr>
                    <w:jc w:val="center"/>
                    <w:rPr>
                      <w:color w:val="000000" w:themeColor="text1"/>
                      <w:szCs w:val="21"/>
                      <w14:textFill>
                        <w14:solidFill>
                          <w14:schemeClr w14:val="tx1"/>
                        </w14:solidFill>
                      </w14:textFill>
                    </w:rPr>
                  </w:pPr>
                </w:p>
              </w:tc>
              <w:tc>
                <w:tcPr>
                  <w:tcW w:w="855" w:type="pct"/>
                  <w:vMerge w:val="continue"/>
                  <w:vAlign w:val="center"/>
                </w:tcPr>
                <w:p w14:paraId="2A25749A">
                  <w:pPr>
                    <w:jc w:val="center"/>
                    <w:rPr>
                      <w:color w:val="000000" w:themeColor="text1"/>
                      <w:szCs w:val="21"/>
                      <w14:textFill>
                        <w14:solidFill>
                          <w14:schemeClr w14:val="tx1"/>
                        </w14:solidFill>
                      </w14:textFill>
                    </w:rPr>
                  </w:pPr>
                </w:p>
              </w:tc>
              <w:tc>
                <w:tcPr>
                  <w:tcW w:w="754" w:type="pct"/>
                  <w:shd w:val="clear" w:color="auto" w:fill="auto"/>
                  <w:vAlign w:val="center"/>
                </w:tcPr>
                <w:p w14:paraId="0EC4BEB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5DD2635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926" w:type="pct"/>
                  <w:shd w:val="clear" w:color="auto" w:fill="auto"/>
                  <w:vAlign w:val="center"/>
                </w:tcPr>
                <w:p w14:paraId="7FA02AF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68767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5339127">
                  <w:pPr>
                    <w:jc w:val="center"/>
                    <w:rPr>
                      <w:color w:val="000000" w:themeColor="text1"/>
                      <w:szCs w:val="21"/>
                      <w14:textFill>
                        <w14:solidFill>
                          <w14:schemeClr w14:val="tx1"/>
                        </w14:solidFill>
                      </w14:textFill>
                    </w:rPr>
                  </w:pPr>
                </w:p>
              </w:tc>
              <w:tc>
                <w:tcPr>
                  <w:tcW w:w="764" w:type="pct"/>
                  <w:vMerge w:val="continue"/>
                  <w:vAlign w:val="center"/>
                </w:tcPr>
                <w:p w14:paraId="5C0A0C01">
                  <w:pPr>
                    <w:jc w:val="center"/>
                    <w:rPr>
                      <w:color w:val="000000" w:themeColor="text1"/>
                      <w:szCs w:val="21"/>
                      <w14:textFill>
                        <w14:solidFill>
                          <w14:schemeClr w14:val="tx1"/>
                        </w14:solidFill>
                      </w14:textFill>
                    </w:rPr>
                  </w:pPr>
                </w:p>
              </w:tc>
              <w:tc>
                <w:tcPr>
                  <w:tcW w:w="721" w:type="pct"/>
                  <w:vMerge w:val="restart"/>
                  <w:vAlign w:val="center"/>
                </w:tcPr>
                <w:p w14:paraId="75E498C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冷却</w:t>
                  </w:r>
                </w:p>
              </w:tc>
              <w:tc>
                <w:tcPr>
                  <w:tcW w:w="855" w:type="pct"/>
                  <w:vMerge w:val="restart"/>
                  <w:vAlign w:val="center"/>
                </w:tcPr>
                <w:p w14:paraId="1E4597D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板式换热器</w:t>
                  </w:r>
                </w:p>
              </w:tc>
              <w:tc>
                <w:tcPr>
                  <w:tcW w:w="754" w:type="pct"/>
                  <w:shd w:val="clear" w:color="auto" w:fill="auto"/>
                  <w:vAlign w:val="center"/>
                </w:tcPr>
                <w:p w14:paraId="3EB872A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6B327B0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6817789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5ACFE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E299717">
                  <w:pPr>
                    <w:jc w:val="center"/>
                    <w:rPr>
                      <w:color w:val="000000" w:themeColor="text1"/>
                      <w:szCs w:val="21"/>
                      <w14:textFill>
                        <w14:solidFill>
                          <w14:schemeClr w14:val="tx1"/>
                        </w14:solidFill>
                      </w14:textFill>
                    </w:rPr>
                  </w:pPr>
                </w:p>
              </w:tc>
              <w:tc>
                <w:tcPr>
                  <w:tcW w:w="764" w:type="pct"/>
                  <w:vMerge w:val="continue"/>
                  <w:vAlign w:val="center"/>
                </w:tcPr>
                <w:p w14:paraId="2B6100EE">
                  <w:pPr>
                    <w:jc w:val="center"/>
                    <w:rPr>
                      <w:color w:val="000000" w:themeColor="text1"/>
                      <w:szCs w:val="21"/>
                      <w14:textFill>
                        <w14:solidFill>
                          <w14:schemeClr w14:val="tx1"/>
                        </w14:solidFill>
                      </w14:textFill>
                    </w:rPr>
                  </w:pPr>
                </w:p>
              </w:tc>
              <w:tc>
                <w:tcPr>
                  <w:tcW w:w="721" w:type="pct"/>
                  <w:vMerge w:val="continue"/>
                  <w:vAlign w:val="center"/>
                </w:tcPr>
                <w:p w14:paraId="7FF864D9">
                  <w:pPr>
                    <w:jc w:val="center"/>
                    <w:rPr>
                      <w:color w:val="000000" w:themeColor="text1"/>
                      <w:szCs w:val="21"/>
                      <w14:textFill>
                        <w14:solidFill>
                          <w14:schemeClr w14:val="tx1"/>
                        </w14:solidFill>
                      </w14:textFill>
                    </w:rPr>
                  </w:pPr>
                </w:p>
              </w:tc>
              <w:tc>
                <w:tcPr>
                  <w:tcW w:w="855" w:type="pct"/>
                  <w:vMerge w:val="continue"/>
                  <w:vAlign w:val="center"/>
                </w:tcPr>
                <w:p w14:paraId="5F290516">
                  <w:pPr>
                    <w:jc w:val="center"/>
                    <w:rPr>
                      <w:color w:val="000000" w:themeColor="text1"/>
                      <w:szCs w:val="21"/>
                      <w14:textFill>
                        <w14:solidFill>
                          <w14:schemeClr w14:val="tx1"/>
                        </w14:solidFill>
                      </w14:textFill>
                    </w:rPr>
                  </w:pPr>
                </w:p>
              </w:tc>
              <w:tc>
                <w:tcPr>
                  <w:tcW w:w="754" w:type="pct"/>
                  <w:shd w:val="clear" w:color="auto" w:fill="auto"/>
                  <w:vAlign w:val="center"/>
                </w:tcPr>
                <w:p w14:paraId="73E9D69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0135A3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7B21108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7D03B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AD3E87A">
                  <w:pPr>
                    <w:jc w:val="center"/>
                    <w:rPr>
                      <w:color w:val="000000" w:themeColor="text1"/>
                      <w:szCs w:val="21"/>
                      <w14:textFill>
                        <w14:solidFill>
                          <w14:schemeClr w14:val="tx1"/>
                        </w14:solidFill>
                      </w14:textFill>
                    </w:rPr>
                  </w:pPr>
                </w:p>
              </w:tc>
              <w:tc>
                <w:tcPr>
                  <w:tcW w:w="764" w:type="pct"/>
                  <w:vMerge w:val="continue"/>
                  <w:vAlign w:val="center"/>
                </w:tcPr>
                <w:p w14:paraId="69209027">
                  <w:pPr>
                    <w:jc w:val="center"/>
                    <w:rPr>
                      <w:color w:val="000000" w:themeColor="text1"/>
                      <w:szCs w:val="21"/>
                      <w14:textFill>
                        <w14:solidFill>
                          <w14:schemeClr w14:val="tx1"/>
                        </w14:solidFill>
                      </w14:textFill>
                    </w:rPr>
                  </w:pPr>
                </w:p>
              </w:tc>
              <w:tc>
                <w:tcPr>
                  <w:tcW w:w="721" w:type="pct"/>
                  <w:vMerge w:val="continue"/>
                  <w:vAlign w:val="center"/>
                </w:tcPr>
                <w:p w14:paraId="29F32C9F">
                  <w:pPr>
                    <w:jc w:val="center"/>
                    <w:rPr>
                      <w:color w:val="000000" w:themeColor="text1"/>
                      <w:szCs w:val="21"/>
                      <w14:textFill>
                        <w14:solidFill>
                          <w14:schemeClr w14:val="tx1"/>
                        </w14:solidFill>
                      </w14:textFill>
                    </w:rPr>
                  </w:pPr>
                </w:p>
              </w:tc>
              <w:tc>
                <w:tcPr>
                  <w:tcW w:w="855" w:type="pct"/>
                  <w:vMerge w:val="restart"/>
                  <w:vAlign w:val="center"/>
                </w:tcPr>
                <w:p w14:paraId="0D171C4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冰水罐</w:t>
                  </w:r>
                </w:p>
              </w:tc>
              <w:tc>
                <w:tcPr>
                  <w:tcW w:w="754" w:type="pct"/>
                  <w:shd w:val="clear" w:color="auto" w:fill="auto"/>
                  <w:vAlign w:val="center"/>
                </w:tcPr>
                <w:p w14:paraId="4BE9A28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760B844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w:t>
                  </w:r>
                </w:p>
              </w:tc>
              <w:tc>
                <w:tcPr>
                  <w:tcW w:w="926" w:type="pct"/>
                  <w:shd w:val="clear" w:color="auto" w:fill="auto"/>
                  <w:vAlign w:val="center"/>
                </w:tcPr>
                <w:p w14:paraId="79E5C1C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5D01C2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D47C83C">
                  <w:pPr>
                    <w:jc w:val="center"/>
                    <w:rPr>
                      <w:color w:val="000000" w:themeColor="text1"/>
                      <w:szCs w:val="21"/>
                      <w14:textFill>
                        <w14:solidFill>
                          <w14:schemeClr w14:val="tx1"/>
                        </w14:solidFill>
                      </w14:textFill>
                    </w:rPr>
                  </w:pPr>
                </w:p>
              </w:tc>
              <w:tc>
                <w:tcPr>
                  <w:tcW w:w="764" w:type="pct"/>
                  <w:vMerge w:val="continue"/>
                  <w:vAlign w:val="center"/>
                </w:tcPr>
                <w:p w14:paraId="59EE839A">
                  <w:pPr>
                    <w:jc w:val="center"/>
                    <w:rPr>
                      <w:color w:val="000000" w:themeColor="text1"/>
                      <w:szCs w:val="21"/>
                      <w14:textFill>
                        <w14:solidFill>
                          <w14:schemeClr w14:val="tx1"/>
                        </w14:solidFill>
                      </w14:textFill>
                    </w:rPr>
                  </w:pPr>
                </w:p>
              </w:tc>
              <w:tc>
                <w:tcPr>
                  <w:tcW w:w="721" w:type="pct"/>
                  <w:vMerge w:val="continue"/>
                  <w:vAlign w:val="center"/>
                </w:tcPr>
                <w:p w14:paraId="61984FB7">
                  <w:pPr>
                    <w:jc w:val="center"/>
                    <w:rPr>
                      <w:color w:val="000000" w:themeColor="text1"/>
                      <w:szCs w:val="21"/>
                      <w14:textFill>
                        <w14:solidFill>
                          <w14:schemeClr w14:val="tx1"/>
                        </w14:solidFill>
                      </w14:textFill>
                    </w:rPr>
                  </w:pPr>
                </w:p>
              </w:tc>
              <w:tc>
                <w:tcPr>
                  <w:tcW w:w="855" w:type="pct"/>
                  <w:vMerge w:val="continue"/>
                  <w:vAlign w:val="center"/>
                </w:tcPr>
                <w:p w14:paraId="09D40BB6">
                  <w:pPr>
                    <w:jc w:val="center"/>
                    <w:rPr>
                      <w:color w:val="000000" w:themeColor="text1"/>
                      <w:szCs w:val="21"/>
                      <w14:textFill>
                        <w14:solidFill>
                          <w14:schemeClr w14:val="tx1"/>
                        </w14:solidFill>
                      </w14:textFill>
                    </w:rPr>
                  </w:pPr>
                </w:p>
              </w:tc>
              <w:tc>
                <w:tcPr>
                  <w:tcW w:w="754" w:type="pct"/>
                  <w:shd w:val="clear" w:color="auto" w:fill="auto"/>
                  <w:vAlign w:val="center"/>
                </w:tcPr>
                <w:p w14:paraId="0629148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6AB3BD6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0B3B93F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7098A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5F37955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764" w:type="pct"/>
                  <w:vMerge w:val="restart"/>
                  <w:vAlign w:val="center"/>
                </w:tcPr>
                <w:p w14:paraId="4636173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w:t>
                  </w:r>
                </w:p>
              </w:tc>
              <w:tc>
                <w:tcPr>
                  <w:tcW w:w="721" w:type="pct"/>
                  <w:vMerge w:val="restart"/>
                  <w:vAlign w:val="center"/>
                </w:tcPr>
                <w:p w14:paraId="416FE69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w:t>
                  </w:r>
                </w:p>
              </w:tc>
              <w:tc>
                <w:tcPr>
                  <w:tcW w:w="855" w:type="pct"/>
                  <w:vMerge w:val="restart"/>
                  <w:vAlign w:val="center"/>
                </w:tcPr>
                <w:p w14:paraId="2660E5B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发酵罐</w:t>
                  </w:r>
                </w:p>
              </w:tc>
              <w:tc>
                <w:tcPr>
                  <w:tcW w:w="754" w:type="pct"/>
                  <w:shd w:val="clear" w:color="auto" w:fill="auto"/>
                  <w:vAlign w:val="center"/>
                </w:tcPr>
                <w:p w14:paraId="5AE8AF2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04BE57C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926" w:type="pct"/>
                  <w:shd w:val="clear" w:color="auto" w:fill="auto"/>
                  <w:vAlign w:val="center"/>
                </w:tcPr>
                <w:p w14:paraId="7B7F25D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30AB0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0E139DB3">
                  <w:pPr>
                    <w:jc w:val="center"/>
                    <w:rPr>
                      <w:color w:val="000000" w:themeColor="text1"/>
                      <w:szCs w:val="21"/>
                      <w14:textFill>
                        <w14:solidFill>
                          <w14:schemeClr w14:val="tx1"/>
                        </w14:solidFill>
                      </w14:textFill>
                    </w:rPr>
                  </w:pPr>
                </w:p>
              </w:tc>
              <w:tc>
                <w:tcPr>
                  <w:tcW w:w="764" w:type="pct"/>
                  <w:vMerge w:val="continue"/>
                  <w:vAlign w:val="center"/>
                </w:tcPr>
                <w:p w14:paraId="46D4F7DA">
                  <w:pPr>
                    <w:jc w:val="center"/>
                    <w:rPr>
                      <w:color w:val="000000" w:themeColor="text1"/>
                      <w:szCs w:val="21"/>
                      <w14:textFill>
                        <w14:solidFill>
                          <w14:schemeClr w14:val="tx1"/>
                        </w14:solidFill>
                      </w14:textFill>
                    </w:rPr>
                  </w:pPr>
                </w:p>
              </w:tc>
              <w:tc>
                <w:tcPr>
                  <w:tcW w:w="721" w:type="pct"/>
                  <w:vMerge w:val="continue"/>
                  <w:vAlign w:val="center"/>
                </w:tcPr>
                <w:p w14:paraId="7D5177C1">
                  <w:pPr>
                    <w:jc w:val="center"/>
                    <w:rPr>
                      <w:color w:val="000000" w:themeColor="text1"/>
                      <w:szCs w:val="21"/>
                      <w14:textFill>
                        <w14:solidFill>
                          <w14:schemeClr w14:val="tx1"/>
                        </w14:solidFill>
                      </w14:textFill>
                    </w:rPr>
                  </w:pPr>
                </w:p>
              </w:tc>
              <w:tc>
                <w:tcPr>
                  <w:tcW w:w="855" w:type="pct"/>
                  <w:vMerge w:val="continue"/>
                  <w:vAlign w:val="center"/>
                </w:tcPr>
                <w:p w14:paraId="4F4CC56B">
                  <w:pPr>
                    <w:jc w:val="center"/>
                    <w:rPr>
                      <w:color w:val="000000" w:themeColor="text1"/>
                      <w:szCs w:val="21"/>
                      <w14:textFill>
                        <w14:solidFill>
                          <w14:schemeClr w14:val="tx1"/>
                        </w14:solidFill>
                      </w14:textFill>
                    </w:rPr>
                  </w:pPr>
                </w:p>
              </w:tc>
              <w:tc>
                <w:tcPr>
                  <w:tcW w:w="754" w:type="pct"/>
                  <w:shd w:val="clear" w:color="auto" w:fill="auto"/>
                  <w:vAlign w:val="center"/>
                </w:tcPr>
                <w:p w14:paraId="2BA0E02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5D6153B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926" w:type="pct"/>
                  <w:shd w:val="clear" w:color="auto" w:fill="auto"/>
                  <w:vAlign w:val="center"/>
                </w:tcPr>
                <w:p w14:paraId="478117F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3D38B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29A7485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764" w:type="pct"/>
                  <w:vMerge w:val="restart"/>
                  <w:shd w:val="clear" w:color="auto" w:fill="auto"/>
                  <w:vAlign w:val="center"/>
                </w:tcPr>
                <w:p w14:paraId="04766EB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过滤</w:t>
                  </w:r>
                </w:p>
              </w:tc>
              <w:tc>
                <w:tcPr>
                  <w:tcW w:w="721" w:type="pct"/>
                  <w:vMerge w:val="restart"/>
                  <w:shd w:val="clear" w:color="auto" w:fill="auto"/>
                  <w:vAlign w:val="center"/>
                </w:tcPr>
                <w:p w14:paraId="6921DF8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过滤</w:t>
                  </w:r>
                </w:p>
              </w:tc>
              <w:tc>
                <w:tcPr>
                  <w:tcW w:w="855" w:type="pct"/>
                  <w:vMerge w:val="restart"/>
                  <w:shd w:val="clear" w:color="auto" w:fill="auto"/>
                  <w:vAlign w:val="center"/>
                </w:tcPr>
                <w:p w14:paraId="2E07CBB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硅藻土过滤机</w:t>
                  </w:r>
                </w:p>
              </w:tc>
              <w:tc>
                <w:tcPr>
                  <w:tcW w:w="754" w:type="pct"/>
                  <w:shd w:val="clear" w:color="auto" w:fill="auto"/>
                  <w:vAlign w:val="center"/>
                </w:tcPr>
                <w:p w14:paraId="3C8A0F4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57B1005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6.0</w:t>
                  </w:r>
                </w:p>
              </w:tc>
              <w:tc>
                <w:tcPr>
                  <w:tcW w:w="926" w:type="pct"/>
                  <w:shd w:val="clear" w:color="auto" w:fill="auto"/>
                  <w:vAlign w:val="center"/>
                </w:tcPr>
                <w:p w14:paraId="018ADD0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680F5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A5F94FF">
                  <w:pPr>
                    <w:jc w:val="center"/>
                    <w:rPr>
                      <w:color w:val="000000" w:themeColor="text1"/>
                      <w:szCs w:val="21"/>
                      <w14:textFill>
                        <w14:solidFill>
                          <w14:schemeClr w14:val="tx1"/>
                        </w14:solidFill>
                      </w14:textFill>
                    </w:rPr>
                  </w:pPr>
                </w:p>
              </w:tc>
              <w:tc>
                <w:tcPr>
                  <w:tcW w:w="764" w:type="pct"/>
                  <w:vMerge w:val="continue"/>
                  <w:vAlign w:val="center"/>
                </w:tcPr>
                <w:p w14:paraId="7377C869">
                  <w:pPr>
                    <w:jc w:val="center"/>
                    <w:rPr>
                      <w:color w:val="000000" w:themeColor="text1"/>
                      <w:szCs w:val="21"/>
                      <w14:textFill>
                        <w14:solidFill>
                          <w14:schemeClr w14:val="tx1"/>
                        </w14:solidFill>
                      </w14:textFill>
                    </w:rPr>
                  </w:pPr>
                </w:p>
              </w:tc>
              <w:tc>
                <w:tcPr>
                  <w:tcW w:w="721" w:type="pct"/>
                  <w:vMerge w:val="continue"/>
                  <w:vAlign w:val="center"/>
                </w:tcPr>
                <w:p w14:paraId="21834BFC">
                  <w:pPr>
                    <w:jc w:val="center"/>
                    <w:rPr>
                      <w:color w:val="000000" w:themeColor="text1"/>
                      <w:szCs w:val="21"/>
                      <w14:textFill>
                        <w14:solidFill>
                          <w14:schemeClr w14:val="tx1"/>
                        </w14:solidFill>
                      </w14:textFill>
                    </w:rPr>
                  </w:pPr>
                </w:p>
              </w:tc>
              <w:tc>
                <w:tcPr>
                  <w:tcW w:w="855" w:type="pct"/>
                  <w:vMerge w:val="continue"/>
                  <w:vAlign w:val="center"/>
                </w:tcPr>
                <w:p w14:paraId="015A4421">
                  <w:pPr>
                    <w:jc w:val="center"/>
                    <w:rPr>
                      <w:color w:val="000000" w:themeColor="text1"/>
                      <w:szCs w:val="21"/>
                      <w14:textFill>
                        <w14:solidFill>
                          <w14:schemeClr w14:val="tx1"/>
                        </w14:solidFill>
                      </w14:textFill>
                    </w:rPr>
                  </w:pPr>
                </w:p>
              </w:tc>
              <w:tc>
                <w:tcPr>
                  <w:tcW w:w="754" w:type="pct"/>
                  <w:shd w:val="clear" w:color="auto" w:fill="auto"/>
                  <w:vAlign w:val="center"/>
                </w:tcPr>
                <w:p w14:paraId="2AEBDA0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D6B9D4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0A3025D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1F0AF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5EE3069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764" w:type="pct"/>
                  <w:vMerge w:val="restart"/>
                  <w:vAlign w:val="center"/>
                </w:tcPr>
                <w:p w14:paraId="28B6E85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储存</w:t>
                  </w:r>
                </w:p>
              </w:tc>
              <w:tc>
                <w:tcPr>
                  <w:tcW w:w="721" w:type="pct"/>
                  <w:vMerge w:val="restart"/>
                  <w:vAlign w:val="center"/>
                </w:tcPr>
                <w:p w14:paraId="0F6C3F0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储存</w:t>
                  </w:r>
                </w:p>
              </w:tc>
              <w:tc>
                <w:tcPr>
                  <w:tcW w:w="855" w:type="pct"/>
                  <w:vMerge w:val="restart"/>
                  <w:vAlign w:val="center"/>
                </w:tcPr>
                <w:p w14:paraId="0DBE585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清酒罐</w:t>
                  </w:r>
                </w:p>
              </w:tc>
              <w:tc>
                <w:tcPr>
                  <w:tcW w:w="754" w:type="pct"/>
                  <w:shd w:val="clear" w:color="auto" w:fill="auto"/>
                  <w:vAlign w:val="center"/>
                </w:tcPr>
                <w:p w14:paraId="19093D0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7D806BC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1666B8D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6F775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B1E0214">
                  <w:pPr>
                    <w:jc w:val="center"/>
                    <w:rPr>
                      <w:color w:val="000000" w:themeColor="text1"/>
                      <w:szCs w:val="21"/>
                      <w14:textFill>
                        <w14:solidFill>
                          <w14:schemeClr w14:val="tx1"/>
                        </w14:solidFill>
                      </w14:textFill>
                    </w:rPr>
                  </w:pPr>
                </w:p>
              </w:tc>
              <w:tc>
                <w:tcPr>
                  <w:tcW w:w="764" w:type="pct"/>
                  <w:vMerge w:val="continue"/>
                  <w:vAlign w:val="center"/>
                </w:tcPr>
                <w:p w14:paraId="14999F6D">
                  <w:pPr>
                    <w:jc w:val="center"/>
                    <w:rPr>
                      <w:color w:val="000000" w:themeColor="text1"/>
                      <w:szCs w:val="21"/>
                      <w14:textFill>
                        <w14:solidFill>
                          <w14:schemeClr w14:val="tx1"/>
                        </w14:solidFill>
                      </w14:textFill>
                    </w:rPr>
                  </w:pPr>
                </w:p>
              </w:tc>
              <w:tc>
                <w:tcPr>
                  <w:tcW w:w="721" w:type="pct"/>
                  <w:vMerge w:val="continue"/>
                  <w:vAlign w:val="center"/>
                </w:tcPr>
                <w:p w14:paraId="13AE6D47">
                  <w:pPr>
                    <w:jc w:val="center"/>
                    <w:rPr>
                      <w:color w:val="000000" w:themeColor="text1"/>
                      <w:szCs w:val="21"/>
                      <w14:textFill>
                        <w14:solidFill>
                          <w14:schemeClr w14:val="tx1"/>
                        </w14:solidFill>
                      </w14:textFill>
                    </w:rPr>
                  </w:pPr>
                </w:p>
              </w:tc>
              <w:tc>
                <w:tcPr>
                  <w:tcW w:w="855" w:type="pct"/>
                  <w:vMerge w:val="continue"/>
                  <w:vAlign w:val="center"/>
                </w:tcPr>
                <w:p w14:paraId="13607383">
                  <w:pPr>
                    <w:jc w:val="center"/>
                    <w:rPr>
                      <w:color w:val="000000" w:themeColor="text1"/>
                      <w:szCs w:val="21"/>
                      <w14:textFill>
                        <w14:solidFill>
                          <w14:schemeClr w14:val="tx1"/>
                        </w14:solidFill>
                      </w14:textFill>
                    </w:rPr>
                  </w:pPr>
                </w:p>
              </w:tc>
              <w:tc>
                <w:tcPr>
                  <w:tcW w:w="754" w:type="pct"/>
                  <w:shd w:val="clear" w:color="auto" w:fill="auto"/>
                  <w:vAlign w:val="center"/>
                </w:tcPr>
                <w:p w14:paraId="3FEB49B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6FA686B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926" w:type="pct"/>
                  <w:shd w:val="clear" w:color="auto" w:fill="auto"/>
                  <w:vAlign w:val="center"/>
                </w:tcPr>
                <w:p w14:paraId="6ECDD86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39B99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22E97FD4">
                  <w:pPr>
                    <w:tabs>
                      <w:tab w:val="left" w:pos="250"/>
                    </w:tabs>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p>
              </w:tc>
              <w:tc>
                <w:tcPr>
                  <w:tcW w:w="764" w:type="pct"/>
                  <w:vMerge w:val="restart"/>
                  <w:shd w:val="clear" w:color="auto" w:fill="auto"/>
                  <w:vAlign w:val="center"/>
                </w:tcPr>
                <w:p w14:paraId="40C1462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洗瓶灌装</w:t>
                  </w:r>
                </w:p>
              </w:tc>
              <w:tc>
                <w:tcPr>
                  <w:tcW w:w="721" w:type="pct"/>
                  <w:vMerge w:val="restart"/>
                  <w:shd w:val="clear" w:color="auto" w:fill="auto"/>
                  <w:vAlign w:val="center"/>
                </w:tcPr>
                <w:p w14:paraId="65A8B27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洗瓶灌装</w:t>
                  </w:r>
                </w:p>
              </w:tc>
              <w:tc>
                <w:tcPr>
                  <w:tcW w:w="855" w:type="pct"/>
                  <w:vMerge w:val="restart"/>
                  <w:shd w:val="clear" w:color="auto" w:fill="auto"/>
                  <w:vAlign w:val="center"/>
                </w:tcPr>
                <w:p w14:paraId="4E7D937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灌装线</w:t>
                  </w:r>
                </w:p>
              </w:tc>
              <w:tc>
                <w:tcPr>
                  <w:tcW w:w="754" w:type="pct"/>
                  <w:shd w:val="clear" w:color="auto" w:fill="auto"/>
                  <w:vAlign w:val="center"/>
                </w:tcPr>
                <w:p w14:paraId="4149D26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4399B01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6.0</w:t>
                  </w:r>
                </w:p>
              </w:tc>
              <w:tc>
                <w:tcPr>
                  <w:tcW w:w="926" w:type="pct"/>
                  <w:shd w:val="clear" w:color="auto" w:fill="auto"/>
                  <w:vAlign w:val="center"/>
                </w:tcPr>
                <w:p w14:paraId="3A83FC6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3ABB3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830634B">
                  <w:pPr>
                    <w:jc w:val="center"/>
                    <w:rPr>
                      <w:color w:val="000000" w:themeColor="text1"/>
                      <w:szCs w:val="21"/>
                      <w14:textFill>
                        <w14:solidFill>
                          <w14:schemeClr w14:val="tx1"/>
                        </w14:solidFill>
                      </w14:textFill>
                    </w:rPr>
                  </w:pPr>
                </w:p>
              </w:tc>
              <w:tc>
                <w:tcPr>
                  <w:tcW w:w="764" w:type="pct"/>
                  <w:vMerge w:val="continue"/>
                  <w:vAlign w:val="center"/>
                </w:tcPr>
                <w:p w14:paraId="11397F88">
                  <w:pPr>
                    <w:jc w:val="center"/>
                    <w:rPr>
                      <w:color w:val="000000" w:themeColor="text1"/>
                      <w:szCs w:val="21"/>
                      <w14:textFill>
                        <w14:solidFill>
                          <w14:schemeClr w14:val="tx1"/>
                        </w14:solidFill>
                      </w14:textFill>
                    </w:rPr>
                  </w:pPr>
                </w:p>
              </w:tc>
              <w:tc>
                <w:tcPr>
                  <w:tcW w:w="721" w:type="pct"/>
                  <w:vMerge w:val="continue"/>
                  <w:vAlign w:val="center"/>
                </w:tcPr>
                <w:p w14:paraId="4A6FDAB4">
                  <w:pPr>
                    <w:jc w:val="center"/>
                    <w:rPr>
                      <w:color w:val="000000" w:themeColor="text1"/>
                      <w:szCs w:val="21"/>
                      <w14:textFill>
                        <w14:solidFill>
                          <w14:schemeClr w14:val="tx1"/>
                        </w14:solidFill>
                      </w14:textFill>
                    </w:rPr>
                  </w:pPr>
                </w:p>
              </w:tc>
              <w:tc>
                <w:tcPr>
                  <w:tcW w:w="855" w:type="pct"/>
                  <w:vMerge w:val="continue"/>
                  <w:vAlign w:val="center"/>
                </w:tcPr>
                <w:p w14:paraId="2EDF2B60">
                  <w:pPr>
                    <w:jc w:val="center"/>
                    <w:rPr>
                      <w:color w:val="000000" w:themeColor="text1"/>
                      <w:szCs w:val="21"/>
                      <w14:textFill>
                        <w14:solidFill>
                          <w14:schemeClr w14:val="tx1"/>
                        </w14:solidFill>
                      </w14:textFill>
                    </w:rPr>
                  </w:pPr>
                </w:p>
              </w:tc>
              <w:tc>
                <w:tcPr>
                  <w:tcW w:w="754" w:type="pct"/>
                  <w:shd w:val="clear" w:color="auto" w:fill="auto"/>
                  <w:vAlign w:val="center"/>
                </w:tcPr>
                <w:p w14:paraId="1803C19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43B6B0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069E69D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55722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492C923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764" w:type="pct"/>
                  <w:vMerge w:val="restart"/>
                  <w:vAlign w:val="center"/>
                </w:tcPr>
                <w:p w14:paraId="61C00AE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杀菌</w:t>
                  </w:r>
                </w:p>
              </w:tc>
              <w:tc>
                <w:tcPr>
                  <w:tcW w:w="721" w:type="pct"/>
                  <w:vMerge w:val="restart"/>
                  <w:vAlign w:val="center"/>
                </w:tcPr>
                <w:p w14:paraId="76DC474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杀菌</w:t>
                  </w:r>
                </w:p>
              </w:tc>
              <w:tc>
                <w:tcPr>
                  <w:tcW w:w="855" w:type="pct"/>
                  <w:vMerge w:val="restart"/>
                  <w:vAlign w:val="center"/>
                </w:tcPr>
                <w:p w14:paraId="1B65966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隧道式高温杀菌机</w:t>
                  </w:r>
                </w:p>
              </w:tc>
              <w:tc>
                <w:tcPr>
                  <w:tcW w:w="754" w:type="pct"/>
                  <w:shd w:val="clear" w:color="auto" w:fill="auto"/>
                  <w:vAlign w:val="center"/>
                </w:tcPr>
                <w:p w14:paraId="4F14570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39CAAB9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w:t>
                  </w:r>
                </w:p>
              </w:tc>
              <w:tc>
                <w:tcPr>
                  <w:tcW w:w="926" w:type="pct"/>
                  <w:shd w:val="clear" w:color="auto" w:fill="auto"/>
                  <w:vAlign w:val="center"/>
                </w:tcPr>
                <w:p w14:paraId="3E27BB8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3A319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0D0B68B7">
                  <w:pPr>
                    <w:jc w:val="center"/>
                    <w:rPr>
                      <w:color w:val="000000" w:themeColor="text1"/>
                      <w:szCs w:val="21"/>
                      <w14:textFill>
                        <w14:solidFill>
                          <w14:schemeClr w14:val="tx1"/>
                        </w14:solidFill>
                      </w14:textFill>
                    </w:rPr>
                  </w:pPr>
                </w:p>
              </w:tc>
              <w:tc>
                <w:tcPr>
                  <w:tcW w:w="764" w:type="pct"/>
                  <w:vMerge w:val="continue"/>
                  <w:vAlign w:val="center"/>
                </w:tcPr>
                <w:p w14:paraId="001177F0">
                  <w:pPr>
                    <w:jc w:val="center"/>
                    <w:rPr>
                      <w:color w:val="000000" w:themeColor="text1"/>
                      <w:szCs w:val="21"/>
                      <w14:textFill>
                        <w14:solidFill>
                          <w14:schemeClr w14:val="tx1"/>
                        </w14:solidFill>
                      </w14:textFill>
                    </w:rPr>
                  </w:pPr>
                </w:p>
              </w:tc>
              <w:tc>
                <w:tcPr>
                  <w:tcW w:w="721" w:type="pct"/>
                  <w:vMerge w:val="continue"/>
                  <w:vAlign w:val="center"/>
                </w:tcPr>
                <w:p w14:paraId="57A47383">
                  <w:pPr>
                    <w:jc w:val="center"/>
                    <w:rPr>
                      <w:color w:val="000000" w:themeColor="text1"/>
                      <w:szCs w:val="21"/>
                      <w14:textFill>
                        <w14:solidFill>
                          <w14:schemeClr w14:val="tx1"/>
                        </w14:solidFill>
                      </w14:textFill>
                    </w:rPr>
                  </w:pPr>
                </w:p>
              </w:tc>
              <w:tc>
                <w:tcPr>
                  <w:tcW w:w="855" w:type="pct"/>
                  <w:vMerge w:val="continue"/>
                  <w:vAlign w:val="center"/>
                </w:tcPr>
                <w:p w14:paraId="7E8CE260">
                  <w:pPr>
                    <w:jc w:val="center"/>
                    <w:rPr>
                      <w:color w:val="000000" w:themeColor="text1"/>
                      <w:szCs w:val="21"/>
                      <w14:textFill>
                        <w14:solidFill>
                          <w14:schemeClr w14:val="tx1"/>
                        </w14:solidFill>
                      </w14:textFill>
                    </w:rPr>
                  </w:pPr>
                </w:p>
              </w:tc>
              <w:tc>
                <w:tcPr>
                  <w:tcW w:w="754" w:type="pct"/>
                  <w:shd w:val="clear" w:color="auto" w:fill="auto"/>
                  <w:vAlign w:val="center"/>
                </w:tcPr>
                <w:p w14:paraId="40230CF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C2D598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39A6696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1F6D2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1B05CED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w:t>
                  </w:r>
                </w:p>
              </w:tc>
              <w:tc>
                <w:tcPr>
                  <w:tcW w:w="764" w:type="pct"/>
                  <w:vMerge w:val="restart"/>
                  <w:shd w:val="clear" w:color="auto" w:fill="auto"/>
                  <w:vAlign w:val="center"/>
                </w:tcPr>
                <w:p w14:paraId="3746FE9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w:t>
                  </w:r>
                </w:p>
              </w:tc>
              <w:tc>
                <w:tcPr>
                  <w:tcW w:w="721" w:type="pct"/>
                  <w:vMerge w:val="restart"/>
                  <w:shd w:val="clear" w:color="auto" w:fill="auto"/>
                  <w:vAlign w:val="center"/>
                </w:tcPr>
                <w:p w14:paraId="7BEDAF4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贴标</w:t>
                  </w:r>
                </w:p>
              </w:tc>
              <w:tc>
                <w:tcPr>
                  <w:tcW w:w="855" w:type="pct"/>
                  <w:vMerge w:val="restart"/>
                  <w:shd w:val="clear" w:color="auto" w:fill="auto"/>
                  <w:vAlign w:val="center"/>
                </w:tcPr>
                <w:p w14:paraId="53A676C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全自动台式平面贴标机</w:t>
                  </w:r>
                </w:p>
              </w:tc>
              <w:tc>
                <w:tcPr>
                  <w:tcW w:w="754" w:type="pct"/>
                  <w:shd w:val="clear" w:color="auto" w:fill="auto"/>
                  <w:vAlign w:val="center"/>
                </w:tcPr>
                <w:p w14:paraId="5BA9FC3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43D2152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926" w:type="pct"/>
                  <w:shd w:val="clear" w:color="auto" w:fill="auto"/>
                  <w:vAlign w:val="center"/>
                </w:tcPr>
                <w:p w14:paraId="6B035B4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个/min</w:t>
                  </w:r>
                </w:p>
              </w:tc>
            </w:tr>
            <w:tr w14:paraId="5CE43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5E00261">
                  <w:pPr>
                    <w:jc w:val="center"/>
                    <w:rPr>
                      <w:color w:val="000000" w:themeColor="text1"/>
                      <w:szCs w:val="21"/>
                      <w14:textFill>
                        <w14:solidFill>
                          <w14:schemeClr w14:val="tx1"/>
                        </w14:solidFill>
                      </w14:textFill>
                    </w:rPr>
                  </w:pPr>
                </w:p>
              </w:tc>
              <w:tc>
                <w:tcPr>
                  <w:tcW w:w="764" w:type="pct"/>
                  <w:vMerge w:val="continue"/>
                  <w:vAlign w:val="center"/>
                </w:tcPr>
                <w:p w14:paraId="5EC6708D">
                  <w:pPr>
                    <w:jc w:val="center"/>
                    <w:rPr>
                      <w:color w:val="000000" w:themeColor="text1"/>
                      <w:szCs w:val="21"/>
                      <w14:textFill>
                        <w14:solidFill>
                          <w14:schemeClr w14:val="tx1"/>
                        </w14:solidFill>
                      </w14:textFill>
                    </w:rPr>
                  </w:pPr>
                </w:p>
              </w:tc>
              <w:tc>
                <w:tcPr>
                  <w:tcW w:w="721" w:type="pct"/>
                  <w:vMerge w:val="continue"/>
                  <w:vAlign w:val="center"/>
                </w:tcPr>
                <w:p w14:paraId="7A063D43">
                  <w:pPr>
                    <w:jc w:val="center"/>
                    <w:rPr>
                      <w:color w:val="000000" w:themeColor="text1"/>
                      <w:szCs w:val="21"/>
                      <w14:textFill>
                        <w14:solidFill>
                          <w14:schemeClr w14:val="tx1"/>
                        </w14:solidFill>
                      </w14:textFill>
                    </w:rPr>
                  </w:pPr>
                </w:p>
              </w:tc>
              <w:tc>
                <w:tcPr>
                  <w:tcW w:w="855" w:type="pct"/>
                  <w:vMerge w:val="continue"/>
                  <w:vAlign w:val="center"/>
                </w:tcPr>
                <w:p w14:paraId="2451BEAD">
                  <w:pPr>
                    <w:jc w:val="center"/>
                    <w:rPr>
                      <w:color w:val="000000" w:themeColor="text1"/>
                      <w:szCs w:val="21"/>
                      <w14:textFill>
                        <w14:solidFill>
                          <w14:schemeClr w14:val="tx1"/>
                        </w14:solidFill>
                      </w14:textFill>
                    </w:rPr>
                  </w:pPr>
                </w:p>
              </w:tc>
              <w:tc>
                <w:tcPr>
                  <w:tcW w:w="754" w:type="pct"/>
                  <w:shd w:val="clear" w:color="auto" w:fill="auto"/>
                  <w:vAlign w:val="center"/>
                </w:tcPr>
                <w:p w14:paraId="18248C3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1287306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0C32686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69603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C0A3637">
                  <w:pPr>
                    <w:jc w:val="center"/>
                    <w:rPr>
                      <w:color w:val="000000" w:themeColor="text1"/>
                      <w:szCs w:val="21"/>
                      <w14:textFill>
                        <w14:solidFill>
                          <w14:schemeClr w14:val="tx1"/>
                        </w14:solidFill>
                      </w14:textFill>
                    </w:rPr>
                  </w:pPr>
                </w:p>
              </w:tc>
              <w:tc>
                <w:tcPr>
                  <w:tcW w:w="764" w:type="pct"/>
                  <w:vMerge w:val="continue"/>
                  <w:vAlign w:val="center"/>
                </w:tcPr>
                <w:p w14:paraId="042DA6CF">
                  <w:pPr>
                    <w:jc w:val="center"/>
                    <w:rPr>
                      <w:color w:val="000000" w:themeColor="text1"/>
                      <w:szCs w:val="21"/>
                      <w14:textFill>
                        <w14:solidFill>
                          <w14:schemeClr w14:val="tx1"/>
                        </w14:solidFill>
                      </w14:textFill>
                    </w:rPr>
                  </w:pPr>
                </w:p>
              </w:tc>
              <w:tc>
                <w:tcPr>
                  <w:tcW w:w="721" w:type="pct"/>
                  <w:vMerge w:val="restart"/>
                  <w:shd w:val="clear" w:color="auto" w:fill="auto"/>
                  <w:vAlign w:val="center"/>
                </w:tcPr>
                <w:p w14:paraId="480105B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喷码</w:t>
                  </w:r>
                </w:p>
              </w:tc>
              <w:tc>
                <w:tcPr>
                  <w:tcW w:w="855" w:type="pct"/>
                  <w:vMerge w:val="restart"/>
                  <w:shd w:val="clear" w:color="auto" w:fill="auto"/>
                  <w:vAlign w:val="center"/>
                </w:tcPr>
                <w:p w14:paraId="77296B3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激光喷码机</w:t>
                  </w:r>
                </w:p>
              </w:tc>
              <w:tc>
                <w:tcPr>
                  <w:tcW w:w="754" w:type="pct"/>
                  <w:shd w:val="clear" w:color="auto" w:fill="auto"/>
                  <w:vAlign w:val="center"/>
                </w:tcPr>
                <w:p w14:paraId="46833FD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62B4BB3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180</w:t>
                  </w:r>
                </w:p>
              </w:tc>
              <w:tc>
                <w:tcPr>
                  <w:tcW w:w="926" w:type="pct"/>
                  <w:shd w:val="clear" w:color="auto" w:fill="auto"/>
                  <w:vAlign w:val="center"/>
                </w:tcPr>
                <w:p w14:paraId="71E7068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m/min</w:t>
                  </w:r>
                </w:p>
              </w:tc>
            </w:tr>
            <w:tr w14:paraId="4C2EB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30386C4">
                  <w:pPr>
                    <w:jc w:val="center"/>
                    <w:rPr>
                      <w:color w:val="000000" w:themeColor="text1"/>
                      <w:szCs w:val="21"/>
                      <w14:textFill>
                        <w14:solidFill>
                          <w14:schemeClr w14:val="tx1"/>
                        </w14:solidFill>
                      </w14:textFill>
                    </w:rPr>
                  </w:pPr>
                </w:p>
              </w:tc>
              <w:tc>
                <w:tcPr>
                  <w:tcW w:w="764" w:type="pct"/>
                  <w:vMerge w:val="continue"/>
                  <w:vAlign w:val="center"/>
                </w:tcPr>
                <w:p w14:paraId="25B0713A">
                  <w:pPr>
                    <w:jc w:val="center"/>
                    <w:rPr>
                      <w:color w:val="000000" w:themeColor="text1"/>
                      <w:szCs w:val="21"/>
                      <w14:textFill>
                        <w14:solidFill>
                          <w14:schemeClr w14:val="tx1"/>
                        </w14:solidFill>
                      </w14:textFill>
                    </w:rPr>
                  </w:pPr>
                </w:p>
              </w:tc>
              <w:tc>
                <w:tcPr>
                  <w:tcW w:w="721" w:type="pct"/>
                  <w:vMerge w:val="continue"/>
                  <w:vAlign w:val="center"/>
                </w:tcPr>
                <w:p w14:paraId="090281F2">
                  <w:pPr>
                    <w:jc w:val="center"/>
                    <w:rPr>
                      <w:color w:val="000000" w:themeColor="text1"/>
                      <w:szCs w:val="21"/>
                      <w14:textFill>
                        <w14:solidFill>
                          <w14:schemeClr w14:val="tx1"/>
                        </w14:solidFill>
                      </w14:textFill>
                    </w:rPr>
                  </w:pPr>
                </w:p>
              </w:tc>
              <w:tc>
                <w:tcPr>
                  <w:tcW w:w="855" w:type="pct"/>
                  <w:vMerge w:val="continue"/>
                  <w:vAlign w:val="center"/>
                </w:tcPr>
                <w:p w14:paraId="1CF02C07">
                  <w:pPr>
                    <w:jc w:val="center"/>
                    <w:rPr>
                      <w:color w:val="000000" w:themeColor="text1"/>
                      <w:szCs w:val="21"/>
                      <w14:textFill>
                        <w14:solidFill>
                          <w14:schemeClr w14:val="tx1"/>
                        </w14:solidFill>
                      </w14:textFill>
                    </w:rPr>
                  </w:pPr>
                </w:p>
              </w:tc>
              <w:tc>
                <w:tcPr>
                  <w:tcW w:w="754" w:type="pct"/>
                  <w:shd w:val="clear" w:color="auto" w:fill="auto"/>
                  <w:vAlign w:val="center"/>
                </w:tcPr>
                <w:p w14:paraId="41E6646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70D5EF1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17C6BDD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6E9C3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0866803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果酒生产线</w:t>
                  </w:r>
                </w:p>
              </w:tc>
            </w:tr>
            <w:tr w14:paraId="5E42D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687358F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vAlign w:val="center"/>
                </w:tcPr>
                <w:p w14:paraId="07FC40E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清洗</w:t>
                  </w:r>
                </w:p>
              </w:tc>
              <w:tc>
                <w:tcPr>
                  <w:tcW w:w="721" w:type="pct"/>
                  <w:vMerge w:val="restart"/>
                  <w:vAlign w:val="center"/>
                </w:tcPr>
                <w:p w14:paraId="584BE0E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清洗</w:t>
                  </w:r>
                </w:p>
              </w:tc>
              <w:tc>
                <w:tcPr>
                  <w:tcW w:w="855" w:type="pct"/>
                  <w:vMerge w:val="restart"/>
                  <w:vAlign w:val="center"/>
                </w:tcPr>
                <w:p w14:paraId="5813156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水果清洗机</w:t>
                  </w:r>
                </w:p>
              </w:tc>
              <w:tc>
                <w:tcPr>
                  <w:tcW w:w="754" w:type="pct"/>
                  <w:shd w:val="clear" w:color="auto" w:fill="auto"/>
                  <w:vAlign w:val="center"/>
                </w:tcPr>
                <w:p w14:paraId="73A2147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清洗槽尺寸</w:t>
                  </w:r>
                </w:p>
              </w:tc>
              <w:tc>
                <w:tcPr>
                  <w:tcW w:w="635" w:type="pct"/>
                  <w:shd w:val="clear" w:color="auto" w:fill="auto"/>
                  <w:vAlign w:val="center"/>
                </w:tcPr>
                <w:p w14:paraId="15F2668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926" w:type="pct"/>
                  <w:shd w:val="clear" w:color="auto" w:fill="auto"/>
                  <w:vAlign w:val="center"/>
                </w:tcPr>
                <w:p w14:paraId="002950F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p>
              </w:tc>
            </w:tr>
            <w:tr w14:paraId="3DA38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07D0321">
                  <w:pPr>
                    <w:jc w:val="center"/>
                    <w:rPr>
                      <w:color w:val="000000" w:themeColor="text1"/>
                      <w:szCs w:val="21"/>
                      <w14:textFill>
                        <w14:solidFill>
                          <w14:schemeClr w14:val="tx1"/>
                        </w14:solidFill>
                      </w14:textFill>
                    </w:rPr>
                  </w:pPr>
                </w:p>
              </w:tc>
              <w:tc>
                <w:tcPr>
                  <w:tcW w:w="764" w:type="pct"/>
                  <w:vMerge w:val="continue"/>
                  <w:vAlign w:val="center"/>
                </w:tcPr>
                <w:p w14:paraId="4F90F540">
                  <w:pPr>
                    <w:jc w:val="center"/>
                    <w:rPr>
                      <w:color w:val="000000" w:themeColor="text1"/>
                      <w:szCs w:val="21"/>
                      <w14:textFill>
                        <w14:solidFill>
                          <w14:schemeClr w14:val="tx1"/>
                        </w14:solidFill>
                      </w14:textFill>
                    </w:rPr>
                  </w:pPr>
                </w:p>
              </w:tc>
              <w:tc>
                <w:tcPr>
                  <w:tcW w:w="721" w:type="pct"/>
                  <w:vMerge w:val="continue"/>
                  <w:vAlign w:val="center"/>
                </w:tcPr>
                <w:p w14:paraId="33924174">
                  <w:pPr>
                    <w:jc w:val="center"/>
                    <w:rPr>
                      <w:color w:val="000000" w:themeColor="text1"/>
                      <w:szCs w:val="21"/>
                      <w14:textFill>
                        <w14:solidFill>
                          <w14:schemeClr w14:val="tx1"/>
                        </w14:solidFill>
                      </w14:textFill>
                    </w:rPr>
                  </w:pPr>
                </w:p>
              </w:tc>
              <w:tc>
                <w:tcPr>
                  <w:tcW w:w="855" w:type="pct"/>
                  <w:vMerge w:val="continue"/>
                  <w:vAlign w:val="center"/>
                </w:tcPr>
                <w:p w14:paraId="077A9FD8">
                  <w:pPr>
                    <w:jc w:val="center"/>
                    <w:rPr>
                      <w:color w:val="000000" w:themeColor="text1"/>
                      <w:szCs w:val="21"/>
                      <w14:textFill>
                        <w14:solidFill>
                          <w14:schemeClr w14:val="tx1"/>
                        </w14:solidFill>
                      </w14:textFill>
                    </w:rPr>
                  </w:pPr>
                </w:p>
              </w:tc>
              <w:tc>
                <w:tcPr>
                  <w:tcW w:w="754" w:type="pct"/>
                  <w:shd w:val="clear" w:color="auto" w:fill="auto"/>
                  <w:vAlign w:val="center"/>
                </w:tcPr>
                <w:p w14:paraId="24D906E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3B0DDB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4F7DF05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22AF4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33D85F8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Merge w:val="restart"/>
                  <w:shd w:val="clear" w:color="auto" w:fill="auto"/>
                  <w:vAlign w:val="center"/>
                </w:tcPr>
                <w:p w14:paraId="63E82B8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粉碎</w:t>
                  </w:r>
                </w:p>
              </w:tc>
              <w:tc>
                <w:tcPr>
                  <w:tcW w:w="721" w:type="pct"/>
                  <w:vMerge w:val="restart"/>
                  <w:shd w:val="clear" w:color="auto" w:fill="auto"/>
                  <w:vAlign w:val="center"/>
                </w:tcPr>
                <w:p w14:paraId="5F0C510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w:t>
                  </w:r>
                </w:p>
              </w:tc>
              <w:tc>
                <w:tcPr>
                  <w:tcW w:w="855" w:type="pct"/>
                  <w:vMerge w:val="restart"/>
                  <w:shd w:val="clear" w:color="auto" w:fill="auto"/>
                  <w:vAlign w:val="center"/>
                </w:tcPr>
                <w:p w14:paraId="35334C2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粉碎机</w:t>
                  </w:r>
                </w:p>
              </w:tc>
              <w:tc>
                <w:tcPr>
                  <w:tcW w:w="754" w:type="pct"/>
                  <w:shd w:val="clear" w:color="auto" w:fill="auto"/>
                  <w:vAlign w:val="center"/>
                </w:tcPr>
                <w:p w14:paraId="51276B3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1AF6B14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926" w:type="pct"/>
                  <w:shd w:val="clear" w:color="auto" w:fill="auto"/>
                  <w:vAlign w:val="center"/>
                </w:tcPr>
                <w:p w14:paraId="17394D7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2D595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F672B51">
                  <w:pPr>
                    <w:jc w:val="center"/>
                    <w:rPr>
                      <w:color w:val="000000" w:themeColor="text1"/>
                      <w:szCs w:val="21"/>
                      <w14:textFill>
                        <w14:solidFill>
                          <w14:schemeClr w14:val="tx1"/>
                        </w14:solidFill>
                      </w14:textFill>
                    </w:rPr>
                  </w:pPr>
                </w:p>
              </w:tc>
              <w:tc>
                <w:tcPr>
                  <w:tcW w:w="764" w:type="pct"/>
                  <w:vMerge w:val="continue"/>
                  <w:vAlign w:val="center"/>
                </w:tcPr>
                <w:p w14:paraId="4CE37D35">
                  <w:pPr>
                    <w:jc w:val="center"/>
                    <w:rPr>
                      <w:color w:val="000000" w:themeColor="text1"/>
                      <w:szCs w:val="21"/>
                      <w14:textFill>
                        <w14:solidFill>
                          <w14:schemeClr w14:val="tx1"/>
                        </w14:solidFill>
                      </w14:textFill>
                    </w:rPr>
                  </w:pPr>
                </w:p>
              </w:tc>
              <w:tc>
                <w:tcPr>
                  <w:tcW w:w="721" w:type="pct"/>
                  <w:vMerge w:val="continue"/>
                  <w:vAlign w:val="center"/>
                </w:tcPr>
                <w:p w14:paraId="62E2385B">
                  <w:pPr>
                    <w:jc w:val="center"/>
                    <w:rPr>
                      <w:color w:val="000000" w:themeColor="text1"/>
                      <w:szCs w:val="21"/>
                      <w14:textFill>
                        <w14:solidFill>
                          <w14:schemeClr w14:val="tx1"/>
                        </w14:solidFill>
                      </w14:textFill>
                    </w:rPr>
                  </w:pPr>
                </w:p>
              </w:tc>
              <w:tc>
                <w:tcPr>
                  <w:tcW w:w="855" w:type="pct"/>
                  <w:vMerge w:val="continue"/>
                  <w:vAlign w:val="center"/>
                </w:tcPr>
                <w:p w14:paraId="213BD4D0">
                  <w:pPr>
                    <w:jc w:val="center"/>
                    <w:rPr>
                      <w:color w:val="000000" w:themeColor="text1"/>
                      <w:szCs w:val="21"/>
                      <w14:textFill>
                        <w14:solidFill>
                          <w14:schemeClr w14:val="tx1"/>
                        </w14:solidFill>
                      </w14:textFill>
                    </w:rPr>
                  </w:pPr>
                </w:p>
              </w:tc>
              <w:tc>
                <w:tcPr>
                  <w:tcW w:w="754" w:type="pct"/>
                  <w:shd w:val="clear" w:color="auto" w:fill="auto"/>
                  <w:vAlign w:val="center"/>
                </w:tcPr>
                <w:p w14:paraId="31D2130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99436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139C055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2FA6F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4D78629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64" w:type="pct"/>
                  <w:vMerge w:val="restart"/>
                  <w:shd w:val="clear" w:color="auto" w:fill="auto"/>
                  <w:vAlign w:val="center"/>
                </w:tcPr>
                <w:p w14:paraId="3A84322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w:t>
                  </w:r>
                </w:p>
              </w:tc>
              <w:tc>
                <w:tcPr>
                  <w:tcW w:w="721" w:type="pct"/>
                  <w:vMerge w:val="restart"/>
                  <w:shd w:val="clear" w:color="auto" w:fill="auto"/>
                  <w:vAlign w:val="center"/>
                </w:tcPr>
                <w:p w14:paraId="32CCD39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发酵</w:t>
                  </w:r>
                </w:p>
              </w:tc>
              <w:tc>
                <w:tcPr>
                  <w:tcW w:w="855" w:type="pct"/>
                  <w:vMerge w:val="restart"/>
                  <w:vAlign w:val="center"/>
                </w:tcPr>
                <w:p w14:paraId="074F783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发酵</w:t>
                  </w:r>
                  <w:r>
                    <w:rPr>
                      <w:rFonts w:hint="eastAsia"/>
                      <w:color w:val="000000" w:themeColor="text1"/>
                      <w:szCs w:val="21"/>
                      <w14:textFill>
                        <w14:solidFill>
                          <w14:schemeClr w14:val="tx1"/>
                        </w14:solidFill>
                      </w14:textFill>
                    </w:rPr>
                    <w:t>（浸渍）</w:t>
                  </w:r>
                  <w:r>
                    <w:rPr>
                      <w:color w:val="000000" w:themeColor="text1"/>
                      <w:szCs w:val="21"/>
                      <w14:textFill>
                        <w14:solidFill>
                          <w14:schemeClr w14:val="tx1"/>
                        </w14:solidFill>
                      </w14:textFill>
                    </w:rPr>
                    <w:t>罐</w:t>
                  </w:r>
                </w:p>
              </w:tc>
              <w:tc>
                <w:tcPr>
                  <w:tcW w:w="754" w:type="pct"/>
                  <w:shd w:val="clear" w:color="auto" w:fill="auto"/>
                  <w:vAlign w:val="center"/>
                </w:tcPr>
                <w:p w14:paraId="0169867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4C1DF4A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926" w:type="pct"/>
                  <w:shd w:val="clear" w:color="auto" w:fill="auto"/>
                  <w:vAlign w:val="center"/>
                </w:tcPr>
                <w:p w14:paraId="67EED1C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7A65A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85533B3">
                  <w:pPr>
                    <w:jc w:val="center"/>
                    <w:rPr>
                      <w:color w:val="000000" w:themeColor="text1"/>
                      <w:szCs w:val="21"/>
                      <w14:textFill>
                        <w14:solidFill>
                          <w14:schemeClr w14:val="tx1"/>
                        </w14:solidFill>
                      </w14:textFill>
                    </w:rPr>
                  </w:pPr>
                </w:p>
              </w:tc>
              <w:tc>
                <w:tcPr>
                  <w:tcW w:w="764" w:type="pct"/>
                  <w:vMerge w:val="continue"/>
                  <w:vAlign w:val="center"/>
                </w:tcPr>
                <w:p w14:paraId="65FB1CD9">
                  <w:pPr>
                    <w:jc w:val="center"/>
                    <w:rPr>
                      <w:color w:val="000000" w:themeColor="text1"/>
                      <w:szCs w:val="21"/>
                      <w14:textFill>
                        <w14:solidFill>
                          <w14:schemeClr w14:val="tx1"/>
                        </w14:solidFill>
                      </w14:textFill>
                    </w:rPr>
                  </w:pPr>
                </w:p>
              </w:tc>
              <w:tc>
                <w:tcPr>
                  <w:tcW w:w="721" w:type="pct"/>
                  <w:vMerge w:val="continue"/>
                  <w:vAlign w:val="center"/>
                </w:tcPr>
                <w:p w14:paraId="38BF58D3">
                  <w:pPr>
                    <w:jc w:val="center"/>
                    <w:rPr>
                      <w:color w:val="000000" w:themeColor="text1"/>
                      <w:szCs w:val="21"/>
                      <w14:textFill>
                        <w14:solidFill>
                          <w14:schemeClr w14:val="tx1"/>
                        </w14:solidFill>
                      </w14:textFill>
                    </w:rPr>
                  </w:pPr>
                </w:p>
              </w:tc>
              <w:tc>
                <w:tcPr>
                  <w:tcW w:w="855" w:type="pct"/>
                  <w:vMerge w:val="continue"/>
                  <w:vAlign w:val="center"/>
                </w:tcPr>
                <w:p w14:paraId="31B615A7">
                  <w:pPr>
                    <w:jc w:val="center"/>
                    <w:rPr>
                      <w:color w:val="000000" w:themeColor="text1"/>
                      <w:szCs w:val="21"/>
                      <w14:textFill>
                        <w14:solidFill>
                          <w14:schemeClr w14:val="tx1"/>
                        </w14:solidFill>
                      </w14:textFill>
                    </w:rPr>
                  </w:pPr>
                </w:p>
              </w:tc>
              <w:tc>
                <w:tcPr>
                  <w:tcW w:w="754" w:type="pct"/>
                  <w:shd w:val="clear" w:color="auto" w:fill="auto"/>
                  <w:vAlign w:val="center"/>
                </w:tcPr>
                <w:p w14:paraId="4351CC3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7985951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926" w:type="pct"/>
                  <w:shd w:val="clear" w:color="auto" w:fill="auto"/>
                  <w:vAlign w:val="center"/>
                </w:tcPr>
                <w:p w14:paraId="358A5FD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3C369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295EA91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764" w:type="pct"/>
                  <w:vMerge w:val="restart"/>
                  <w:vAlign w:val="center"/>
                </w:tcPr>
                <w:p w14:paraId="5C89C0F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压榨</w:t>
                  </w:r>
                </w:p>
              </w:tc>
              <w:tc>
                <w:tcPr>
                  <w:tcW w:w="721" w:type="pct"/>
                  <w:vMerge w:val="restart"/>
                  <w:vAlign w:val="center"/>
                </w:tcPr>
                <w:p w14:paraId="36E6A4C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压榨</w:t>
                  </w:r>
                </w:p>
              </w:tc>
              <w:tc>
                <w:tcPr>
                  <w:tcW w:w="855" w:type="pct"/>
                  <w:vMerge w:val="restart"/>
                  <w:vAlign w:val="center"/>
                </w:tcPr>
                <w:p w14:paraId="3F5EE41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压滤机</w:t>
                  </w:r>
                </w:p>
              </w:tc>
              <w:tc>
                <w:tcPr>
                  <w:tcW w:w="754" w:type="pct"/>
                  <w:shd w:val="clear" w:color="auto" w:fill="auto"/>
                  <w:vAlign w:val="center"/>
                </w:tcPr>
                <w:p w14:paraId="6B82C0E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132A551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689F814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73C28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1D643A96">
                  <w:pPr>
                    <w:jc w:val="center"/>
                    <w:rPr>
                      <w:color w:val="000000" w:themeColor="text1"/>
                      <w:szCs w:val="21"/>
                      <w14:textFill>
                        <w14:solidFill>
                          <w14:schemeClr w14:val="tx1"/>
                        </w14:solidFill>
                      </w14:textFill>
                    </w:rPr>
                  </w:pPr>
                </w:p>
              </w:tc>
              <w:tc>
                <w:tcPr>
                  <w:tcW w:w="764" w:type="pct"/>
                  <w:vMerge w:val="continue"/>
                  <w:vAlign w:val="center"/>
                </w:tcPr>
                <w:p w14:paraId="54A29A85">
                  <w:pPr>
                    <w:jc w:val="center"/>
                    <w:rPr>
                      <w:color w:val="000000" w:themeColor="text1"/>
                      <w:szCs w:val="21"/>
                      <w14:textFill>
                        <w14:solidFill>
                          <w14:schemeClr w14:val="tx1"/>
                        </w14:solidFill>
                      </w14:textFill>
                    </w:rPr>
                  </w:pPr>
                </w:p>
              </w:tc>
              <w:tc>
                <w:tcPr>
                  <w:tcW w:w="721" w:type="pct"/>
                  <w:vMerge w:val="continue"/>
                  <w:vAlign w:val="center"/>
                </w:tcPr>
                <w:p w14:paraId="273EB259">
                  <w:pPr>
                    <w:jc w:val="center"/>
                    <w:rPr>
                      <w:color w:val="000000" w:themeColor="text1"/>
                      <w:szCs w:val="21"/>
                      <w14:textFill>
                        <w14:solidFill>
                          <w14:schemeClr w14:val="tx1"/>
                        </w14:solidFill>
                      </w14:textFill>
                    </w:rPr>
                  </w:pPr>
                </w:p>
              </w:tc>
              <w:tc>
                <w:tcPr>
                  <w:tcW w:w="855" w:type="pct"/>
                  <w:vMerge w:val="continue"/>
                  <w:vAlign w:val="center"/>
                </w:tcPr>
                <w:p w14:paraId="47142C3D">
                  <w:pPr>
                    <w:jc w:val="center"/>
                    <w:rPr>
                      <w:color w:val="000000" w:themeColor="text1"/>
                      <w:szCs w:val="21"/>
                      <w14:textFill>
                        <w14:solidFill>
                          <w14:schemeClr w14:val="tx1"/>
                        </w14:solidFill>
                      </w14:textFill>
                    </w:rPr>
                  </w:pPr>
                </w:p>
              </w:tc>
              <w:tc>
                <w:tcPr>
                  <w:tcW w:w="754" w:type="pct"/>
                  <w:shd w:val="clear" w:color="auto" w:fill="auto"/>
                  <w:vAlign w:val="center"/>
                </w:tcPr>
                <w:p w14:paraId="615DDED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1938802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926" w:type="pct"/>
                  <w:shd w:val="clear" w:color="auto" w:fill="auto"/>
                  <w:vAlign w:val="center"/>
                </w:tcPr>
                <w:p w14:paraId="6C23AF9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4CA8A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0B5B6AD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764" w:type="pct"/>
                  <w:vMerge w:val="restart"/>
                  <w:shd w:val="clear" w:color="auto" w:fill="auto"/>
                  <w:vAlign w:val="center"/>
                </w:tcPr>
                <w:p w14:paraId="0E2AEB5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过滤</w:t>
                  </w:r>
                </w:p>
              </w:tc>
              <w:tc>
                <w:tcPr>
                  <w:tcW w:w="721" w:type="pct"/>
                  <w:vMerge w:val="restart"/>
                  <w:shd w:val="clear" w:color="auto" w:fill="auto"/>
                  <w:vAlign w:val="center"/>
                </w:tcPr>
                <w:p w14:paraId="200663A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过滤</w:t>
                  </w:r>
                </w:p>
              </w:tc>
              <w:tc>
                <w:tcPr>
                  <w:tcW w:w="855" w:type="pct"/>
                  <w:vMerge w:val="restart"/>
                  <w:shd w:val="clear" w:color="auto" w:fill="auto"/>
                  <w:vAlign w:val="center"/>
                </w:tcPr>
                <w:p w14:paraId="33F42FA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过滤机</w:t>
                  </w:r>
                </w:p>
              </w:tc>
              <w:tc>
                <w:tcPr>
                  <w:tcW w:w="754" w:type="pct"/>
                  <w:shd w:val="clear" w:color="auto" w:fill="auto"/>
                  <w:vAlign w:val="center"/>
                </w:tcPr>
                <w:p w14:paraId="029D9AD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19BC60A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926" w:type="pct"/>
                  <w:shd w:val="clear" w:color="auto" w:fill="auto"/>
                  <w:vAlign w:val="center"/>
                </w:tcPr>
                <w:p w14:paraId="4345072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657BA2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02CAB2E7">
                  <w:pPr>
                    <w:jc w:val="center"/>
                    <w:rPr>
                      <w:color w:val="000000" w:themeColor="text1"/>
                      <w:szCs w:val="21"/>
                      <w14:textFill>
                        <w14:solidFill>
                          <w14:schemeClr w14:val="tx1"/>
                        </w14:solidFill>
                      </w14:textFill>
                    </w:rPr>
                  </w:pPr>
                </w:p>
              </w:tc>
              <w:tc>
                <w:tcPr>
                  <w:tcW w:w="764" w:type="pct"/>
                  <w:vMerge w:val="continue"/>
                  <w:vAlign w:val="center"/>
                </w:tcPr>
                <w:p w14:paraId="79575F4B">
                  <w:pPr>
                    <w:jc w:val="center"/>
                    <w:rPr>
                      <w:color w:val="000000" w:themeColor="text1"/>
                      <w:szCs w:val="21"/>
                      <w14:textFill>
                        <w14:solidFill>
                          <w14:schemeClr w14:val="tx1"/>
                        </w14:solidFill>
                      </w14:textFill>
                    </w:rPr>
                  </w:pPr>
                </w:p>
              </w:tc>
              <w:tc>
                <w:tcPr>
                  <w:tcW w:w="721" w:type="pct"/>
                  <w:vMerge w:val="continue"/>
                  <w:vAlign w:val="center"/>
                </w:tcPr>
                <w:p w14:paraId="3677191C">
                  <w:pPr>
                    <w:jc w:val="center"/>
                    <w:rPr>
                      <w:color w:val="000000" w:themeColor="text1"/>
                      <w:szCs w:val="21"/>
                      <w14:textFill>
                        <w14:solidFill>
                          <w14:schemeClr w14:val="tx1"/>
                        </w14:solidFill>
                      </w14:textFill>
                    </w:rPr>
                  </w:pPr>
                </w:p>
              </w:tc>
              <w:tc>
                <w:tcPr>
                  <w:tcW w:w="855" w:type="pct"/>
                  <w:vMerge w:val="continue"/>
                  <w:vAlign w:val="center"/>
                </w:tcPr>
                <w:p w14:paraId="7C4C518A">
                  <w:pPr>
                    <w:jc w:val="center"/>
                    <w:rPr>
                      <w:color w:val="000000" w:themeColor="text1"/>
                      <w:szCs w:val="21"/>
                      <w14:textFill>
                        <w14:solidFill>
                          <w14:schemeClr w14:val="tx1"/>
                        </w14:solidFill>
                      </w14:textFill>
                    </w:rPr>
                  </w:pPr>
                </w:p>
              </w:tc>
              <w:tc>
                <w:tcPr>
                  <w:tcW w:w="754" w:type="pct"/>
                  <w:shd w:val="clear" w:color="auto" w:fill="auto"/>
                  <w:vAlign w:val="center"/>
                </w:tcPr>
                <w:p w14:paraId="5EF1916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6A85A9C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926" w:type="pct"/>
                  <w:shd w:val="clear" w:color="auto" w:fill="auto"/>
                  <w:vAlign w:val="center"/>
                </w:tcPr>
                <w:p w14:paraId="521A0BD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481B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7A4EB1E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764" w:type="pct"/>
                  <w:vMerge w:val="restart"/>
                  <w:shd w:val="clear" w:color="auto" w:fill="auto"/>
                  <w:vAlign w:val="center"/>
                </w:tcPr>
                <w:p w14:paraId="7C94D43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陈</w:t>
                  </w:r>
                  <w:r>
                    <w:rPr>
                      <w:rFonts w:hint="eastAsia"/>
                      <w:color w:val="000000" w:themeColor="text1"/>
                      <w:szCs w:val="21"/>
                      <w14:textFill>
                        <w14:solidFill>
                          <w14:schemeClr w14:val="tx1"/>
                        </w14:solidFill>
                      </w14:textFill>
                    </w:rPr>
                    <w:t>化</w:t>
                  </w:r>
                </w:p>
              </w:tc>
              <w:tc>
                <w:tcPr>
                  <w:tcW w:w="721" w:type="pct"/>
                  <w:vMerge w:val="restart"/>
                  <w:shd w:val="clear" w:color="auto" w:fill="auto"/>
                  <w:vAlign w:val="center"/>
                </w:tcPr>
                <w:p w14:paraId="76A1F2D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陈</w:t>
                  </w:r>
                  <w:r>
                    <w:rPr>
                      <w:rFonts w:hint="eastAsia"/>
                      <w:color w:val="000000" w:themeColor="text1"/>
                      <w:szCs w:val="21"/>
                      <w14:textFill>
                        <w14:solidFill>
                          <w14:schemeClr w14:val="tx1"/>
                        </w14:solidFill>
                      </w14:textFill>
                    </w:rPr>
                    <w:t>化</w:t>
                  </w:r>
                </w:p>
              </w:tc>
              <w:tc>
                <w:tcPr>
                  <w:tcW w:w="855" w:type="pct"/>
                  <w:vMerge w:val="restart"/>
                  <w:shd w:val="clear" w:color="auto" w:fill="auto"/>
                  <w:vAlign w:val="center"/>
                </w:tcPr>
                <w:p w14:paraId="09D0A4B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陈化罐</w:t>
                  </w:r>
                </w:p>
              </w:tc>
              <w:tc>
                <w:tcPr>
                  <w:tcW w:w="754" w:type="pct"/>
                  <w:shd w:val="clear" w:color="auto" w:fill="auto"/>
                  <w:vAlign w:val="center"/>
                </w:tcPr>
                <w:p w14:paraId="3284A95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5E86C19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759F037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265A3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E91AF30">
                  <w:pPr>
                    <w:jc w:val="center"/>
                    <w:rPr>
                      <w:color w:val="000000" w:themeColor="text1"/>
                      <w:szCs w:val="21"/>
                      <w14:textFill>
                        <w14:solidFill>
                          <w14:schemeClr w14:val="tx1"/>
                        </w14:solidFill>
                      </w14:textFill>
                    </w:rPr>
                  </w:pPr>
                </w:p>
              </w:tc>
              <w:tc>
                <w:tcPr>
                  <w:tcW w:w="764" w:type="pct"/>
                  <w:vMerge w:val="continue"/>
                  <w:vAlign w:val="center"/>
                </w:tcPr>
                <w:p w14:paraId="3D51F4F2">
                  <w:pPr>
                    <w:jc w:val="center"/>
                    <w:rPr>
                      <w:color w:val="000000" w:themeColor="text1"/>
                      <w:szCs w:val="21"/>
                      <w14:textFill>
                        <w14:solidFill>
                          <w14:schemeClr w14:val="tx1"/>
                        </w14:solidFill>
                      </w14:textFill>
                    </w:rPr>
                  </w:pPr>
                </w:p>
              </w:tc>
              <w:tc>
                <w:tcPr>
                  <w:tcW w:w="721" w:type="pct"/>
                  <w:vMerge w:val="continue"/>
                  <w:vAlign w:val="center"/>
                </w:tcPr>
                <w:p w14:paraId="5273FB49">
                  <w:pPr>
                    <w:jc w:val="center"/>
                    <w:rPr>
                      <w:color w:val="000000" w:themeColor="text1"/>
                      <w:szCs w:val="21"/>
                      <w14:textFill>
                        <w14:solidFill>
                          <w14:schemeClr w14:val="tx1"/>
                        </w14:solidFill>
                      </w14:textFill>
                    </w:rPr>
                  </w:pPr>
                </w:p>
              </w:tc>
              <w:tc>
                <w:tcPr>
                  <w:tcW w:w="855" w:type="pct"/>
                  <w:vMerge w:val="continue"/>
                  <w:vAlign w:val="center"/>
                </w:tcPr>
                <w:p w14:paraId="6865CF88">
                  <w:pPr>
                    <w:jc w:val="center"/>
                    <w:rPr>
                      <w:color w:val="000000" w:themeColor="text1"/>
                      <w:szCs w:val="21"/>
                      <w14:textFill>
                        <w14:solidFill>
                          <w14:schemeClr w14:val="tx1"/>
                        </w14:solidFill>
                      </w14:textFill>
                    </w:rPr>
                  </w:pPr>
                </w:p>
              </w:tc>
              <w:tc>
                <w:tcPr>
                  <w:tcW w:w="754" w:type="pct"/>
                  <w:shd w:val="clear" w:color="auto" w:fill="auto"/>
                  <w:vAlign w:val="center"/>
                </w:tcPr>
                <w:p w14:paraId="101D425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421C64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926" w:type="pct"/>
                  <w:shd w:val="clear" w:color="auto" w:fill="auto"/>
                  <w:vAlign w:val="center"/>
                </w:tcPr>
                <w:p w14:paraId="182929F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29ADB7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63D5B7A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p>
              </w:tc>
              <w:tc>
                <w:tcPr>
                  <w:tcW w:w="764" w:type="pct"/>
                  <w:vMerge w:val="restart"/>
                  <w:shd w:val="clear" w:color="auto" w:fill="auto"/>
                  <w:vAlign w:val="center"/>
                </w:tcPr>
                <w:p w14:paraId="521BA50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杀菌</w:t>
                  </w:r>
                </w:p>
              </w:tc>
              <w:tc>
                <w:tcPr>
                  <w:tcW w:w="721" w:type="pct"/>
                  <w:vMerge w:val="restart"/>
                  <w:shd w:val="clear" w:color="auto" w:fill="auto"/>
                  <w:vAlign w:val="center"/>
                </w:tcPr>
                <w:p w14:paraId="4EAE78B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杀菌</w:t>
                  </w:r>
                </w:p>
              </w:tc>
              <w:tc>
                <w:tcPr>
                  <w:tcW w:w="855" w:type="pct"/>
                  <w:vMerge w:val="restart"/>
                  <w:shd w:val="clear" w:color="auto" w:fill="auto"/>
                  <w:vAlign w:val="center"/>
                </w:tcPr>
                <w:p w14:paraId="4C29C5C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高温杀菌机</w:t>
                  </w:r>
                </w:p>
              </w:tc>
              <w:tc>
                <w:tcPr>
                  <w:tcW w:w="754" w:type="pct"/>
                  <w:shd w:val="clear" w:color="auto" w:fill="auto"/>
                  <w:vAlign w:val="center"/>
                </w:tcPr>
                <w:p w14:paraId="7E7E0AE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216906D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w:t>
                  </w:r>
                </w:p>
              </w:tc>
              <w:tc>
                <w:tcPr>
                  <w:tcW w:w="926" w:type="pct"/>
                  <w:shd w:val="clear" w:color="auto" w:fill="auto"/>
                  <w:vAlign w:val="center"/>
                </w:tcPr>
                <w:p w14:paraId="113F06C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1A1C8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084CBC13">
                  <w:pPr>
                    <w:jc w:val="center"/>
                    <w:rPr>
                      <w:color w:val="000000" w:themeColor="text1"/>
                      <w:szCs w:val="21"/>
                      <w14:textFill>
                        <w14:solidFill>
                          <w14:schemeClr w14:val="tx1"/>
                        </w14:solidFill>
                      </w14:textFill>
                    </w:rPr>
                  </w:pPr>
                </w:p>
              </w:tc>
              <w:tc>
                <w:tcPr>
                  <w:tcW w:w="764" w:type="pct"/>
                  <w:vMerge w:val="continue"/>
                  <w:vAlign w:val="center"/>
                </w:tcPr>
                <w:p w14:paraId="61917FE1">
                  <w:pPr>
                    <w:jc w:val="center"/>
                    <w:rPr>
                      <w:color w:val="000000" w:themeColor="text1"/>
                      <w:szCs w:val="21"/>
                      <w14:textFill>
                        <w14:solidFill>
                          <w14:schemeClr w14:val="tx1"/>
                        </w14:solidFill>
                      </w14:textFill>
                    </w:rPr>
                  </w:pPr>
                </w:p>
              </w:tc>
              <w:tc>
                <w:tcPr>
                  <w:tcW w:w="721" w:type="pct"/>
                  <w:vMerge w:val="continue"/>
                  <w:vAlign w:val="center"/>
                </w:tcPr>
                <w:p w14:paraId="6D9E7B4C">
                  <w:pPr>
                    <w:jc w:val="center"/>
                    <w:rPr>
                      <w:color w:val="000000" w:themeColor="text1"/>
                      <w:szCs w:val="21"/>
                      <w14:textFill>
                        <w14:solidFill>
                          <w14:schemeClr w14:val="tx1"/>
                        </w14:solidFill>
                      </w14:textFill>
                    </w:rPr>
                  </w:pPr>
                </w:p>
              </w:tc>
              <w:tc>
                <w:tcPr>
                  <w:tcW w:w="855" w:type="pct"/>
                  <w:vMerge w:val="continue"/>
                  <w:vAlign w:val="center"/>
                </w:tcPr>
                <w:p w14:paraId="1FA83C71">
                  <w:pPr>
                    <w:jc w:val="center"/>
                    <w:rPr>
                      <w:color w:val="000000" w:themeColor="text1"/>
                      <w:szCs w:val="21"/>
                      <w14:textFill>
                        <w14:solidFill>
                          <w14:schemeClr w14:val="tx1"/>
                        </w14:solidFill>
                      </w14:textFill>
                    </w:rPr>
                  </w:pPr>
                </w:p>
              </w:tc>
              <w:tc>
                <w:tcPr>
                  <w:tcW w:w="754" w:type="pct"/>
                  <w:shd w:val="clear" w:color="auto" w:fill="auto"/>
                  <w:vAlign w:val="center"/>
                </w:tcPr>
                <w:p w14:paraId="7F21811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9D8114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3379AEB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D838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2BCB86C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764" w:type="pct"/>
                  <w:vMerge w:val="restart"/>
                  <w:shd w:val="clear" w:color="auto" w:fill="auto"/>
                  <w:vAlign w:val="center"/>
                </w:tcPr>
                <w:p w14:paraId="7A456B1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洗瓶灌装</w:t>
                  </w:r>
                </w:p>
              </w:tc>
              <w:tc>
                <w:tcPr>
                  <w:tcW w:w="721" w:type="pct"/>
                  <w:vMerge w:val="restart"/>
                  <w:shd w:val="clear" w:color="auto" w:fill="auto"/>
                  <w:vAlign w:val="center"/>
                </w:tcPr>
                <w:p w14:paraId="6E998F2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洗瓶灌装</w:t>
                  </w:r>
                </w:p>
              </w:tc>
              <w:tc>
                <w:tcPr>
                  <w:tcW w:w="855" w:type="pct"/>
                  <w:vMerge w:val="restart"/>
                  <w:vAlign w:val="center"/>
                </w:tcPr>
                <w:p w14:paraId="793CD2A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灌装线</w:t>
                  </w:r>
                </w:p>
              </w:tc>
              <w:tc>
                <w:tcPr>
                  <w:tcW w:w="754" w:type="pct"/>
                  <w:shd w:val="clear" w:color="auto" w:fill="auto"/>
                  <w:vAlign w:val="center"/>
                </w:tcPr>
                <w:p w14:paraId="605690A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1A38053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w:t>
                  </w:r>
                </w:p>
              </w:tc>
              <w:tc>
                <w:tcPr>
                  <w:tcW w:w="926" w:type="pct"/>
                  <w:shd w:val="clear" w:color="auto" w:fill="auto"/>
                  <w:vAlign w:val="center"/>
                </w:tcPr>
                <w:p w14:paraId="75ED4D6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564BE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2824B22">
                  <w:pPr>
                    <w:jc w:val="center"/>
                    <w:rPr>
                      <w:color w:val="000000" w:themeColor="text1"/>
                      <w:szCs w:val="21"/>
                      <w14:textFill>
                        <w14:solidFill>
                          <w14:schemeClr w14:val="tx1"/>
                        </w14:solidFill>
                      </w14:textFill>
                    </w:rPr>
                  </w:pPr>
                </w:p>
              </w:tc>
              <w:tc>
                <w:tcPr>
                  <w:tcW w:w="764" w:type="pct"/>
                  <w:vMerge w:val="continue"/>
                  <w:vAlign w:val="center"/>
                </w:tcPr>
                <w:p w14:paraId="3D147479">
                  <w:pPr>
                    <w:jc w:val="center"/>
                    <w:rPr>
                      <w:color w:val="000000" w:themeColor="text1"/>
                      <w:szCs w:val="21"/>
                      <w14:textFill>
                        <w14:solidFill>
                          <w14:schemeClr w14:val="tx1"/>
                        </w14:solidFill>
                      </w14:textFill>
                    </w:rPr>
                  </w:pPr>
                </w:p>
              </w:tc>
              <w:tc>
                <w:tcPr>
                  <w:tcW w:w="721" w:type="pct"/>
                  <w:vMerge w:val="continue"/>
                  <w:vAlign w:val="center"/>
                </w:tcPr>
                <w:p w14:paraId="1BCC4EFA">
                  <w:pPr>
                    <w:jc w:val="center"/>
                    <w:rPr>
                      <w:color w:val="000000" w:themeColor="text1"/>
                      <w:szCs w:val="21"/>
                      <w14:textFill>
                        <w14:solidFill>
                          <w14:schemeClr w14:val="tx1"/>
                        </w14:solidFill>
                      </w14:textFill>
                    </w:rPr>
                  </w:pPr>
                </w:p>
              </w:tc>
              <w:tc>
                <w:tcPr>
                  <w:tcW w:w="855" w:type="pct"/>
                  <w:vMerge w:val="continue"/>
                  <w:vAlign w:val="center"/>
                </w:tcPr>
                <w:p w14:paraId="18CD691F">
                  <w:pPr>
                    <w:jc w:val="center"/>
                    <w:rPr>
                      <w:color w:val="000000" w:themeColor="text1"/>
                      <w:szCs w:val="21"/>
                      <w14:textFill>
                        <w14:solidFill>
                          <w14:schemeClr w14:val="tx1"/>
                        </w14:solidFill>
                      </w14:textFill>
                    </w:rPr>
                  </w:pPr>
                </w:p>
              </w:tc>
              <w:tc>
                <w:tcPr>
                  <w:tcW w:w="754" w:type="pct"/>
                  <w:shd w:val="clear" w:color="auto" w:fill="auto"/>
                  <w:vAlign w:val="center"/>
                </w:tcPr>
                <w:p w14:paraId="628C57E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16A3EC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50F8DA5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3489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5EFAEF3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w:t>
                  </w:r>
                </w:p>
              </w:tc>
              <w:tc>
                <w:tcPr>
                  <w:tcW w:w="764" w:type="pct"/>
                  <w:vMerge w:val="restart"/>
                  <w:shd w:val="clear" w:color="auto" w:fill="auto"/>
                  <w:vAlign w:val="center"/>
                </w:tcPr>
                <w:p w14:paraId="567A9A8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w:t>
                  </w:r>
                </w:p>
              </w:tc>
              <w:tc>
                <w:tcPr>
                  <w:tcW w:w="721" w:type="pct"/>
                  <w:vMerge w:val="restart"/>
                  <w:shd w:val="clear" w:color="auto" w:fill="auto"/>
                  <w:vAlign w:val="center"/>
                </w:tcPr>
                <w:p w14:paraId="3F35016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贴标</w:t>
                  </w:r>
                </w:p>
              </w:tc>
              <w:tc>
                <w:tcPr>
                  <w:tcW w:w="855" w:type="pct"/>
                  <w:vMerge w:val="restart"/>
                  <w:shd w:val="clear" w:color="auto" w:fill="auto"/>
                  <w:vAlign w:val="center"/>
                </w:tcPr>
                <w:p w14:paraId="527D1B3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全自动台式平面贴标机</w:t>
                  </w:r>
                </w:p>
              </w:tc>
              <w:tc>
                <w:tcPr>
                  <w:tcW w:w="754" w:type="pct"/>
                  <w:shd w:val="clear" w:color="auto" w:fill="auto"/>
                  <w:vAlign w:val="center"/>
                </w:tcPr>
                <w:p w14:paraId="3540F65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43FA636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926" w:type="pct"/>
                  <w:shd w:val="clear" w:color="auto" w:fill="auto"/>
                  <w:vAlign w:val="center"/>
                </w:tcPr>
                <w:p w14:paraId="611DD07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个/min</w:t>
                  </w:r>
                </w:p>
              </w:tc>
            </w:tr>
            <w:tr w14:paraId="5E4C3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A174528">
                  <w:pPr>
                    <w:jc w:val="center"/>
                    <w:rPr>
                      <w:color w:val="000000" w:themeColor="text1"/>
                      <w:szCs w:val="21"/>
                      <w14:textFill>
                        <w14:solidFill>
                          <w14:schemeClr w14:val="tx1"/>
                        </w14:solidFill>
                      </w14:textFill>
                    </w:rPr>
                  </w:pPr>
                </w:p>
              </w:tc>
              <w:tc>
                <w:tcPr>
                  <w:tcW w:w="764" w:type="pct"/>
                  <w:vMerge w:val="continue"/>
                  <w:vAlign w:val="center"/>
                </w:tcPr>
                <w:p w14:paraId="04C5C6BD">
                  <w:pPr>
                    <w:jc w:val="center"/>
                    <w:rPr>
                      <w:color w:val="000000" w:themeColor="text1"/>
                      <w:szCs w:val="21"/>
                      <w14:textFill>
                        <w14:solidFill>
                          <w14:schemeClr w14:val="tx1"/>
                        </w14:solidFill>
                      </w14:textFill>
                    </w:rPr>
                  </w:pPr>
                </w:p>
              </w:tc>
              <w:tc>
                <w:tcPr>
                  <w:tcW w:w="721" w:type="pct"/>
                  <w:vMerge w:val="continue"/>
                  <w:vAlign w:val="center"/>
                </w:tcPr>
                <w:p w14:paraId="56E68EAD">
                  <w:pPr>
                    <w:jc w:val="center"/>
                    <w:rPr>
                      <w:color w:val="000000" w:themeColor="text1"/>
                      <w:szCs w:val="21"/>
                      <w14:textFill>
                        <w14:solidFill>
                          <w14:schemeClr w14:val="tx1"/>
                        </w14:solidFill>
                      </w14:textFill>
                    </w:rPr>
                  </w:pPr>
                </w:p>
              </w:tc>
              <w:tc>
                <w:tcPr>
                  <w:tcW w:w="855" w:type="pct"/>
                  <w:vMerge w:val="continue"/>
                  <w:vAlign w:val="center"/>
                </w:tcPr>
                <w:p w14:paraId="6589EA04">
                  <w:pPr>
                    <w:jc w:val="center"/>
                    <w:rPr>
                      <w:color w:val="000000" w:themeColor="text1"/>
                      <w:szCs w:val="21"/>
                      <w14:textFill>
                        <w14:solidFill>
                          <w14:schemeClr w14:val="tx1"/>
                        </w14:solidFill>
                      </w14:textFill>
                    </w:rPr>
                  </w:pPr>
                </w:p>
              </w:tc>
              <w:tc>
                <w:tcPr>
                  <w:tcW w:w="754" w:type="pct"/>
                  <w:shd w:val="clear" w:color="auto" w:fill="auto"/>
                  <w:vAlign w:val="center"/>
                </w:tcPr>
                <w:p w14:paraId="2F3A854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C68E39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65C906C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27B2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35B73F2">
                  <w:pPr>
                    <w:jc w:val="center"/>
                    <w:rPr>
                      <w:color w:val="000000" w:themeColor="text1"/>
                      <w:szCs w:val="21"/>
                      <w14:textFill>
                        <w14:solidFill>
                          <w14:schemeClr w14:val="tx1"/>
                        </w14:solidFill>
                      </w14:textFill>
                    </w:rPr>
                  </w:pPr>
                </w:p>
              </w:tc>
              <w:tc>
                <w:tcPr>
                  <w:tcW w:w="764" w:type="pct"/>
                  <w:vMerge w:val="continue"/>
                  <w:vAlign w:val="center"/>
                </w:tcPr>
                <w:p w14:paraId="56C0FB0D">
                  <w:pPr>
                    <w:jc w:val="center"/>
                    <w:rPr>
                      <w:color w:val="000000" w:themeColor="text1"/>
                      <w:szCs w:val="21"/>
                      <w14:textFill>
                        <w14:solidFill>
                          <w14:schemeClr w14:val="tx1"/>
                        </w14:solidFill>
                      </w14:textFill>
                    </w:rPr>
                  </w:pPr>
                </w:p>
              </w:tc>
              <w:tc>
                <w:tcPr>
                  <w:tcW w:w="721" w:type="pct"/>
                  <w:vMerge w:val="restart"/>
                  <w:shd w:val="clear" w:color="auto" w:fill="auto"/>
                  <w:vAlign w:val="center"/>
                </w:tcPr>
                <w:p w14:paraId="1DF52B0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喷码</w:t>
                  </w:r>
                </w:p>
              </w:tc>
              <w:tc>
                <w:tcPr>
                  <w:tcW w:w="855" w:type="pct"/>
                  <w:vMerge w:val="restart"/>
                  <w:shd w:val="clear" w:color="auto" w:fill="auto"/>
                  <w:vAlign w:val="center"/>
                </w:tcPr>
                <w:p w14:paraId="2011D86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激光喷码机</w:t>
                  </w:r>
                </w:p>
              </w:tc>
              <w:tc>
                <w:tcPr>
                  <w:tcW w:w="754" w:type="pct"/>
                  <w:shd w:val="clear" w:color="auto" w:fill="auto"/>
                  <w:vAlign w:val="center"/>
                </w:tcPr>
                <w:p w14:paraId="7332D7E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0062958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180</w:t>
                  </w:r>
                </w:p>
              </w:tc>
              <w:tc>
                <w:tcPr>
                  <w:tcW w:w="926" w:type="pct"/>
                  <w:shd w:val="clear" w:color="auto" w:fill="auto"/>
                  <w:vAlign w:val="center"/>
                </w:tcPr>
                <w:p w14:paraId="7098B5C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m/min</w:t>
                  </w:r>
                </w:p>
              </w:tc>
            </w:tr>
            <w:tr w14:paraId="119ACE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89450DD">
                  <w:pPr>
                    <w:jc w:val="center"/>
                    <w:rPr>
                      <w:color w:val="000000" w:themeColor="text1"/>
                      <w:szCs w:val="21"/>
                      <w14:textFill>
                        <w14:solidFill>
                          <w14:schemeClr w14:val="tx1"/>
                        </w14:solidFill>
                      </w14:textFill>
                    </w:rPr>
                  </w:pPr>
                </w:p>
              </w:tc>
              <w:tc>
                <w:tcPr>
                  <w:tcW w:w="764" w:type="pct"/>
                  <w:vMerge w:val="continue"/>
                  <w:vAlign w:val="center"/>
                </w:tcPr>
                <w:p w14:paraId="5208AD14">
                  <w:pPr>
                    <w:jc w:val="center"/>
                    <w:rPr>
                      <w:color w:val="000000" w:themeColor="text1"/>
                      <w:szCs w:val="21"/>
                      <w14:textFill>
                        <w14:solidFill>
                          <w14:schemeClr w14:val="tx1"/>
                        </w14:solidFill>
                      </w14:textFill>
                    </w:rPr>
                  </w:pPr>
                </w:p>
              </w:tc>
              <w:tc>
                <w:tcPr>
                  <w:tcW w:w="721" w:type="pct"/>
                  <w:vMerge w:val="continue"/>
                  <w:vAlign w:val="center"/>
                </w:tcPr>
                <w:p w14:paraId="14764B33">
                  <w:pPr>
                    <w:jc w:val="center"/>
                    <w:rPr>
                      <w:color w:val="000000" w:themeColor="text1"/>
                      <w:szCs w:val="21"/>
                      <w14:textFill>
                        <w14:solidFill>
                          <w14:schemeClr w14:val="tx1"/>
                        </w14:solidFill>
                      </w14:textFill>
                    </w:rPr>
                  </w:pPr>
                </w:p>
              </w:tc>
              <w:tc>
                <w:tcPr>
                  <w:tcW w:w="855" w:type="pct"/>
                  <w:vMerge w:val="continue"/>
                  <w:vAlign w:val="center"/>
                </w:tcPr>
                <w:p w14:paraId="61E46191">
                  <w:pPr>
                    <w:jc w:val="center"/>
                    <w:rPr>
                      <w:color w:val="000000" w:themeColor="text1"/>
                      <w:szCs w:val="21"/>
                      <w14:textFill>
                        <w14:solidFill>
                          <w14:schemeClr w14:val="tx1"/>
                        </w14:solidFill>
                      </w14:textFill>
                    </w:rPr>
                  </w:pPr>
                </w:p>
              </w:tc>
              <w:tc>
                <w:tcPr>
                  <w:tcW w:w="754" w:type="pct"/>
                  <w:shd w:val="clear" w:color="auto" w:fill="auto"/>
                  <w:vAlign w:val="center"/>
                </w:tcPr>
                <w:p w14:paraId="7D21B2D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D50FE9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7BBCCDB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77EBFB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3A04553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植物饮料</w:t>
                  </w:r>
                  <w:r>
                    <w:rPr>
                      <w:color w:val="000000" w:themeColor="text1"/>
                      <w:szCs w:val="21"/>
                      <w14:textFill>
                        <w14:solidFill>
                          <w14:schemeClr w14:val="tx1"/>
                        </w14:solidFill>
                      </w14:textFill>
                    </w:rPr>
                    <w:t>生产线</w:t>
                  </w:r>
                </w:p>
              </w:tc>
            </w:tr>
            <w:tr w14:paraId="553DC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6EA6244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vAlign w:val="center"/>
                </w:tcPr>
                <w:p w14:paraId="33D38FF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清洗</w:t>
                  </w:r>
                </w:p>
              </w:tc>
              <w:tc>
                <w:tcPr>
                  <w:tcW w:w="721" w:type="pct"/>
                  <w:vMerge w:val="restart"/>
                  <w:vAlign w:val="center"/>
                </w:tcPr>
                <w:p w14:paraId="05F42A5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清洗</w:t>
                  </w:r>
                </w:p>
              </w:tc>
              <w:tc>
                <w:tcPr>
                  <w:tcW w:w="855" w:type="pct"/>
                  <w:vMerge w:val="restart"/>
                  <w:vAlign w:val="center"/>
                </w:tcPr>
                <w:p w14:paraId="51E32D0F">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清洗机</w:t>
                  </w:r>
                </w:p>
              </w:tc>
              <w:tc>
                <w:tcPr>
                  <w:tcW w:w="754" w:type="pct"/>
                  <w:shd w:val="clear" w:color="auto" w:fill="auto"/>
                  <w:vAlign w:val="center"/>
                </w:tcPr>
                <w:p w14:paraId="0AA7E66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清洗槽尺寸</w:t>
                  </w:r>
                </w:p>
              </w:tc>
              <w:tc>
                <w:tcPr>
                  <w:tcW w:w="635" w:type="pct"/>
                  <w:shd w:val="clear" w:color="auto" w:fill="auto"/>
                  <w:vAlign w:val="center"/>
                </w:tcPr>
                <w:p w14:paraId="2BED225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2503081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p>
              </w:tc>
            </w:tr>
            <w:tr w14:paraId="63B20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DAE7276">
                  <w:pPr>
                    <w:jc w:val="center"/>
                    <w:rPr>
                      <w:color w:val="000000" w:themeColor="text1"/>
                      <w:szCs w:val="21"/>
                      <w14:textFill>
                        <w14:solidFill>
                          <w14:schemeClr w14:val="tx1"/>
                        </w14:solidFill>
                      </w14:textFill>
                    </w:rPr>
                  </w:pPr>
                </w:p>
              </w:tc>
              <w:tc>
                <w:tcPr>
                  <w:tcW w:w="764" w:type="pct"/>
                  <w:vMerge w:val="continue"/>
                  <w:vAlign w:val="center"/>
                </w:tcPr>
                <w:p w14:paraId="7710EBD6">
                  <w:pPr>
                    <w:jc w:val="center"/>
                    <w:rPr>
                      <w:color w:val="000000" w:themeColor="text1"/>
                      <w:szCs w:val="21"/>
                      <w14:textFill>
                        <w14:solidFill>
                          <w14:schemeClr w14:val="tx1"/>
                        </w14:solidFill>
                      </w14:textFill>
                    </w:rPr>
                  </w:pPr>
                </w:p>
              </w:tc>
              <w:tc>
                <w:tcPr>
                  <w:tcW w:w="721" w:type="pct"/>
                  <w:vMerge w:val="continue"/>
                  <w:vAlign w:val="center"/>
                </w:tcPr>
                <w:p w14:paraId="79208674">
                  <w:pPr>
                    <w:jc w:val="center"/>
                    <w:rPr>
                      <w:color w:val="000000" w:themeColor="text1"/>
                      <w:szCs w:val="21"/>
                      <w14:textFill>
                        <w14:solidFill>
                          <w14:schemeClr w14:val="tx1"/>
                        </w14:solidFill>
                      </w14:textFill>
                    </w:rPr>
                  </w:pPr>
                </w:p>
              </w:tc>
              <w:tc>
                <w:tcPr>
                  <w:tcW w:w="855" w:type="pct"/>
                  <w:vMerge w:val="continue"/>
                  <w:vAlign w:val="center"/>
                </w:tcPr>
                <w:p w14:paraId="2C6E1999">
                  <w:pPr>
                    <w:widowControl/>
                    <w:jc w:val="center"/>
                    <w:textAlignment w:val="bottom"/>
                    <w:rPr>
                      <w:color w:val="000000" w:themeColor="text1"/>
                      <w:szCs w:val="21"/>
                      <w14:textFill>
                        <w14:solidFill>
                          <w14:schemeClr w14:val="tx1"/>
                        </w14:solidFill>
                      </w14:textFill>
                    </w:rPr>
                  </w:pPr>
                </w:p>
              </w:tc>
              <w:tc>
                <w:tcPr>
                  <w:tcW w:w="754" w:type="pct"/>
                  <w:shd w:val="clear" w:color="auto" w:fill="auto"/>
                  <w:vAlign w:val="center"/>
                </w:tcPr>
                <w:p w14:paraId="1278DDD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8CABE4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0352809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3F9FC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Align w:val="center"/>
                </w:tcPr>
                <w:p w14:paraId="768AA05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Align w:val="center"/>
                </w:tcPr>
                <w:p w14:paraId="20BE61F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烘干</w:t>
                  </w:r>
                </w:p>
              </w:tc>
              <w:tc>
                <w:tcPr>
                  <w:tcW w:w="721" w:type="pct"/>
                  <w:vAlign w:val="center"/>
                </w:tcPr>
                <w:p w14:paraId="1410169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烘干</w:t>
                  </w:r>
                </w:p>
              </w:tc>
              <w:tc>
                <w:tcPr>
                  <w:tcW w:w="855" w:type="pct"/>
                  <w:vAlign w:val="center"/>
                </w:tcPr>
                <w:p w14:paraId="3819E808">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烘烤箱</w:t>
                  </w:r>
                  <w:r>
                    <w:rPr>
                      <w:rStyle w:val="30"/>
                      <w:rFonts w:hint="eastAsia"/>
                      <w:color w:val="000000" w:themeColor="text1"/>
                      <w14:textFill>
                        <w14:solidFill>
                          <w14:schemeClr w14:val="tx1"/>
                        </w14:solidFill>
                      </w14:textFill>
                    </w:rPr>
                    <w:t>（电加热）</w:t>
                  </w:r>
                </w:p>
              </w:tc>
              <w:tc>
                <w:tcPr>
                  <w:tcW w:w="754" w:type="pct"/>
                  <w:shd w:val="clear" w:color="auto" w:fill="auto"/>
                  <w:vAlign w:val="center"/>
                </w:tcPr>
                <w:p w14:paraId="29FBAD8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14C26D6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4AADB57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413F3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6BEC214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64" w:type="pct"/>
                  <w:vMerge w:val="restart"/>
                  <w:vAlign w:val="center"/>
                </w:tcPr>
                <w:p w14:paraId="5BD4A25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w:t>
                  </w:r>
                </w:p>
              </w:tc>
              <w:tc>
                <w:tcPr>
                  <w:tcW w:w="721" w:type="pct"/>
                  <w:vMerge w:val="restart"/>
                  <w:vAlign w:val="center"/>
                </w:tcPr>
                <w:p w14:paraId="6C1F6E0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w:t>
                  </w:r>
                </w:p>
              </w:tc>
              <w:tc>
                <w:tcPr>
                  <w:tcW w:w="855" w:type="pct"/>
                  <w:vMerge w:val="restart"/>
                  <w:vAlign w:val="center"/>
                </w:tcPr>
                <w:p w14:paraId="65B7AF2F">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粉碎机</w:t>
                  </w:r>
                </w:p>
              </w:tc>
              <w:tc>
                <w:tcPr>
                  <w:tcW w:w="754" w:type="pct"/>
                  <w:shd w:val="clear" w:color="auto" w:fill="auto"/>
                  <w:vAlign w:val="center"/>
                </w:tcPr>
                <w:p w14:paraId="7E997D6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44A5E49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926" w:type="pct"/>
                  <w:shd w:val="clear" w:color="auto" w:fill="auto"/>
                  <w:vAlign w:val="center"/>
                </w:tcPr>
                <w:p w14:paraId="12374B4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153C5F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2D2F3FA">
                  <w:pPr>
                    <w:jc w:val="center"/>
                    <w:rPr>
                      <w:color w:val="000000" w:themeColor="text1"/>
                      <w:szCs w:val="21"/>
                      <w14:textFill>
                        <w14:solidFill>
                          <w14:schemeClr w14:val="tx1"/>
                        </w14:solidFill>
                      </w14:textFill>
                    </w:rPr>
                  </w:pPr>
                </w:p>
              </w:tc>
              <w:tc>
                <w:tcPr>
                  <w:tcW w:w="764" w:type="pct"/>
                  <w:vMerge w:val="continue"/>
                  <w:vAlign w:val="center"/>
                </w:tcPr>
                <w:p w14:paraId="7D557B72">
                  <w:pPr>
                    <w:jc w:val="center"/>
                    <w:rPr>
                      <w:color w:val="000000" w:themeColor="text1"/>
                      <w:szCs w:val="21"/>
                      <w14:textFill>
                        <w14:solidFill>
                          <w14:schemeClr w14:val="tx1"/>
                        </w14:solidFill>
                      </w14:textFill>
                    </w:rPr>
                  </w:pPr>
                </w:p>
              </w:tc>
              <w:tc>
                <w:tcPr>
                  <w:tcW w:w="721" w:type="pct"/>
                  <w:vMerge w:val="continue"/>
                  <w:vAlign w:val="center"/>
                </w:tcPr>
                <w:p w14:paraId="699C0AFD">
                  <w:pPr>
                    <w:jc w:val="center"/>
                    <w:rPr>
                      <w:color w:val="000000" w:themeColor="text1"/>
                      <w:szCs w:val="21"/>
                      <w14:textFill>
                        <w14:solidFill>
                          <w14:schemeClr w14:val="tx1"/>
                        </w14:solidFill>
                      </w14:textFill>
                    </w:rPr>
                  </w:pPr>
                </w:p>
              </w:tc>
              <w:tc>
                <w:tcPr>
                  <w:tcW w:w="855" w:type="pct"/>
                  <w:vMerge w:val="continue"/>
                  <w:vAlign w:val="center"/>
                </w:tcPr>
                <w:p w14:paraId="5B6522B5">
                  <w:pPr>
                    <w:widowControl/>
                    <w:jc w:val="center"/>
                    <w:textAlignment w:val="bottom"/>
                    <w:rPr>
                      <w:color w:val="000000" w:themeColor="text1"/>
                      <w:szCs w:val="21"/>
                      <w14:textFill>
                        <w14:solidFill>
                          <w14:schemeClr w14:val="tx1"/>
                        </w14:solidFill>
                      </w14:textFill>
                    </w:rPr>
                  </w:pPr>
                </w:p>
              </w:tc>
              <w:tc>
                <w:tcPr>
                  <w:tcW w:w="754" w:type="pct"/>
                  <w:shd w:val="clear" w:color="auto" w:fill="auto"/>
                  <w:vAlign w:val="center"/>
                </w:tcPr>
                <w:p w14:paraId="58851F3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106B35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1FC412A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627CC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DC290AC">
                  <w:pPr>
                    <w:jc w:val="center"/>
                    <w:rPr>
                      <w:color w:val="000000" w:themeColor="text1"/>
                      <w:szCs w:val="21"/>
                      <w14:textFill>
                        <w14:solidFill>
                          <w14:schemeClr w14:val="tx1"/>
                        </w14:solidFill>
                      </w14:textFill>
                    </w:rPr>
                  </w:pPr>
                </w:p>
              </w:tc>
              <w:tc>
                <w:tcPr>
                  <w:tcW w:w="764" w:type="pct"/>
                  <w:vMerge w:val="continue"/>
                  <w:vAlign w:val="center"/>
                </w:tcPr>
                <w:p w14:paraId="2B461254">
                  <w:pPr>
                    <w:jc w:val="center"/>
                    <w:rPr>
                      <w:color w:val="000000" w:themeColor="text1"/>
                      <w:szCs w:val="21"/>
                      <w14:textFill>
                        <w14:solidFill>
                          <w14:schemeClr w14:val="tx1"/>
                        </w14:solidFill>
                      </w14:textFill>
                    </w:rPr>
                  </w:pPr>
                </w:p>
              </w:tc>
              <w:tc>
                <w:tcPr>
                  <w:tcW w:w="721" w:type="pct"/>
                  <w:vMerge w:val="continue"/>
                  <w:vAlign w:val="center"/>
                </w:tcPr>
                <w:p w14:paraId="239F79F2">
                  <w:pPr>
                    <w:jc w:val="center"/>
                    <w:rPr>
                      <w:color w:val="000000" w:themeColor="text1"/>
                      <w:szCs w:val="21"/>
                      <w14:textFill>
                        <w14:solidFill>
                          <w14:schemeClr w14:val="tx1"/>
                        </w14:solidFill>
                      </w14:textFill>
                    </w:rPr>
                  </w:pPr>
                </w:p>
              </w:tc>
              <w:tc>
                <w:tcPr>
                  <w:tcW w:w="855" w:type="pct"/>
                  <w:vMerge w:val="restart"/>
                  <w:vAlign w:val="center"/>
                </w:tcPr>
                <w:p w14:paraId="229CFD29">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振动筛</w:t>
                  </w:r>
                </w:p>
              </w:tc>
              <w:tc>
                <w:tcPr>
                  <w:tcW w:w="754" w:type="pct"/>
                  <w:shd w:val="clear" w:color="auto" w:fill="auto"/>
                  <w:vAlign w:val="center"/>
                </w:tcPr>
                <w:p w14:paraId="6B425C6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30D373A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926" w:type="pct"/>
                  <w:shd w:val="clear" w:color="auto" w:fill="auto"/>
                  <w:vAlign w:val="center"/>
                </w:tcPr>
                <w:p w14:paraId="53A0EAF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4B3B8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933B12D">
                  <w:pPr>
                    <w:jc w:val="center"/>
                    <w:rPr>
                      <w:color w:val="000000" w:themeColor="text1"/>
                      <w:szCs w:val="21"/>
                      <w14:textFill>
                        <w14:solidFill>
                          <w14:schemeClr w14:val="tx1"/>
                        </w14:solidFill>
                      </w14:textFill>
                    </w:rPr>
                  </w:pPr>
                </w:p>
              </w:tc>
              <w:tc>
                <w:tcPr>
                  <w:tcW w:w="764" w:type="pct"/>
                  <w:vMerge w:val="continue"/>
                  <w:vAlign w:val="center"/>
                </w:tcPr>
                <w:p w14:paraId="1B0A26CA">
                  <w:pPr>
                    <w:jc w:val="center"/>
                    <w:rPr>
                      <w:color w:val="000000" w:themeColor="text1"/>
                      <w:szCs w:val="21"/>
                      <w14:textFill>
                        <w14:solidFill>
                          <w14:schemeClr w14:val="tx1"/>
                        </w14:solidFill>
                      </w14:textFill>
                    </w:rPr>
                  </w:pPr>
                </w:p>
              </w:tc>
              <w:tc>
                <w:tcPr>
                  <w:tcW w:w="721" w:type="pct"/>
                  <w:vMerge w:val="continue"/>
                  <w:vAlign w:val="center"/>
                </w:tcPr>
                <w:p w14:paraId="7ADFFEEA">
                  <w:pPr>
                    <w:jc w:val="center"/>
                    <w:rPr>
                      <w:color w:val="000000" w:themeColor="text1"/>
                      <w:szCs w:val="21"/>
                      <w14:textFill>
                        <w14:solidFill>
                          <w14:schemeClr w14:val="tx1"/>
                        </w14:solidFill>
                      </w14:textFill>
                    </w:rPr>
                  </w:pPr>
                </w:p>
              </w:tc>
              <w:tc>
                <w:tcPr>
                  <w:tcW w:w="855" w:type="pct"/>
                  <w:vMerge w:val="continue"/>
                  <w:vAlign w:val="center"/>
                </w:tcPr>
                <w:p w14:paraId="47D7A35C">
                  <w:pPr>
                    <w:widowControl/>
                    <w:jc w:val="center"/>
                    <w:textAlignment w:val="bottom"/>
                    <w:rPr>
                      <w:color w:val="000000" w:themeColor="text1"/>
                      <w:szCs w:val="21"/>
                      <w14:textFill>
                        <w14:solidFill>
                          <w14:schemeClr w14:val="tx1"/>
                        </w14:solidFill>
                      </w14:textFill>
                    </w:rPr>
                  </w:pPr>
                </w:p>
              </w:tc>
              <w:tc>
                <w:tcPr>
                  <w:tcW w:w="754" w:type="pct"/>
                  <w:shd w:val="clear" w:color="auto" w:fill="auto"/>
                  <w:vAlign w:val="center"/>
                </w:tcPr>
                <w:p w14:paraId="293F3EB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D647CE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57A93AA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7C568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1CA8631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764" w:type="pct"/>
                  <w:vMerge w:val="restart"/>
                  <w:vAlign w:val="center"/>
                </w:tcPr>
                <w:p w14:paraId="202365D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提取</w:t>
                  </w:r>
                </w:p>
              </w:tc>
              <w:tc>
                <w:tcPr>
                  <w:tcW w:w="721" w:type="pct"/>
                  <w:vMerge w:val="restart"/>
                  <w:vAlign w:val="center"/>
                </w:tcPr>
                <w:p w14:paraId="2038A61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提取</w:t>
                  </w:r>
                </w:p>
              </w:tc>
              <w:tc>
                <w:tcPr>
                  <w:tcW w:w="855" w:type="pct"/>
                  <w:vMerge w:val="restart"/>
                  <w:vAlign w:val="center"/>
                </w:tcPr>
                <w:p w14:paraId="07B6C02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提取设备</w:t>
                  </w:r>
                </w:p>
              </w:tc>
              <w:tc>
                <w:tcPr>
                  <w:tcW w:w="754" w:type="pct"/>
                  <w:shd w:val="clear" w:color="auto" w:fill="auto"/>
                  <w:vAlign w:val="center"/>
                </w:tcPr>
                <w:p w14:paraId="50A3B8D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06712A7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w:t>
                  </w:r>
                </w:p>
              </w:tc>
              <w:tc>
                <w:tcPr>
                  <w:tcW w:w="926" w:type="pct"/>
                  <w:shd w:val="clear" w:color="auto" w:fill="auto"/>
                  <w:vAlign w:val="center"/>
                </w:tcPr>
                <w:p w14:paraId="4BD5732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6440C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A2A6E97">
                  <w:pPr>
                    <w:jc w:val="center"/>
                    <w:rPr>
                      <w:color w:val="000000" w:themeColor="text1"/>
                      <w:szCs w:val="21"/>
                      <w14:textFill>
                        <w14:solidFill>
                          <w14:schemeClr w14:val="tx1"/>
                        </w14:solidFill>
                      </w14:textFill>
                    </w:rPr>
                  </w:pPr>
                </w:p>
              </w:tc>
              <w:tc>
                <w:tcPr>
                  <w:tcW w:w="764" w:type="pct"/>
                  <w:vMerge w:val="continue"/>
                  <w:vAlign w:val="center"/>
                </w:tcPr>
                <w:p w14:paraId="50989571">
                  <w:pPr>
                    <w:jc w:val="center"/>
                    <w:rPr>
                      <w:color w:val="000000" w:themeColor="text1"/>
                      <w:szCs w:val="21"/>
                      <w14:textFill>
                        <w14:solidFill>
                          <w14:schemeClr w14:val="tx1"/>
                        </w14:solidFill>
                      </w14:textFill>
                    </w:rPr>
                  </w:pPr>
                </w:p>
              </w:tc>
              <w:tc>
                <w:tcPr>
                  <w:tcW w:w="721" w:type="pct"/>
                  <w:vMerge w:val="continue"/>
                  <w:vAlign w:val="center"/>
                </w:tcPr>
                <w:p w14:paraId="42ED78A0">
                  <w:pPr>
                    <w:jc w:val="center"/>
                    <w:rPr>
                      <w:color w:val="000000" w:themeColor="text1"/>
                      <w:szCs w:val="21"/>
                      <w14:textFill>
                        <w14:solidFill>
                          <w14:schemeClr w14:val="tx1"/>
                        </w14:solidFill>
                      </w14:textFill>
                    </w:rPr>
                  </w:pPr>
                </w:p>
              </w:tc>
              <w:tc>
                <w:tcPr>
                  <w:tcW w:w="855" w:type="pct"/>
                  <w:vMerge w:val="continue"/>
                  <w:vAlign w:val="center"/>
                </w:tcPr>
                <w:p w14:paraId="1663F028">
                  <w:pPr>
                    <w:jc w:val="center"/>
                    <w:rPr>
                      <w:color w:val="000000" w:themeColor="text1"/>
                      <w:szCs w:val="21"/>
                      <w14:textFill>
                        <w14:solidFill>
                          <w14:schemeClr w14:val="tx1"/>
                        </w14:solidFill>
                      </w14:textFill>
                    </w:rPr>
                  </w:pPr>
                </w:p>
              </w:tc>
              <w:tc>
                <w:tcPr>
                  <w:tcW w:w="754" w:type="pct"/>
                  <w:shd w:val="clear" w:color="auto" w:fill="auto"/>
                  <w:vAlign w:val="center"/>
                </w:tcPr>
                <w:p w14:paraId="3C62784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DD8CB4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36B2FED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91E7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Align w:val="center"/>
                </w:tcPr>
                <w:p w14:paraId="517583C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764" w:type="pct"/>
                  <w:vAlign w:val="center"/>
                </w:tcPr>
                <w:p w14:paraId="223B558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称量</w:t>
                  </w:r>
                </w:p>
              </w:tc>
              <w:tc>
                <w:tcPr>
                  <w:tcW w:w="721" w:type="pct"/>
                  <w:vAlign w:val="center"/>
                </w:tcPr>
                <w:p w14:paraId="018C3E9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称量</w:t>
                  </w:r>
                </w:p>
              </w:tc>
              <w:tc>
                <w:tcPr>
                  <w:tcW w:w="855" w:type="pct"/>
                  <w:vAlign w:val="center"/>
                </w:tcPr>
                <w:p w14:paraId="7138033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电子秤</w:t>
                  </w:r>
                </w:p>
              </w:tc>
              <w:tc>
                <w:tcPr>
                  <w:tcW w:w="754" w:type="pct"/>
                  <w:shd w:val="clear" w:color="auto" w:fill="auto"/>
                  <w:vAlign w:val="center"/>
                </w:tcPr>
                <w:p w14:paraId="4D7B81B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40A144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1227E48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2808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6CD70C2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764" w:type="pct"/>
                  <w:vMerge w:val="restart"/>
                  <w:vAlign w:val="center"/>
                </w:tcPr>
                <w:p w14:paraId="7F59E78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混合</w:t>
                  </w:r>
                </w:p>
              </w:tc>
              <w:tc>
                <w:tcPr>
                  <w:tcW w:w="721" w:type="pct"/>
                  <w:vMerge w:val="restart"/>
                  <w:vAlign w:val="center"/>
                </w:tcPr>
                <w:p w14:paraId="2F180D3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混合</w:t>
                  </w:r>
                </w:p>
              </w:tc>
              <w:tc>
                <w:tcPr>
                  <w:tcW w:w="855" w:type="pct"/>
                  <w:vMerge w:val="restart"/>
                  <w:vAlign w:val="center"/>
                </w:tcPr>
                <w:p w14:paraId="03BCB7A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混合罐</w:t>
                  </w:r>
                </w:p>
              </w:tc>
              <w:tc>
                <w:tcPr>
                  <w:tcW w:w="754" w:type="pct"/>
                  <w:shd w:val="clear" w:color="auto" w:fill="auto"/>
                  <w:vAlign w:val="center"/>
                </w:tcPr>
                <w:p w14:paraId="3DC27F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3C076DC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926" w:type="pct"/>
                  <w:shd w:val="clear" w:color="auto" w:fill="auto"/>
                  <w:vAlign w:val="center"/>
                </w:tcPr>
                <w:p w14:paraId="4339B37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275359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39DD714">
                  <w:pPr>
                    <w:jc w:val="center"/>
                    <w:rPr>
                      <w:color w:val="000000" w:themeColor="text1"/>
                      <w:szCs w:val="21"/>
                      <w14:textFill>
                        <w14:solidFill>
                          <w14:schemeClr w14:val="tx1"/>
                        </w14:solidFill>
                      </w14:textFill>
                    </w:rPr>
                  </w:pPr>
                </w:p>
              </w:tc>
              <w:tc>
                <w:tcPr>
                  <w:tcW w:w="764" w:type="pct"/>
                  <w:vMerge w:val="continue"/>
                  <w:vAlign w:val="center"/>
                </w:tcPr>
                <w:p w14:paraId="76E74A55">
                  <w:pPr>
                    <w:jc w:val="center"/>
                    <w:rPr>
                      <w:color w:val="000000" w:themeColor="text1"/>
                      <w:szCs w:val="21"/>
                      <w14:textFill>
                        <w14:solidFill>
                          <w14:schemeClr w14:val="tx1"/>
                        </w14:solidFill>
                      </w14:textFill>
                    </w:rPr>
                  </w:pPr>
                </w:p>
              </w:tc>
              <w:tc>
                <w:tcPr>
                  <w:tcW w:w="721" w:type="pct"/>
                  <w:vMerge w:val="continue"/>
                  <w:vAlign w:val="center"/>
                </w:tcPr>
                <w:p w14:paraId="00A663B2">
                  <w:pPr>
                    <w:jc w:val="center"/>
                    <w:rPr>
                      <w:color w:val="000000" w:themeColor="text1"/>
                      <w:szCs w:val="21"/>
                      <w14:textFill>
                        <w14:solidFill>
                          <w14:schemeClr w14:val="tx1"/>
                        </w14:solidFill>
                      </w14:textFill>
                    </w:rPr>
                  </w:pPr>
                </w:p>
              </w:tc>
              <w:tc>
                <w:tcPr>
                  <w:tcW w:w="855" w:type="pct"/>
                  <w:vMerge w:val="continue"/>
                  <w:vAlign w:val="center"/>
                </w:tcPr>
                <w:p w14:paraId="719E5AB8">
                  <w:pPr>
                    <w:jc w:val="center"/>
                    <w:rPr>
                      <w:color w:val="000000" w:themeColor="text1"/>
                      <w:szCs w:val="21"/>
                      <w14:textFill>
                        <w14:solidFill>
                          <w14:schemeClr w14:val="tx1"/>
                        </w14:solidFill>
                      </w14:textFill>
                    </w:rPr>
                  </w:pPr>
                </w:p>
              </w:tc>
              <w:tc>
                <w:tcPr>
                  <w:tcW w:w="754" w:type="pct"/>
                  <w:shd w:val="clear" w:color="auto" w:fill="auto"/>
                  <w:vAlign w:val="center"/>
                </w:tcPr>
                <w:p w14:paraId="1BBAE9B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6786946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5827672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171A8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272CFF0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p>
              </w:tc>
              <w:tc>
                <w:tcPr>
                  <w:tcW w:w="764" w:type="pct"/>
                  <w:vMerge w:val="restart"/>
                  <w:vAlign w:val="center"/>
                </w:tcPr>
                <w:p w14:paraId="15C561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杀菌</w:t>
                  </w:r>
                </w:p>
              </w:tc>
              <w:tc>
                <w:tcPr>
                  <w:tcW w:w="721" w:type="pct"/>
                  <w:vMerge w:val="restart"/>
                  <w:vAlign w:val="center"/>
                </w:tcPr>
                <w:p w14:paraId="3644B7B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杀菌</w:t>
                  </w:r>
                </w:p>
              </w:tc>
              <w:tc>
                <w:tcPr>
                  <w:tcW w:w="855" w:type="pct"/>
                  <w:vMerge w:val="restart"/>
                  <w:vAlign w:val="center"/>
                </w:tcPr>
                <w:p w14:paraId="5496AF23">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高温杀菌机</w:t>
                  </w:r>
                </w:p>
              </w:tc>
              <w:tc>
                <w:tcPr>
                  <w:tcW w:w="754" w:type="pct"/>
                  <w:shd w:val="clear" w:color="auto" w:fill="auto"/>
                  <w:vAlign w:val="center"/>
                </w:tcPr>
                <w:p w14:paraId="2AB879F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2AD6607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926" w:type="pct"/>
                  <w:shd w:val="clear" w:color="auto" w:fill="auto"/>
                  <w:vAlign w:val="center"/>
                </w:tcPr>
                <w:p w14:paraId="3ADA9E1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6EB93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5BBEDBDE">
                  <w:pPr>
                    <w:jc w:val="center"/>
                    <w:rPr>
                      <w:color w:val="000000" w:themeColor="text1"/>
                      <w:szCs w:val="21"/>
                      <w14:textFill>
                        <w14:solidFill>
                          <w14:schemeClr w14:val="tx1"/>
                        </w14:solidFill>
                      </w14:textFill>
                    </w:rPr>
                  </w:pPr>
                </w:p>
              </w:tc>
              <w:tc>
                <w:tcPr>
                  <w:tcW w:w="764" w:type="pct"/>
                  <w:vMerge w:val="continue"/>
                  <w:vAlign w:val="center"/>
                </w:tcPr>
                <w:p w14:paraId="566DEFE1">
                  <w:pPr>
                    <w:jc w:val="center"/>
                    <w:rPr>
                      <w:color w:val="000000" w:themeColor="text1"/>
                      <w:szCs w:val="21"/>
                      <w14:textFill>
                        <w14:solidFill>
                          <w14:schemeClr w14:val="tx1"/>
                        </w14:solidFill>
                      </w14:textFill>
                    </w:rPr>
                  </w:pPr>
                </w:p>
              </w:tc>
              <w:tc>
                <w:tcPr>
                  <w:tcW w:w="721" w:type="pct"/>
                  <w:vMerge w:val="continue"/>
                  <w:vAlign w:val="center"/>
                </w:tcPr>
                <w:p w14:paraId="68464ED5">
                  <w:pPr>
                    <w:jc w:val="center"/>
                    <w:rPr>
                      <w:color w:val="000000" w:themeColor="text1"/>
                      <w:szCs w:val="21"/>
                      <w14:textFill>
                        <w14:solidFill>
                          <w14:schemeClr w14:val="tx1"/>
                        </w14:solidFill>
                      </w14:textFill>
                    </w:rPr>
                  </w:pPr>
                </w:p>
              </w:tc>
              <w:tc>
                <w:tcPr>
                  <w:tcW w:w="855" w:type="pct"/>
                  <w:vMerge w:val="continue"/>
                  <w:vAlign w:val="center"/>
                </w:tcPr>
                <w:p w14:paraId="17F3BE7F">
                  <w:pPr>
                    <w:widowControl/>
                    <w:jc w:val="center"/>
                    <w:textAlignment w:val="bottom"/>
                    <w:rPr>
                      <w:color w:val="000000" w:themeColor="text1"/>
                      <w:szCs w:val="21"/>
                      <w14:textFill>
                        <w14:solidFill>
                          <w14:schemeClr w14:val="tx1"/>
                        </w14:solidFill>
                      </w14:textFill>
                    </w:rPr>
                  </w:pPr>
                </w:p>
              </w:tc>
              <w:tc>
                <w:tcPr>
                  <w:tcW w:w="754" w:type="pct"/>
                  <w:shd w:val="clear" w:color="auto" w:fill="auto"/>
                  <w:vAlign w:val="center"/>
                </w:tcPr>
                <w:p w14:paraId="17F33F6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155868F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681DD30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752D0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33CD790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w:t>
                  </w:r>
                </w:p>
              </w:tc>
              <w:tc>
                <w:tcPr>
                  <w:tcW w:w="764" w:type="pct"/>
                  <w:vMerge w:val="restart"/>
                  <w:vAlign w:val="center"/>
                </w:tcPr>
                <w:p w14:paraId="6139685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洗瓶灌装</w:t>
                  </w:r>
                </w:p>
              </w:tc>
              <w:tc>
                <w:tcPr>
                  <w:tcW w:w="721" w:type="pct"/>
                  <w:vMerge w:val="restart"/>
                  <w:vAlign w:val="center"/>
                </w:tcPr>
                <w:p w14:paraId="1BC889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洗瓶灌装</w:t>
                  </w:r>
                </w:p>
              </w:tc>
              <w:tc>
                <w:tcPr>
                  <w:tcW w:w="855" w:type="pct"/>
                  <w:vMerge w:val="restart"/>
                  <w:vAlign w:val="center"/>
                </w:tcPr>
                <w:p w14:paraId="1B5E32B4">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灌装线</w:t>
                  </w:r>
                </w:p>
              </w:tc>
              <w:tc>
                <w:tcPr>
                  <w:tcW w:w="754" w:type="pct"/>
                  <w:shd w:val="clear" w:color="auto" w:fill="auto"/>
                  <w:vAlign w:val="center"/>
                </w:tcPr>
                <w:p w14:paraId="1A2376D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67092BD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6.0</w:t>
                  </w:r>
                </w:p>
              </w:tc>
              <w:tc>
                <w:tcPr>
                  <w:tcW w:w="926" w:type="pct"/>
                  <w:shd w:val="clear" w:color="auto" w:fill="auto"/>
                  <w:vAlign w:val="center"/>
                </w:tcPr>
                <w:p w14:paraId="5139B44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652848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1B5A75C">
                  <w:pPr>
                    <w:jc w:val="center"/>
                    <w:rPr>
                      <w:color w:val="000000" w:themeColor="text1"/>
                      <w:szCs w:val="21"/>
                      <w14:textFill>
                        <w14:solidFill>
                          <w14:schemeClr w14:val="tx1"/>
                        </w14:solidFill>
                      </w14:textFill>
                    </w:rPr>
                  </w:pPr>
                </w:p>
              </w:tc>
              <w:tc>
                <w:tcPr>
                  <w:tcW w:w="764" w:type="pct"/>
                  <w:vMerge w:val="continue"/>
                  <w:vAlign w:val="center"/>
                </w:tcPr>
                <w:p w14:paraId="4091CE3E">
                  <w:pPr>
                    <w:jc w:val="center"/>
                    <w:rPr>
                      <w:color w:val="000000" w:themeColor="text1"/>
                      <w:szCs w:val="21"/>
                      <w14:textFill>
                        <w14:solidFill>
                          <w14:schemeClr w14:val="tx1"/>
                        </w14:solidFill>
                      </w14:textFill>
                    </w:rPr>
                  </w:pPr>
                </w:p>
              </w:tc>
              <w:tc>
                <w:tcPr>
                  <w:tcW w:w="721" w:type="pct"/>
                  <w:vMerge w:val="continue"/>
                  <w:vAlign w:val="center"/>
                </w:tcPr>
                <w:p w14:paraId="68A2DBB6">
                  <w:pPr>
                    <w:jc w:val="center"/>
                    <w:rPr>
                      <w:color w:val="000000" w:themeColor="text1"/>
                      <w:szCs w:val="21"/>
                      <w14:textFill>
                        <w14:solidFill>
                          <w14:schemeClr w14:val="tx1"/>
                        </w14:solidFill>
                      </w14:textFill>
                    </w:rPr>
                  </w:pPr>
                </w:p>
              </w:tc>
              <w:tc>
                <w:tcPr>
                  <w:tcW w:w="855" w:type="pct"/>
                  <w:vMerge w:val="continue"/>
                  <w:vAlign w:val="center"/>
                </w:tcPr>
                <w:p w14:paraId="43DD4562">
                  <w:pPr>
                    <w:jc w:val="center"/>
                    <w:rPr>
                      <w:color w:val="000000" w:themeColor="text1"/>
                      <w:szCs w:val="21"/>
                      <w14:textFill>
                        <w14:solidFill>
                          <w14:schemeClr w14:val="tx1"/>
                        </w14:solidFill>
                      </w14:textFill>
                    </w:rPr>
                  </w:pPr>
                </w:p>
              </w:tc>
              <w:tc>
                <w:tcPr>
                  <w:tcW w:w="754" w:type="pct"/>
                  <w:shd w:val="clear" w:color="auto" w:fill="auto"/>
                  <w:vAlign w:val="center"/>
                </w:tcPr>
                <w:p w14:paraId="6D06DA5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2AA1E2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542E237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9177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26188F2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袋泡茶生产线</w:t>
                  </w:r>
                </w:p>
              </w:tc>
            </w:tr>
            <w:tr w14:paraId="61F6D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3B5CD5A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vAlign w:val="center"/>
                </w:tcPr>
                <w:p w14:paraId="70B0AE0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清洗</w:t>
                  </w:r>
                </w:p>
              </w:tc>
              <w:tc>
                <w:tcPr>
                  <w:tcW w:w="721" w:type="pct"/>
                  <w:vMerge w:val="restart"/>
                  <w:vAlign w:val="center"/>
                </w:tcPr>
                <w:p w14:paraId="2692361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清洗</w:t>
                  </w:r>
                </w:p>
              </w:tc>
              <w:tc>
                <w:tcPr>
                  <w:tcW w:w="855" w:type="pct"/>
                  <w:vMerge w:val="restart"/>
                  <w:shd w:val="clear" w:color="auto" w:fill="auto"/>
                  <w:vAlign w:val="center"/>
                </w:tcPr>
                <w:p w14:paraId="4D5D8881">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清洗机</w:t>
                  </w:r>
                </w:p>
              </w:tc>
              <w:tc>
                <w:tcPr>
                  <w:tcW w:w="754" w:type="pct"/>
                  <w:shd w:val="clear" w:color="auto" w:fill="auto"/>
                  <w:vAlign w:val="center"/>
                </w:tcPr>
                <w:p w14:paraId="75BB312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清洗槽尺寸</w:t>
                  </w:r>
                </w:p>
              </w:tc>
              <w:tc>
                <w:tcPr>
                  <w:tcW w:w="635" w:type="pct"/>
                  <w:shd w:val="clear" w:color="auto" w:fill="auto"/>
                  <w:vAlign w:val="center"/>
                </w:tcPr>
                <w:p w14:paraId="2197619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22EEA53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p>
              </w:tc>
            </w:tr>
            <w:tr w14:paraId="30921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10BFBBA9">
                  <w:pPr>
                    <w:jc w:val="center"/>
                    <w:rPr>
                      <w:color w:val="000000" w:themeColor="text1"/>
                      <w:szCs w:val="21"/>
                      <w14:textFill>
                        <w14:solidFill>
                          <w14:schemeClr w14:val="tx1"/>
                        </w14:solidFill>
                      </w14:textFill>
                    </w:rPr>
                  </w:pPr>
                </w:p>
              </w:tc>
              <w:tc>
                <w:tcPr>
                  <w:tcW w:w="764" w:type="pct"/>
                  <w:vMerge w:val="continue"/>
                  <w:vAlign w:val="center"/>
                </w:tcPr>
                <w:p w14:paraId="6BEDC6C2">
                  <w:pPr>
                    <w:jc w:val="center"/>
                    <w:rPr>
                      <w:color w:val="000000" w:themeColor="text1"/>
                      <w:szCs w:val="21"/>
                      <w14:textFill>
                        <w14:solidFill>
                          <w14:schemeClr w14:val="tx1"/>
                        </w14:solidFill>
                      </w14:textFill>
                    </w:rPr>
                  </w:pPr>
                </w:p>
              </w:tc>
              <w:tc>
                <w:tcPr>
                  <w:tcW w:w="721" w:type="pct"/>
                  <w:vMerge w:val="continue"/>
                  <w:vAlign w:val="center"/>
                </w:tcPr>
                <w:p w14:paraId="5C7DA3F8">
                  <w:pPr>
                    <w:jc w:val="center"/>
                    <w:rPr>
                      <w:color w:val="000000" w:themeColor="text1"/>
                      <w:szCs w:val="21"/>
                      <w14:textFill>
                        <w14:solidFill>
                          <w14:schemeClr w14:val="tx1"/>
                        </w14:solidFill>
                      </w14:textFill>
                    </w:rPr>
                  </w:pPr>
                </w:p>
              </w:tc>
              <w:tc>
                <w:tcPr>
                  <w:tcW w:w="855" w:type="pct"/>
                  <w:vMerge w:val="continue"/>
                  <w:shd w:val="clear" w:color="auto" w:fill="auto"/>
                  <w:vAlign w:val="center"/>
                </w:tcPr>
                <w:p w14:paraId="113EFF3B">
                  <w:pPr>
                    <w:widowControl/>
                    <w:jc w:val="center"/>
                    <w:textAlignment w:val="bottom"/>
                    <w:rPr>
                      <w:color w:val="000000" w:themeColor="text1"/>
                      <w:szCs w:val="21"/>
                      <w14:textFill>
                        <w14:solidFill>
                          <w14:schemeClr w14:val="tx1"/>
                        </w14:solidFill>
                      </w14:textFill>
                    </w:rPr>
                  </w:pPr>
                </w:p>
              </w:tc>
              <w:tc>
                <w:tcPr>
                  <w:tcW w:w="754" w:type="pct"/>
                  <w:shd w:val="clear" w:color="auto" w:fill="auto"/>
                  <w:vAlign w:val="center"/>
                </w:tcPr>
                <w:p w14:paraId="166319C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89B04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4428D17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7CD37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Align w:val="center"/>
                </w:tcPr>
                <w:p w14:paraId="473BE32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Align w:val="center"/>
                </w:tcPr>
                <w:p w14:paraId="6DBFC29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烘干</w:t>
                  </w:r>
                </w:p>
              </w:tc>
              <w:tc>
                <w:tcPr>
                  <w:tcW w:w="721" w:type="pct"/>
                  <w:vAlign w:val="center"/>
                </w:tcPr>
                <w:p w14:paraId="614E770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烘干</w:t>
                  </w:r>
                </w:p>
              </w:tc>
              <w:tc>
                <w:tcPr>
                  <w:tcW w:w="855" w:type="pct"/>
                  <w:vAlign w:val="center"/>
                </w:tcPr>
                <w:p w14:paraId="76D2AB81">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烘烤箱</w:t>
                  </w:r>
                  <w:r>
                    <w:rPr>
                      <w:rStyle w:val="30"/>
                      <w:rFonts w:hint="eastAsia"/>
                      <w:color w:val="000000" w:themeColor="text1"/>
                      <w14:textFill>
                        <w14:solidFill>
                          <w14:schemeClr w14:val="tx1"/>
                        </w14:solidFill>
                      </w14:textFill>
                    </w:rPr>
                    <w:t>（电加热）</w:t>
                  </w:r>
                </w:p>
              </w:tc>
              <w:tc>
                <w:tcPr>
                  <w:tcW w:w="754" w:type="pct"/>
                  <w:shd w:val="clear" w:color="auto" w:fill="auto"/>
                  <w:vAlign w:val="center"/>
                </w:tcPr>
                <w:p w14:paraId="0A6981D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F831C1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47D8971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6C142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015B50B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64" w:type="pct"/>
                  <w:vMerge w:val="restart"/>
                  <w:vAlign w:val="center"/>
                </w:tcPr>
                <w:p w14:paraId="1612BA5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研磨</w:t>
                  </w:r>
                </w:p>
              </w:tc>
              <w:tc>
                <w:tcPr>
                  <w:tcW w:w="721" w:type="pct"/>
                  <w:vMerge w:val="restart"/>
                  <w:vAlign w:val="center"/>
                </w:tcPr>
                <w:p w14:paraId="495EB3E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研磨</w:t>
                  </w:r>
                </w:p>
              </w:tc>
              <w:tc>
                <w:tcPr>
                  <w:tcW w:w="855" w:type="pct"/>
                  <w:vMerge w:val="restart"/>
                  <w:vAlign w:val="center"/>
                </w:tcPr>
                <w:p w14:paraId="18A61E4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粉碎机</w:t>
                  </w:r>
                </w:p>
              </w:tc>
              <w:tc>
                <w:tcPr>
                  <w:tcW w:w="754" w:type="pct"/>
                  <w:shd w:val="clear" w:color="auto" w:fill="auto"/>
                  <w:vAlign w:val="center"/>
                </w:tcPr>
                <w:p w14:paraId="1DF3C08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140A279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926" w:type="pct"/>
                  <w:shd w:val="clear" w:color="auto" w:fill="auto"/>
                  <w:vAlign w:val="center"/>
                </w:tcPr>
                <w:p w14:paraId="32143B2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321F0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639412C">
                  <w:pPr>
                    <w:jc w:val="center"/>
                    <w:rPr>
                      <w:color w:val="000000" w:themeColor="text1"/>
                      <w:szCs w:val="21"/>
                      <w14:textFill>
                        <w14:solidFill>
                          <w14:schemeClr w14:val="tx1"/>
                        </w14:solidFill>
                      </w14:textFill>
                    </w:rPr>
                  </w:pPr>
                </w:p>
              </w:tc>
              <w:tc>
                <w:tcPr>
                  <w:tcW w:w="764" w:type="pct"/>
                  <w:vMerge w:val="continue"/>
                  <w:vAlign w:val="center"/>
                </w:tcPr>
                <w:p w14:paraId="5B9C199E">
                  <w:pPr>
                    <w:jc w:val="center"/>
                    <w:rPr>
                      <w:color w:val="000000" w:themeColor="text1"/>
                      <w:szCs w:val="21"/>
                      <w14:textFill>
                        <w14:solidFill>
                          <w14:schemeClr w14:val="tx1"/>
                        </w14:solidFill>
                      </w14:textFill>
                    </w:rPr>
                  </w:pPr>
                </w:p>
              </w:tc>
              <w:tc>
                <w:tcPr>
                  <w:tcW w:w="721" w:type="pct"/>
                  <w:vMerge w:val="continue"/>
                  <w:vAlign w:val="center"/>
                </w:tcPr>
                <w:p w14:paraId="55912E14">
                  <w:pPr>
                    <w:jc w:val="center"/>
                    <w:rPr>
                      <w:color w:val="000000" w:themeColor="text1"/>
                      <w:szCs w:val="21"/>
                      <w14:textFill>
                        <w14:solidFill>
                          <w14:schemeClr w14:val="tx1"/>
                        </w14:solidFill>
                      </w14:textFill>
                    </w:rPr>
                  </w:pPr>
                </w:p>
              </w:tc>
              <w:tc>
                <w:tcPr>
                  <w:tcW w:w="855" w:type="pct"/>
                  <w:vMerge w:val="continue"/>
                  <w:vAlign w:val="center"/>
                </w:tcPr>
                <w:p w14:paraId="6D656C64">
                  <w:pPr>
                    <w:jc w:val="center"/>
                    <w:rPr>
                      <w:color w:val="000000" w:themeColor="text1"/>
                      <w:szCs w:val="21"/>
                      <w14:textFill>
                        <w14:solidFill>
                          <w14:schemeClr w14:val="tx1"/>
                        </w14:solidFill>
                      </w14:textFill>
                    </w:rPr>
                  </w:pPr>
                </w:p>
              </w:tc>
              <w:tc>
                <w:tcPr>
                  <w:tcW w:w="754" w:type="pct"/>
                  <w:shd w:val="clear" w:color="auto" w:fill="auto"/>
                  <w:vAlign w:val="center"/>
                </w:tcPr>
                <w:p w14:paraId="5CA0B42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508AB65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1A88018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28C20C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079A43AA">
                  <w:pPr>
                    <w:jc w:val="center"/>
                    <w:rPr>
                      <w:color w:val="000000" w:themeColor="text1"/>
                      <w:szCs w:val="21"/>
                      <w14:textFill>
                        <w14:solidFill>
                          <w14:schemeClr w14:val="tx1"/>
                        </w14:solidFill>
                      </w14:textFill>
                    </w:rPr>
                  </w:pPr>
                </w:p>
              </w:tc>
              <w:tc>
                <w:tcPr>
                  <w:tcW w:w="764" w:type="pct"/>
                  <w:vMerge w:val="continue"/>
                  <w:vAlign w:val="center"/>
                </w:tcPr>
                <w:p w14:paraId="02746484">
                  <w:pPr>
                    <w:jc w:val="center"/>
                    <w:rPr>
                      <w:color w:val="000000" w:themeColor="text1"/>
                      <w:szCs w:val="21"/>
                      <w14:textFill>
                        <w14:solidFill>
                          <w14:schemeClr w14:val="tx1"/>
                        </w14:solidFill>
                      </w14:textFill>
                    </w:rPr>
                  </w:pPr>
                </w:p>
              </w:tc>
              <w:tc>
                <w:tcPr>
                  <w:tcW w:w="721" w:type="pct"/>
                  <w:vMerge w:val="continue"/>
                  <w:vAlign w:val="center"/>
                </w:tcPr>
                <w:p w14:paraId="0BFD65DF">
                  <w:pPr>
                    <w:jc w:val="center"/>
                    <w:rPr>
                      <w:color w:val="000000" w:themeColor="text1"/>
                      <w:szCs w:val="21"/>
                      <w14:textFill>
                        <w14:solidFill>
                          <w14:schemeClr w14:val="tx1"/>
                        </w14:solidFill>
                      </w14:textFill>
                    </w:rPr>
                  </w:pPr>
                </w:p>
              </w:tc>
              <w:tc>
                <w:tcPr>
                  <w:tcW w:w="855" w:type="pct"/>
                  <w:vMerge w:val="restart"/>
                  <w:vAlign w:val="center"/>
                </w:tcPr>
                <w:p w14:paraId="744E1FF0">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研磨机</w:t>
                  </w:r>
                </w:p>
              </w:tc>
              <w:tc>
                <w:tcPr>
                  <w:tcW w:w="754" w:type="pct"/>
                  <w:shd w:val="clear" w:color="auto" w:fill="auto"/>
                  <w:vAlign w:val="center"/>
                </w:tcPr>
                <w:p w14:paraId="362D43B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0E59DCB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926" w:type="pct"/>
                  <w:shd w:val="clear" w:color="auto" w:fill="auto"/>
                  <w:vAlign w:val="center"/>
                </w:tcPr>
                <w:p w14:paraId="05E672F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1E81B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C4AC247">
                  <w:pPr>
                    <w:jc w:val="center"/>
                    <w:rPr>
                      <w:color w:val="000000" w:themeColor="text1"/>
                      <w:szCs w:val="21"/>
                      <w14:textFill>
                        <w14:solidFill>
                          <w14:schemeClr w14:val="tx1"/>
                        </w14:solidFill>
                      </w14:textFill>
                    </w:rPr>
                  </w:pPr>
                </w:p>
              </w:tc>
              <w:tc>
                <w:tcPr>
                  <w:tcW w:w="764" w:type="pct"/>
                  <w:vMerge w:val="continue"/>
                  <w:vAlign w:val="center"/>
                </w:tcPr>
                <w:p w14:paraId="551ED55E">
                  <w:pPr>
                    <w:jc w:val="center"/>
                    <w:rPr>
                      <w:color w:val="000000" w:themeColor="text1"/>
                      <w:szCs w:val="21"/>
                      <w14:textFill>
                        <w14:solidFill>
                          <w14:schemeClr w14:val="tx1"/>
                        </w14:solidFill>
                      </w14:textFill>
                    </w:rPr>
                  </w:pPr>
                </w:p>
              </w:tc>
              <w:tc>
                <w:tcPr>
                  <w:tcW w:w="721" w:type="pct"/>
                  <w:vMerge w:val="continue"/>
                  <w:vAlign w:val="center"/>
                </w:tcPr>
                <w:p w14:paraId="0ADEE7B2">
                  <w:pPr>
                    <w:jc w:val="center"/>
                    <w:rPr>
                      <w:color w:val="000000" w:themeColor="text1"/>
                      <w:szCs w:val="21"/>
                      <w14:textFill>
                        <w14:solidFill>
                          <w14:schemeClr w14:val="tx1"/>
                        </w14:solidFill>
                      </w14:textFill>
                    </w:rPr>
                  </w:pPr>
                </w:p>
              </w:tc>
              <w:tc>
                <w:tcPr>
                  <w:tcW w:w="855" w:type="pct"/>
                  <w:vMerge w:val="continue"/>
                  <w:vAlign w:val="center"/>
                </w:tcPr>
                <w:p w14:paraId="2DB78D76">
                  <w:pPr>
                    <w:widowControl/>
                    <w:jc w:val="center"/>
                    <w:textAlignment w:val="bottom"/>
                    <w:rPr>
                      <w:color w:val="000000" w:themeColor="text1"/>
                      <w:szCs w:val="21"/>
                      <w14:textFill>
                        <w14:solidFill>
                          <w14:schemeClr w14:val="tx1"/>
                        </w14:solidFill>
                      </w14:textFill>
                    </w:rPr>
                  </w:pPr>
                </w:p>
              </w:tc>
              <w:tc>
                <w:tcPr>
                  <w:tcW w:w="754" w:type="pct"/>
                  <w:shd w:val="clear" w:color="auto" w:fill="auto"/>
                  <w:vAlign w:val="center"/>
                </w:tcPr>
                <w:p w14:paraId="05E5B7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CD06D1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17BDA2D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5C0F9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726C856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764" w:type="pct"/>
                  <w:vMerge w:val="restart"/>
                  <w:vAlign w:val="center"/>
                </w:tcPr>
                <w:p w14:paraId="7E7F460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混合</w:t>
                  </w:r>
                </w:p>
              </w:tc>
              <w:tc>
                <w:tcPr>
                  <w:tcW w:w="721" w:type="pct"/>
                  <w:vMerge w:val="restart"/>
                  <w:vAlign w:val="center"/>
                </w:tcPr>
                <w:p w14:paraId="0F132C9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混合</w:t>
                  </w:r>
                </w:p>
              </w:tc>
              <w:tc>
                <w:tcPr>
                  <w:tcW w:w="855" w:type="pct"/>
                  <w:vMerge w:val="restart"/>
                  <w:vAlign w:val="center"/>
                </w:tcPr>
                <w:p w14:paraId="5B36496A">
                  <w:pPr>
                    <w:widowControl/>
                    <w:jc w:val="center"/>
                    <w:textAlignment w:val="bottom"/>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3V混合机</w:t>
                  </w:r>
                </w:p>
              </w:tc>
              <w:tc>
                <w:tcPr>
                  <w:tcW w:w="754" w:type="pct"/>
                  <w:shd w:val="clear" w:color="auto" w:fill="auto"/>
                  <w:vAlign w:val="center"/>
                </w:tcPr>
                <w:p w14:paraId="78C5768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731C6C0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926" w:type="pct"/>
                  <w:shd w:val="clear" w:color="auto" w:fill="auto"/>
                  <w:vAlign w:val="center"/>
                </w:tcPr>
                <w:p w14:paraId="5EF034E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7F83D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165E54A">
                  <w:pPr>
                    <w:jc w:val="center"/>
                    <w:rPr>
                      <w:color w:val="000000" w:themeColor="text1"/>
                      <w:szCs w:val="21"/>
                      <w14:textFill>
                        <w14:solidFill>
                          <w14:schemeClr w14:val="tx1"/>
                        </w14:solidFill>
                      </w14:textFill>
                    </w:rPr>
                  </w:pPr>
                </w:p>
              </w:tc>
              <w:tc>
                <w:tcPr>
                  <w:tcW w:w="764" w:type="pct"/>
                  <w:vMerge w:val="continue"/>
                  <w:vAlign w:val="center"/>
                </w:tcPr>
                <w:p w14:paraId="72644E55">
                  <w:pPr>
                    <w:jc w:val="center"/>
                    <w:rPr>
                      <w:color w:val="000000" w:themeColor="text1"/>
                      <w:szCs w:val="21"/>
                      <w14:textFill>
                        <w14:solidFill>
                          <w14:schemeClr w14:val="tx1"/>
                        </w14:solidFill>
                      </w14:textFill>
                    </w:rPr>
                  </w:pPr>
                </w:p>
              </w:tc>
              <w:tc>
                <w:tcPr>
                  <w:tcW w:w="721" w:type="pct"/>
                  <w:vMerge w:val="continue"/>
                  <w:vAlign w:val="center"/>
                </w:tcPr>
                <w:p w14:paraId="3A3A09CF">
                  <w:pPr>
                    <w:jc w:val="center"/>
                    <w:rPr>
                      <w:color w:val="000000" w:themeColor="text1"/>
                      <w:szCs w:val="21"/>
                      <w14:textFill>
                        <w14:solidFill>
                          <w14:schemeClr w14:val="tx1"/>
                        </w14:solidFill>
                      </w14:textFill>
                    </w:rPr>
                  </w:pPr>
                </w:p>
              </w:tc>
              <w:tc>
                <w:tcPr>
                  <w:tcW w:w="855" w:type="pct"/>
                  <w:vMerge w:val="continue"/>
                  <w:vAlign w:val="center"/>
                </w:tcPr>
                <w:p w14:paraId="6DBEFC6A">
                  <w:pPr>
                    <w:widowControl/>
                    <w:jc w:val="center"/>
                    <w:textAlignment w:val="bottom"/>
                    <w:rPr>
                      <w:color w:val="000000" w:themeColor="text1"/>
                      <w:szCs w:val="21"/>
                      <w14:textFill>
                        <w14:solidFill>
                          <w14:schemeClr w14:val="tx1"/>
                        </w14:solidFill>
                      </w14:textFill>
                    </w:rPr>
                  </w:pPr>
                </w:p>
              </w:tc>
              <w:tc>
                <w:tcPr>
                  <w:tcW w:w="754" w:type="pct"/>
                  <w:shd w:val="clear" w:color="auto" w:fill="auto"/>
                  <w:vAlign w:val="center"/>
                </w:tcPr>
                <w:p w14:paraId="6414602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5F57C1D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10BE616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67E22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21DAB38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764" w:type="pct"/>
                  <w:vMerge w:val="restart"/>
                  <w:vAlign w:val="center"/>
                </w:tcPr>
                <w:p w14:paraId="359F945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制粒</w:t>
                  </w:r>
                </w:p>
              </w:tc>
              <w:tc>
                <w:tcPr>
                  <w:tcW w:w="721" w:type="pct"/>
                  <w:vMerge w:val="restart"/>
                  <w:vAlign w:val="center"/>
                </w:tcPr>
                <w:p w14:paraId="12E6F2A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制粒</w:t>
                  </w:r>
                </w:p>
              </w:tc>
              <w:tc>
                <w:tcPr>
                  <w:tcW w:w="855" w:type="pct"/>
                  <w:vMerge w:val="restart"/>
                  <w:vAlign w:val="center"/>
                </w:tcPr>
                <w:p w14:paraId="51AE0C1F">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制粒机</w:t>
                  </w:r>
                </w:p>
              </w:tc>
              <w:tc>
                <w:tcPr>
                  <w:tcW w:w="754" w:type="pct"/>
                  <w:shd w:val="clear" w:color="auto" w:fill="auto"/>
                  <w:vAlign w:val="center"/>
                </w:tcPr>
                <w:p w14:paraId="0E6F749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404420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74824C9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422FC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0B87F16">
                  <w:pPr>
                    <w:jc w:val="center"/>
                    <w:rPr>
                      <w:color w:val="000000" w:themeColor="text1"/>
                      <w:szCs w:val="21"/>
                      <w14:textFill>
                        <w14:solidFill>
                          <w14:schemeClr w14:val="tx1"/>
                        </w14:solidFill>
                      </w14:textFill>
                    </w:rPr>
                  </w:pPr>
                </w:p>
              </w:tc>
              <w:tc>
                <w:tcPr>
                  <w:tcW w:w="764" w:type="pct"/>
                  <w:vMerge w:val="continue"/>
                  <w:vAlign w:val="center"/>
                </w:tcPr>
                <w:p w14:paraId="77ABE368">
                  <w:pPr>
                    <w:jc w:val="center"/>
                    <w:rPr>
                      <w:color w:val="000000" w:themeColor="text1"/>
                      <w:szCs w:val="21"/>
                      <w14:textFill>
                        <w14:solidFill>
                          <w14:schemeClr w14:val="tx1"/>
                        </w14:solidFill>
                      </w14:textFill>
                    </w:rPr>
                  </w:pPr>
                </w:p>
              </w:tc>
              <w:tc>
                <w:tcPr>
                  <w:tcW w:w="721" w:type="pct"/>
                  <w:vMerge w:val="continue"/>
                  <w:vAlign w:val="center"/>
                </w:tcPr>
                <w:p w14:paraId="0F58EF34">
                  <w:pPr>
                    <w:jc w:val="center"/>
                    <w:rPr>
                      <w:color w:val="000000" w:themeColor="text1"/>
                      <w:szCs w:val="21"/>
                      <w14:textFill>
                        <w14:solidFill>
                          <w14:schemeClr w14:val="tx1"/>
                        </w14:solidFill>
                      </w14:textFill>
                    </w:rPr>
                  </w:pPr>
                </w:p>
              </w:tc>
              <w:tc>
                <w:tcPr>
                  <w:tcW w:w="855" w:type="pct"/>
                  <w:vMerge w:val="continue"/>
                  <w:vAlign w:val="center"/>
                </w:tcPr>
                <w:p w14:paraId="143BA8C8">
                  <w:pPr>
                    <w:widowControl/>
                    <w:jc w:val="center"/>
                    <w:textAlignment w:val="bottom"/>
                    <w:rPr>
                      <w:color w:val="000000" w:themeColor="text1"/>
                      <w:szCs w:val="21"/>
                      <w14:textFill>
                        <w14:solidFill>
                          <w14:schemeClr w14:val="tx1"/>
                        </w14:solidFill>
                      </w14:textFill>
                    </w:rPr>
                  </w:pPr>
                </w:p>
              </w:tc>
              <w:tc>
                <w:tcPr>
                  <w:tcW w:w="754" w:type="pct"/>
                  <w:shd w:val="clear" w:color="auto" w:fill="auto"/>
                  <w:vAlign w:val="center"/>
                </w:tcPr>
                <w:p w14:paraId="4CB57DF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1B0DB9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926" w:type="pct"/>
                  <w:shd w:val="clear" w:color="auto" w:fill="auto"/>
                  <w:vAlign w:val="center"/>
                </w:tcPr>
                <w:p w14:paraId="0CE5BC2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98DF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1551713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764" w:type="pct"/>
                  <w:vMerge w:val="restart"/>
                  <w:vAlign w:val="center"/>
                </w:tcPr>
                <w:p w14:paraId="7157941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w:t>
                  </w:r>
                </w:p>
              </w:tc>
              <w:tc>
                <w:tcPr>
                  <w:tcW w:w="721" w:type="pct"/>
                  <w:vMerge w:val="restart"/>
                  <w:vAlign w:val="center"/>
                </w:tcPr>
                <w:p w14:paraId="42C56F8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w:t>
                  </w:r>
                </w:p>
              </w:tc>
              <w:tc>
                <w:tcPr>
                  <w:tcW w:w="855" w:type="pct"/>
                  <w:vMerge w:val="restart"/>
                  <w:vAlign w:val="center"/>
                </w:tcPr>
                <w:p w14:paraId="0479AEDC">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分包机</w:t>
                  </w:r>
                </w:p>
              </w:tc>
              <w:tc>
                <w:tcPr>
                  <w:tcW w:w="754" w:type="pct"/>
                  <w:shd w:val="clear" w:color="auto" w:fill="auto"/>
                  <w:vAlign w:val="center"/>
                </w:tcPr>
                <w:p w14:paraId="3920084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0E058B0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0.15</w:t>
                  </w:r>
                </w:p>
              </w:tc>
              <w:tc>
                <w:tcPr>
                  <w:tcW w:w="926" w:type="pct"/>
                  <w:shd w:val="clear" w:color="auto" w:fill="auto"/>
                  <w:vAlign w:val="center"/>
                </w:tcPr>
                <w:p w14:paraId="78EBF5F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322EA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D86E799">
                  <w:pPr>
                    <w:jc w:val="center"/>
                    <w:rPr>
                      <w:color w:val="000000" w:themeColor="text1"/>
                      <w:szCs w:val="21"/>
                      <w14:textFill>
                        <w14:solidFill>
                          <w14:schemeClr w14:val="tx1"/>
                        </w14:solidFill>
                      </w14:textFill>
                    </w:rPr>
                  </w:pPr>
                </w:p>
              </w:tc>
              <w:tc>
                <w:tcPr>
                  <w:tcW w:w="764" w:type="pct"/>
                  <w:vMerge w:val="continue"/>
                  <w:vAlign w:val="center"/>
                </w:tcPr>
                <w:p w14:paraId="0A1DD3DF">
                  <w:pPr>
                    <w:jc w:val="center"/>
                    <w:rPr>
                      <w:color w:val="000000" w:themeColor="text1"/>
                      <w:szCs w:val="21"/>
                      <w14:textFill>
                        <w14:solidFill>
                          <w14:schemeClr w14:val="tx1"/>
                        </w14:solidFill>
                      </w14:textFill>
                    </w:rPr>
                  </w:pPr>
                </w:p>
              </w:tc>
              <w:tc>
                <w:tcPr>
                  <w:tcW w:w="721" w:type="pct"/>
                  <w:vMerge w:val="continue"/>
                  <w:vAlign w:val="center"/>
                </w:tcPr>
                <w:p w14:paraId="0E09A727">
                  <w:pPr>
                    <w:jc w:val="center"/>
                    <w:rPr>
                      <w:color w:val="000000" w:themeColor="text1"/>
                      <w:szCs w:val="21"/>
                      <w14:textFill>
                        <w14:solidFill>
                          <w14:schemeClr w14:val="tx1"/>
                        </w14:solidFill>
                      </w14:textFill>
                    </w:rPr>
                  </w:pPr>
                </w:p>
              </w:tc>
              <w:tc>
                <w:tcPr>
                  <w:tcW w:w="855" w:type="pct"/>
                  <w:vMerge w:val="continue"/>
                  <w:vAlign w:val="center"/>
                </w:tcPr>
                <w:p w14:paraId="2C60DE4D">
                  <w:pPr>
                    <w:widowControl/>
                    <w:jc w:val="center"/>
                    <w:textAlignment w:val="bottom"/>
                    <w:rPr>
                      <w:color w:val="000000" w:themeColor="text1"/>
                      <w:szCs w:val="21"/>
                      <w14:textFill>
                        <w14:solidFill>
                          <w14:schemeClr w14:val="tx1"/>
                        </w14:solidFill>
                      </w14:textFill>
                    </w:rPr>
                  </w:pPr>
                </w:p>
              </w:tc>
              <w:tc>
                <w:tcPr>
                  <w:tcW w:w="754" w:type="pct"/>
                  <w:shd w:val="clear" w:color="auto" w:fill="auto"/>
                  <w:vAlign w:val="center"/>
                </w:tcPr>
                <w:p w14:paraId="409C7BE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13FCC68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926" w:type="pct"/>
                  <w:shd w:val="clear" w:color="auto" w:fill="auto"/>
                  <w:vAlign w:val="center"/>
                </w:tcPr>
                <w:p w14:paraId="3906075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5DC45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12F73AB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医用手术衣生产线</w:t>
                  </w:r>
                </w:p>
              </w:tc>
            </w:tr>
            <w:tr w14:paraId="7F67F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341" w:type="pct"/>
                  <w:vMerge w:val="restart"/>
                  <w:vAlign w:val="center"/>
                </w:tcPr>
                <w:p w14:paraId="47F7D9B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vAlign w:val="center"/>
                </w:tcPr>
                <w:p w14:paraId="162A11E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分切</w:t>
                  </w:r>
                </w:p>
              </w:tc>
              <w:tc>
                <w:tcPr>
                  <w:tcW w:w="721" w:type="pct"/>
                  <w:vMerge w:val="restart"/>
                  <w:vAlign w:val="center"/>
                </w:tcPr>
                <w:p w14:paraId="05EE00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分切</w:t>
                  </w:r>
                </w:p>
              </w:tc>
              <w:tc>
                <w:tcPr>
                  <w:tcW w:w="855" w:type="pct"/>
                  <w:vMerge w:val="restart"/>
                  <w:vAlign w:val="center"/>
                </w:tcPr>
                <w:p w14:paraId="4EEE4F3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分切机</w:t>
                  </w:r>
                </w:p>
              </w:tc>
              <w:tc>
                <w:tcPr>
                  <w:tcW w:w="754" w:type="pct"/>
                  <w:shd w:val="clear" w:color="auto" w:fill="auto"/>
                  <w:vAlign w:val="center"/>
                </w:tcPr>
                <w:p w14:paraId="19A1623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23F0D18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p>
              </w:tc>
              <w:tc>
                <w:tcPr>
                  <w:tcW w:w="926" w:type="pct"/>
                  <w:shd w:val="clear" w:color="auto" w:fill="auto"/>
                  <w:vAlign w:val="center"/>
                </w:tcPr>
                <w:p w14:paraId="086239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05AB3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0BA8E819">
                  <w:pPr>
                    <w:jc w:val="center"/>
                    <w:rPr>
                      <w:color w:val="000000" w:themeColor="text1"/>
                      <w:szCs w:val="21"/>
                      <w14:textFill>
                        <w14:solidFill>
                          <w14:schemeClr w14:val="tx1"/>
                        </w14:solidFill>
                      </w14:textFill>
                    </w:rPr>
                  </w:pPr>
                </w:p>
              </w:tc>
              <w:tc>
                <w:tcPr>
                  <w:tcW w:w="764" w:type="pct"/>
                  <w:vMerge w:val="continue"/>
                  <w:vAlign w:val="center"/>
                </w:tcPr>
                <w:p w14:paraId="0FF00816">
                  <w:pPr>
                    <w:jc w:val="center"/>
                    <w:rPr>
                      <w:color w:val="000000" w:themeColor="text1"/>
                      <w:szCs w:val="21"/>
                      <w14:textFill>
                        <w14:solidFill>
                          <w14:schemeClr w14:val="tx1"/>
                        </w14:solidFill>
                      </w14:textFill>
                    </w:rPr>
                  </w:pPr>
                </w:p>
              </w:tc>
              <w:tc>
                <w:tcPr>
                  <w:tcW w:w="721" w:type="pct"/>
                  <w:vMerge w:val="continue"/>
                  <w:vAlign w:val="center"/>
                </w:tcPr>
                <w:p w14:paraId="2598649C">
                  <w:pPr>
                    <w:jc w:val="center"/>
                    <w:rPr>
                      <w:color w:val="000000" w:themeColor="text1"/>
                      <w:szCs w:val="21"/>
                      <w14:textFill>
                        <w14:solidFill>
                          <w14:schemeClr w14:val="tx1"/>
                        </w14:solidFill>
                      </w14:textFill>
                    </w:rPr>
                  </w:pPr>
                </w:p>
              </w:tc>
              <w:tc>
                <w:tcPr>
                  <w:tcW w:w="855" w:type="pct"/>
                  <w:vMerge w:val="continue"/>
                  <w:vAlign w:val="center"/>
                </w:tcPr>
                <w:p w14:paraId="05E837FC">
                  <w:pPr>
                    <w:jc w:val="center"/>
                    <w:rPr>
                      <w:color w:val="000000" w:themeColor="text1"/>
                      <w:szCs w:val="21"/>
                      <w14:textFill>
                        <w14:solidFill>
                          <w14:schemeClr w14:val="tx1"/>
                        </w14:solidFill>
                      </w14:textFill>
                    </w:rPr>
                  </w:pPr>
                </w:p>
              </w:tc>
              <w:tc>
                <w:tcPr>
                  <w:tcW w:w="754" w:type="pct"/>
                  <w:shd w:val="clear" w:color="auto" w:fill="auto"/>
                  <w:vAlign w:val="center"/>
                </w:tcPr>
                <w:p w14:paraId="009ED5F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4416D7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6471121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1A3B1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28C703D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Merge w:val="restart"/>
                  <w:vAlign w:val="center"/>
                </w:tcPr>
                <w:p w14:paraId="113E37C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缝合</w:t>
                  </w:r>
                </w:p>
              </w:tc>
              <w:tc>
                <w:tcPr>
                  <w:tcW w:w="721" w:type="pct"/>
                  <w:vMerge w:val="restart"/>
                  <w:vAlign w:val="center"/>
                </w:tcPr>
                <w:p w14:paraId="03C5E6D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缝合</w:t>
                  </w:r>
                </w:p>
              </w:tc>
              <w:tc>
                <w:tcPr>
                  <w:tcW w:w="855" w:type="pct"/>
                  <w:vMerge w:val="restart"/>
                  <w:vAlign w:val="center"/>
                </w:tcPr>
                <w:p w14:paraId="46D49F1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超声波缝合机</w:t>
                  </w:r>
                </w:p>
              </w:tc>
              <w:tc>
                <w:tcPr>
                  <w:tcW w:w="754" w:type="pct"/>
                  <w:shd w:val="clear" w:color="auto" w:fill="auto"/>
                  <w:vAlign w:val="center"/>
                </w:tcPr>
                <w:p w14:paraId="2C1B786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0D8C5CC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2487850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3F736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24E0464">
                  <w:pPr>
                    <w:jc w:val="center"/>
                    <w:rPr>
                      <w:color w:val="000000" w:themeColor="text1"/>
                      <w:szCs w:val="21"/>
                      <w14:textFill>
                        <w14:solidFill>
                          <w14:schemeClr w14:val="tx1"/>
                        </w14:solidFill>
                      </w14:textFill>
                    </w:rPr>
                  </w:pPr>
                </w:p>
              </w:tc>
              <w:tc>
                <w:tcPr>
                  <w:tcW w:w="764" w:type="pct"/>
                  <w:vMerge w:val="continue"/>
                  <w:vAlign w:val="center"/>
                </w:tcPr>
                <w:p w14:paraId="3A25E940">
                  <w:pPr>
                    <w:jc w:val="center"/>
                    <w:rPr>
                      <w:color w:val="000000" w:themeColor="text1"/>
                      <w:szCs w:val="21"/>
                      <w14:textFill>
                        <w14:solidFill>
                          <w14:schemeClr w14:val="tx1"/>
                        </w14:solidFill>
                      </w14:textFill>
                    </w:rPr>
                  </w:pPr>
                </w:p>
              </w:tc>
              <w:tc>
                <w:tcPr>
                  <w:tcW w:w="721" w:type="pct"/>
                  <w:vMerge w:val="continue"/>
                  <w:vAlign w:val="center"/>
                </w:tcPr>
                <w:p w14:paraId="6B88171E">
                  <w:pPr>
                    <w:jc w:val="center"/>
                    <w:rPr>
                      <w:color w:val="000000" w:themeColor="text1"/>
                      <w:szCs w:val="21"/>
                      <w14:textFill>
                        <w14:solidFill>
                          <w14:schemeClr w14:val="tx1"/>
                        </w14:solidFill>
                      </w14:textFill>
                    </w:rPr>
                  </w:pPr>
                </w:p>
              </w:tc>
              <w:tc>
                <w:tcPr>
                  <w:tcW w:w="855" w:type="pct"/>
                  <w:vMerge w:val="continue"/>
                  <w:vAlign w:val="center"/>
                </w:tcPr>
                <w:p w14:paraId="7654F178">
                  <w:pPr>
                    <w:jc w:val="center"/>
                    <w:rPr>
                      <w:color w:val="000000" w:themeColor="text1"/>
                      <w:szCs w:val="21"/>
                      <w14:textFill>
                        <w14:solidFill>
                          <w14:schemeClr w14:val="tx1"/>
                        </w14:solidFill>
                      </w14:textFill>
                    </w:rPr>
                  </w:pPr>
                </w:p>
              </w:tc>
              <w:tc>
                <w:tcPr>
                  <w:tcW w:w="754" w:type="pct"/>
                  <w:shd w:val="clear" w:color="auto" w:fill="auto"/>
                  <w:vAlign w:val="center"/>
                </w:tcPr>
                <w:p w14:paraId="7A3EDDC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B3E695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4A7F30C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7CA8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460226D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64" w:type="pct"/>
                  <w:vMerge w:val="restart"/>
                  <w:vAlign w:val="center"/>
                </w:tcPr>
                <w:p w14:paraId="0701DFC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w:t>
                  </w:r>
                </w:p>
              </w:tc>
              <w:tc>
                <w:tcPr>
                  <w:tcW w:w="721" w:type="pct"/>
                  <w:vMerge w:val="restart"/>
                  <w:vAlign w:val="center"/>
                </w:tcPr>
                <w:p w14:paraId="491C3FF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内包</w:t>
                  </w:r>
                </w:p>
              </w:tc>
              <w:tc>
                <w:tcPr>
                  <w:tcW w:w="855" w:type="pct"/>
                  <w:vMerge w:val="restart"/>
                  <w:vAlign w:val="center"/>
                </w:tcPr>
                <w:p w14:paraId="591DD79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内包机</w:t>
                  </w:r>
                </w:p>
              </w:tc>
              <w:tc>
                <w:tcPr>
                  <w:tcW w:w="754" w:type="pct"/>
                  <w:shd w:val="clear" w:color="auto" w:fill="auto"/>
                  <w:vAlign w:val="center"/>
                </w:tcPr>
                <w:p w14:paraId="5D134D3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174A5E3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6.0</w:t>
                  </w:r>
                </w:p>
              </w:tc>
              <w:tc>
                <w:tcPr>
                  <w:tcW w:w="926" w:type="pct"/>
                  <w:shd w:val="clear" w:color="auto" w:fill="auto"/>
                  <w:vAlign w:val="center"/>
                </w:tcPr>
                <w:p w14:paraId="329E2C7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201EF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856B5D5">
                  <w:pPr>
                    <w:jc w:val="center"/>
                    <w:rPr>
                      <w:color w:val="000000" w:themeColor="text1"/>
                      <w:szCs w:val="21"/>
                      <w14:textFill>
                        <w14:solidFill>
                          <w14:schemeClr w14:val="tx1"/>
                        </w14:solidFill>
                      </w14:textFill>
                    </w:rPr>
                  </w:pPr>
                </w:p>
              </w:tc>
              <w:tc>
                <w:tcPr>
                  <w:tcW w:w="764" w:type="pct"/>
                  <w:vMerge w:val="continue"/>
                  <w:vAlign w:val="center"/>
                </w:tcPr>
                <w:p w14:paraId="78BAA17E">
                  <w:pPr>
                    <w:jc w:val="center"/>
                    <w:rPr>
                      <w:color w:val="000000" w:themeColor="text1"/>
                      <w:szCs w:val="21"/>
                      <w14:textFill>
                        <w14:solidFill>
                          <w14:schemeClr w14:val="tx1"/>
                        </w14:solidFill>
                      </w14:textFill>
                    </w:rPr>
                  </w:pPr>
                </w:p>
              </w:tc>
              <w:tc>
                <w:tcPr>
                  <w:tcW w:w="721" w:type="pct"/>
                  <w:vMerge w:val="continue"/>
                  <w:vAlign w:val="center"/>
                </w:tcPr>
                <w:p w14:paraId="3E8E4320">
                  <w:pPr>
                    <w:jc w:val="center"/>
                    <w:rPr>
                      <w:color w:val="000000" w:themeColor="text1"/>
                      <w:szCs w:val="21"/>
                      <w14:textFill>
                        <w14:solidFill>
                          <w14:schemeClr w14:val="tx1"/>
                        </w14:solidFill>
                      </w14:textFill>
                    </w:rPr>
                  </w:pPr>
                </w:p>
              </w:tc>
              <w:tc>
                <w:tcPr>
                  <w:tcW w:w="855" w:type="pct"/>
                  <w:vMerge w:val="continue"/>
                  <w:vAlign w:val="center"/>
                </w:tcPr>
                <w:p w14:paraId="1B69B613">
                  <w:pPr>
                    <w:jc w:val="center"/>
                    <w:rPr>
                      <w:color w:val="000000" w:themeColor="text1"/>
                      <w:szCs w:val="21"/>
                      <w14:textFill>
                        <w14:solidFill>
                          <w14:schemeClr w14:val="tx1"/>
                        </w14:solidFill>
                      </w14:textFill>
                    </w:rPr>
                  </w:pPr>
                </w:p>
              </w:tc>
              <w:tc>
                <w:tcPr>
                  <w:tcW w:w="754" w:type="pct"/>
                  <w:shd w:val="clear" w:color="auto" w:fill="auto"/>
                  <w:vAlign w:val="center"/>
                </w:tcPr>
                <w:p w14:paraId="3E3067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52C710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3ECF30E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2E59D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A6EF54C">
                  <w:pPr>
                    <w:jc w:val="center"/>
                    <w:rPr>
                      <w:color w:val="000000" w:themeColor="text1"/>
                      <w:szCs w:val="21"/>
                      <w14:textFill>
                        <w14:solidFill>
                          <w14:schemeClr w14:val="tx1"/>
                        </w14:solidFill>
                      </w14:textFill>
                    </w:rPr>
                  </w:pPr>
                </w:p>
              </w:tc>
              <w:tc>
                <w:tcPr>
                  <w:tcW w:w="764" w:type="pct"/>
                  <w:vMerge w:val="continue"/>
                  <w:vAlign w:val="center"/>
                </w:tcPr>
                <w:p w14:paraId="62A7EA27">
                  <w:pPr>
                    <w:jc w:val="center"/>
                    <w:rPr>
                      <w:color w:val="000000" w:themeColor="text1"/>
                      <w:szCs w:val="21"/>
                      <w14:textFill>
                        <w14:solidFill>
                          <w14:schemeClr w14:val="tx1"/>
                        </w14:solidFill>
                      </w14:textFill>
                    </w:rPr>
                  </w:pPr>
                </w:p>
              </w:tc>
              <w:tc>
                <w:tcPr>
                  <w:tcW w:w="721" w:type="pct"/>
                  <w:vMerge w:val="restart"/>
                  <w:vAlign w:val="center"/>
                </w:tcPr>
                <w:p w14:paraId="5267104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外包</w:t>
                  </w:r>
                </w:p>
              </w:tc>
              <w:tc>
                <w:tcPr>
                  <w:tcW w:w="855" w:type="pct"/>
                  <w:vMerge w:val="restart"/>
                  <w:vAlign w:val="center"/>
                </w:tcPr>
                <w:p w14:paraId="3C951CB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连续封口机</w:t>
                  </w:r>
                </w:p>
              </w:tc>
              <w:tc>
                <w:tcPr>
                  <w:tcW w:w="754" w:type="pct"/>
                  <w:shd w:val="clear" w:color="auto" w:fill="auto"/>
                  <w:vAlign w:val="center"/>
                </w:tcPr>
                <w:p w14:paraId="53CDCB6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4D31383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4F147F8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67CA8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8215013">
                  <w:pPr>
                    <w:jc w:val="center"/>
                    <w:rPr>
                      <w:color w:val="000000" w:themeColor="text1"/>
                      <w:szCs w:val="21"/>
                      <w14:textFill>
                        <w14:solidFill>
                          <w14:schemeClr w14:val="tx1"/>
                        </w14:solidFill>
                      </w14:textFill>
                    </w:rPr>
                  </w:pPr>
                </w:p>
              </w:tc>
              <w:tc>
                <w:tcPr>
                  <w:tcW w:w="764" w:type="pct"/>
                  <w:vMerge w:val="continue"/>
                  <w:vAlign w:val="center"/>
                </w:tcPr>
                <w:p w14:paraId="5ECE03A5">
                  <w:pPr>
                    <w:jc w:val="center"/>
                    <w:rPr>
                      <w:color w:val="000000" w:themeColor="text1"/>
                      <w:szCs w:val="21"/>
                      <w14:textFill>
                        <w14:solidFill>
                          <w14:schemeClr w14:val="tx1"/>
                        </w14:solidFill>
                      </w14:textFill>
                    </w:rPr>
                  </w:pPr>
                </w:p>
              </w:tc>
              <w:tc>
                <w:tcPr>
                  <w:tcW w:w="721" w:type="pct"/>
                  <w:vMerge w:val="continue"/>
                  <w:vAlign w:val="center"/>
                </w:tcPr>
                <w:p w14:paraId="25290FE6">
                  <w:pPr>
                    <w:jc w:val="center"/>
                    <w:rPr>
                      <w:color w:val="000000" w:themeColor="text1"/>
                      <w:szCs w:val="21"/>
                      <w14:textFill>
                        <w14:solidFill>
                          <w14:schemeClr w14:val="tx1"/>
                        </w14:solidFill>
                      </w14:textFill>
                    </w:rPr>
                  </w:pPr>
                </w:p>
              </w:tc>
              <w:tc>
                <w:tcPr>
                  <w:tcW w:w="855" w:type="pct"/>
                  <w:vMerge w:val="continue"/>
                  <w:shd w:val="clear" w:color="auto" w:fill="auto"/>
                  <w:vAlign w:val="center"/>
                </w:tcPr>
                <w:p w14:paraId="58EA2301">
                  <w:pPr>
                    <w:widowControl/>
                    <w:jc w:val="center"/>
                    <w:textAlignment w:val="bottom"/>
                    <w:rPr>
                      <w:color w:val="000000" w:themeColor="text1"/>
                      <w:szCs w:val="21"/>
                      <w14:textFill>
                        <w14:solidFill>
                          <w14:schemeClr w14:val="tx1"/>
                        </w14:solidFill>
                      </w14:textFill>
                    </w:rPr>
                  </w:pPr>
                </w:p>
              </w:tc>
              <w:tc>
                <w:tcPr>
                  <w:tcW w:w="754" w:type="pct"/>
                  <w:shd w:val="clear" w:color="auto" w:fill="auto"/>
                  <w:vAlign w:val="center"/>
                </w:tcPr>
                <w:p w14:paraId="2956ACE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43B3C0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926" w:type="pct"/>
                  <w:shd w:val="clear" w:color="auto" w:fill="auto"/>
                  <w:vAlign w:val="center"/>
                </w:tcPr>
                <w:p w14:paraId="18FC817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37746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7E844AA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热敷理疗产品</w:t>
                  </w:r>
                  <w:r>
                    <w:rPr>
                      <w:rFonts w:hint="eastAsia"/>
                      <w:color w:val="000000" w:themeColor="text1"/>
                      <w:szCs w:val="21"/>
                      <w14:textFill>
                        <w14:solidFill>
                          <w14:schemeClr w14:val="tx1"/>
                        </w14:solidFill>
                      </w14:textFill>
                    </w:rPr>
                    <w:t>生产线</w:t>
                  </w:r>
                </w:p>
              </w:tc>
            </w:tr>
            <w:tr w14:paraId="71B3F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71E240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vAlign w:val="center"/>
                </w:tcPr>
                <w:p w14:paraId="33337CB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混合</w:t>
                  </w:r>
                </w:p>
              </w:tc>
              <w:tc>
                <w:tcPr>
                  <w:tcW w:w="721" w:type="pct"/>
                  <w:vMerge w:val="restart"/>
                  <w:vAlign w:val="center"/>
                </w:tcPr>
                <w:p w14:paraId="284C5E5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混合</w:t>
                  </w:r>
                </w:p>
              </w:tc>
              <w:tc>
                <w:tcPr>
                  <w:tcW w:w="855" w:type="pct"/>
                  <w:vMerge w:val="restart"/>
                  <w:shd w:val="clear" w:color="auto" w:fill="auto"/>
                  <w:vAlign w:val="center"/>
                </w:tcPr>
                <w:p w14:paraId="62D402B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混合搅拌机</w:t>
                  </w:r>
                </w:p>
              </w:tc>
              <w:tc>
                <w:tcPr>
                  <w:tcW w:w="754" w:type="pct"/>
                  <w:shd w:val="clear" w:color="auto" w:fill="auto"/>
                  <w:vAlign w:val="center"/>
                </w:tcPr>
                <w:p w14:paraId="46B8852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5A0DA4E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926" w:type="pct"/>
                  <w:shd w:val="clear" w:color="auto" w:fill="auto"/>
                  <w:vAlign w:val="center"/>
                </w:tcPr>
                <w:p w14:paraId="0C84B74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0E019C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98DF425">
                  <w:pPr>
                    <w:jc w:val="center"/>
                    <w:rPr>
                      <w:color w:val="000000" w:themeColor="text1"/>
                      <w:szCs w:val="21"/>
                      <w14:textFill>
                        <w14:solidFill>
                          <w14:schemeClr w14:val="tx1"/>
                        </w14:solidFill>
                      </w14:textFill>
                    </w:rPr>
                  </w:pPr>
                </w:p>
              </w:tc>
              <w:tc>
                <w:tcPr>
                  <w:tcW w:w="764" w:type="pct"/>
                  <w:vMerge w:val="continue"/>
                  <w:vAlign w:val="center"/>
                </w:tcPr>
                <w:p w14:paraId="7193E9FB">
                  <w:pPr>
                    <w:jc w:val="center"/>
                    <w:rPr>
                      <w:color w:val="000000" w:themeColor="text1"/>
                      <w:szCs w:val="21"/>
                      <w14:textFill>
                        <w14:solidFill>
                          <w14:schemeClr w14:val="tx1"/>
                        </w14:solidFill>
                      </w14:textFill>
                    </w:rPr>
                  </w:pPr>
                </w:p>
              </w:tc>
              <w:tc>
                <w:tcPr>
                  <w:tcW w:w="721" w:type="pct"/>
                  <w:vMerge w:val="continue"/>
                  <w:vAlign w:val="center"/>
                </w:tcPr>
                <w:p w14:paraId="370A669E">
                  <w:pPr>
                    <w:jc w:val="center"/>
                    <w:rPr>
                      <w:color w:val="000000" w:themeColor="text1"/>
                      <w:szCs w:val="21"/>
                      <w14:textFill>
                        <w14:solidFill>
                          <w14:schemeClr w14:val="tx1"/>
                        </w14:solidFill>
                      </w14:textFill>
                    </w:rPr>
                  </w:pPr>
                </w:p>
              </w:tc>
              <w:tc>
                <w:tcPr>
                  <w:tcW w:w="855" w:type="pct"/>
                  <w:vMerge w:val="continue"/>
                  <w:shd w:val="clear" w:color="auto" w:fill="auto"/>
                  <w:vAlign w:val="center"/>
                </w:tcPr>
                <w:p w14:paraId="7C85F599">
                  <w:pPr>
                    <w:jc w:val="center"/>
                    <w:rPr>
                      <w:color w:val="000000" w:themeColor="text1"/>
                      <w:szCs w:val="21"/>
                      <w14:textFill>
                        <w14:solidFill>
                          <w14:schemeClr w14:val="tx1"/>
                        </w14:solidFill>
                      </w14:textFill>
                    </w:rPr>
                  </w:pPr>
                </w:p>
              </w:tc>
              <w:tc>
                <w:tcPr>
                  <w:tcW w:w="754" w:type="pct"/>
                  <w:shd w:val="clear" w:color="auto" w:fill="auto"/>
                  <w:vAlign w:val="center"/>
                </w:tcPr>
                <w:p w14:paraId="0ABC30A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D5E2E9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2B275FB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73550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7DB7732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Merge w:val="restart"/>
                  <w:vAlign w:val="center"/>
                </w:tcPr>
                <w:p w14:paraId="5F2D1AB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w:t>
                  </w:r>
                </w:p>
              </w:tc>
              <w:tc>
                <w:tcPr>
                  <w:tcW w:w="721" w:type="pct"/>
                  <w:vMerge w:val="restart"/>
                  <w:shd w:val="clear" w:color="auto" w:fill="auto"/>
                  <w:vAlign w:val="center"/>
                </w:tcPr>
                <w:p w14:paraId="122249A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内包</w:t>
                  </w:r>
                </w:p>
              </w:tc>
              <w:tc>
                <w:tcPr>
                  <w:tcW w:w="855" w:type="pct"/>
                  <w:vMerge w:val="restart"/>
                  <w:shd w:val="clear" w:color="auto" w:fill="auto"/>
                  <w:vAlign w:val="center"/>
                </w:tcPr>
                <w:p w14:paraId="7136D08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内包机</w:t>
                  </w:r>
                </w:p>
              </w:tc>
              <w:tc>
                <w:tcPr>
                  <w:tcW w:w="754" w:type="pct"/>
                  <w:shd w:val="clear" w:color="auto" w:fill="auto"/>
                  <w:vAlign w:val="center"/>
                </w:tcPr>
                <w:p w14:paraId="11E7ABA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6834318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1A4A2DB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67B1C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3F0C7691">
                  <w:pPr>
                    <w:jc w:val="center"/>
                    <w:rPr>
                      <w:color w:val="000000" w:themeColor="text1"/>
                      <w:szCs w:val="21"/>
                      <w14:textFill>
                        <w14:solidFill>
                          <w14:schemeClr w14:val="tx1"/>
                        </w14:solidFill>
                      </w14:textFill>
                    </w:rPr>
                  </w:pPr>
                </w:p>
              </w:tc>
              <w:tc>
                <w:tcPr>
                  <w:tcW w:w="764" w:type="pct"/>
                  <w:vMerge w:val="continue"/>
                  <w:vAlign w:val="center"/>
                </w:tcPr>
                <w:p w14:paraId="04336E30">
                  <w:pPr>
                    <w:jc w:val="center"/>
                    <w:rPr>
                      <w:color w:val="000000" w:themeColor="text1"/>
                      <w:szCs w:val="21"/>
                      <w14:textFill>
                        <w14:solidFill>
                          <w14:schemeClr w14:val="tx1"/>
                        </w14:solidFill>
                      </w14:textFill>
                    </w:rPr>
                  </w:pPr>
                </w:p>
              </w:tc>
              <w:tc>
                <w:tcPr>
                  <w:tcW w:w="721" w:type="pct"/>
                  <w:vMerge w:val="continue"/>
                  <w:vAlign w:val="center"/>
                </w:tcPr>
                <w:p w14:paraId="1718661A">
                  <w:pPr>
                    <w:jc w:val="center"/>
                    <w:rPr>
                      <w:color w:val="000000" w:themeColor="text1"/>
                      <w:szCs w:val="21"/>
                      <w14:textFill>
                        <w14:solidFill>
                          <w14:schemeClr w14:val="tx1"/>
                        </w14:solidFill>
                      </w14:textFill>
                    </w:rPr>
                  </w:pPr>
                </w:p>
              </w:tc>
              <w:tc>
                <w:tcPr>
                  <w:tcW w:w="855" w:type="pct"/>
                  <w:vMerge w:val="continue"/>
                  <w:vAlign w:val="center"/>
                </w:tcPr>
                <w:p w14:paraId="23679327">
                  <w:pPr>
                    <w:jc w:val="center"/>
                    <w:rPr>
                      <w:color w:val="000000" w:themeColor="text1"/>
                      <w:szCs w:val="21"/>
                      <w14:textFill>
                        <w14:solidFill>
                          <w14:schemeClr w14:val="tx1"/>
                        </w14:solidFill>
                      </w14:textFill>
                    </w:rPr>
                  </w:pPr>
                </w:p>
              </w:tc>
              <w:tc>
                <w:tcPr>
                  <w:tcW w:w="754" w:type="pct"/>
                  <w:shd w:val="clear" w:color="auto" w:fill="auto"/>
                  <w:vAlign w:val="center"/>
                </w:tcPr>
                <w:p w14:paraId="7E3007D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996059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3DB4E5C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3F3D3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1E8C3FC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64" w:type="pct"/>
                  <w:vMerge w:val="restart"/>
                  <w:vAlign w:val="center"/>
                </w:tcPr>
                <w:p w14:paraId="23F8A7D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超声波点焊</w:t>
                  </w:r>
                </w:p>
              </w:tc>
              <w:tc>
                <w:tcPr>
                  <w:tcW w:w="721" w:type="pct"/>
                  <w:vMerge w:val="restart"/>
                  <w:vAlign w:val="center"/>
                </w:tcPr>
                <w:p w14:paraId="1CFBD31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超声波点焊</w:t>
                  </w:r>
                </w:p>
              </w:tc>
              <w:tc>
                <w:tcPr>
                  <w:tcW w:w="855" w:type="pct"/>
                  <w:vMerge w:val="restart"/>
                  <w:vAlign w:val="center"/>
                </w:tcPr>
                <w:p w14:paraId="3C58661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超声波点焊机</w:t>
                  </w:r>
                </w:p>
              </w:tc>
              <w:tc>
                <w:tcPr>
                  <w:tcW w:w="754" w:type="pct"/>
                  <w:shd w:val="clear" w:color="auto" w:fill="auto"/>
                  <w:vAlign w:val="center"/>
                </w:tcPr>
                <w:p w14:paraId="1868D66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0BF77F3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57951F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12A49A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0603BEB">
                  <w:pPr>
                    <w:jc w:val="center"/>
                    <w:rPr>
                      <w:color w:val="000000" w:themeColor="text1"/>
                      <w:szCs w:val="21"/>
                      <w14:textFill>
                        <w14:solidFill>
                          <w14:schemeClr w14:val="tx1"/>
                        </w14:solidFill>
                      </w14:textFill>
                    </w:rPr>
                  </w:pPr>
                </w:p>
              </w:tc>
              <w:tc>
                <w:tcPr>
                  <w:tcW w:w="764" w:type="pct"/>
                  <w:vMerge w:val="continue"/>
                  <w:vAlign w:val="center"/>
                </w:tcPr>
                <w:p w14:paraId="0DEFC45E">
                  <w:pPr>
                    <w:jc w:val="center"/>
                    <w:rPr>
                      <w:color w:val="000000" w:themeColor="text1"/>
                      <w:szCs w:val="21"/>
                      <w14:textFill>
                        <w14:solidFill>
                          <w14:schemeClr w14:val="tx1"/>
                        </w14:solidFill>
                      </w14:textFill>
                    </w:rPr>
                  </w:pPr>
                </w:p>
              </w:tc>
              <w:tc>
                <w:tcPr>
                  <w:tcW w:w="721" w:type="pct"/>
                  <w:vMerge w:val="continue"/>
                  <w:vAlign w:val="center"/>
                </w:tcPr>
                <w:p w14:paraId="546B9B2A">
                  <w:pPr>
                    <w:jc w:val="center"/>
                    <w:rPr>
                      <w:color w:val="000000" w:themeColor="text1"/>
                      <w:szCs w:val="21"/>
                      <w14:textFill>
                        <w14:solidFill>
                          <w14:schemeClr w14:val="tx1"/>
                        </w14:solidFill>
                      </w14:textFill>
                    </w:rPr>
                  </w:pPr>
                </w:p>
              </w:tc>
              <w:tc>
                <w:tcPr>
                  <w:tcW w:w="855" w:type="pct"/>
                  <w:vMerge w:val="continue"/>
                  <w:vAlign w:val="center"/>
                </w:tcPr>
                <w:p w14:paraId="169902CF">
                  <w:pPr>
                    <w:jc w:val="center"/>
                    <w:rPr>
                      <w:color w:val="000000" w:themeColor="text1"/>
                      <w:szCs w:val="21"/>
                      <w14:textFill>
                        <w14:solidFill>
                          <w14:schemeClr w14:val="tx1"/>
                        </w14:solidFill>
                      </w14:textFill>
                    </w:rPr>
                  </w:pPr>
                </w:p>
              </w:tc>
              <w:tc>
                <w:tcPr>
                  <w:tcW w:w="754" w:type="pct"/>
                  <w:shd w:val="clear" w:color="auto" w:fill="auto"/>
                  <w:vAlign w:val="center"/>
                </w:tcPr>
                <w:p w14:paraId="65BBCCC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17E66BD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0FBF22B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1159F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26829E5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764" w:type="pct"/>
                  <w:vMerge w:val="restart"/>
                  <w:vAlign w:val="center"/>
                </w:tcPr>
                <w:p w14:paraId="008FB76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包装</w:t>
                  </w:r>
                </w:p>
              </w:tc>
              <w:tc>
                <w:tcPr>
                  <w:tcW w:w="721" w:type="pct"/>
                  <w:vMerge w:val="restart"/>
                  <w:vAlign w:val="center"/>
                </w:tcPr>
                <w:p w14:paraId="7AEE528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外包</w:t>
                  </w:r>
                </w:p>
              </w:tc>
              <w:tc>
                <w:tcPr>
                  <w:tcW w:w="855" w:type="pct"/>
                  <w:vMerge w:val="restart"/>
                  <w:vAlign w:val="center"/>
                </w:tcPr>
                <w:p w14:paraId="569CEC2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连续封口机</w:t>
                  </w:r>
                </w:p>
              </w:tc>
              <w:tc>
                <w:tcPr>
                  <w:tcW w:w="754" w:type="pct"/>
                  <w:shd w:val="clear" w:color="auto" w:fill="auto"/>
                  <w:vAlign w:val="center"/>
                </w:tcPr>
                <w:p w14:paraId="635555D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3FA0BD9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6EE1491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1504A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44617AD">
                  <w:pPr>
                    <w:jc w:val="center"/>
                    <w:rPr>
                      <w:color w:val="000000" w:themeColor="text1"/>
                      <w:szCs w:val="21"/>
                      <w14:textFill>
                        <w14:solidFill>
                          <w14:schemeClr w14:val="tx1"/>
                        </w14:solidFill>
                      </w14:textFill>
                    </w:rPr>
                  </w:pPr>
                </w:p>
              </w:tc>
              <w:tc>
                <w:tcPr>
                  <w:tcW w:w="764" w:type="pct"/>
                  <w:vMerge w:val="continue"/>
                  <w:vAlign w:val="center"/>
                </w:tcPr>
                <w:p w14:paraId="1D4B23B4">
                  <w:pPr>
                    <w:jc w:val="center"/>
                    <w:rPr>
                      <w:color w:val="000000" w:themeColor="text1"/>
                      <w:szCs w:val="21"/>
                      <w14:textFill>
                        <w14:solidFill>
                          <w14:schemeClr w14:val="tx1"/>
                        </w14:solidFill>
                      </w14:textFill>
                    </w:rPr>
                  </w:pPr>
                </w:p>
              </w:tc>
              <w:tc>
                <w:tcPr>
                  <w:tcW w:w="721" w:type="pct"/>
                  <w:vMerge w:val="continue"/>
                  <w:vAlign w:val="center"/>
                </w:tcPr>
                <w:p w14:paraId="319E427B">
                  <w:pPr>
                    <w:jc w:val="center"/>
                    <w:rPr>
                      <w:color w:val="000000" w:themeColor="text1"/>
                      <w:szCs w:val="21"/>
                      <w14:textFill>
                        <w14:solidFill>
                          <w14:schemeClr w14:val="tx1"/>
                        </w14:solidFill>
                      </w14:textFill>
                    </w:rPr>
                  </w:pPr>
                </w:p>
              </w:tc>
              <w:tc>
                <w:tcPr>
                  <w:tcW w:w="855" w:type="pct"/>
                  <w:vMerge w:val="continue"/>
                  <w:vAlign w:val="center"/>
                </w:tcPr>
                <w:p w14:paraId="5A484EF0">
                  <w:pPr>
                    <w:jc w:val="center"/>
                    <w:rPr>
                      <w:color w:val="000000" w:themeColor="text1"/>
                      <w:szCs w:val="21"/>
                      <w14:textFill>
                        <w14:solidFill>
                          <w14:schemeClr w14:val="tx1"/>
                        </w14:solidFill>
                      </w14:textFill>
                    </w:rPr>
                  </w:pPr>
                </w:p>
              </w:tc>
              <w:tc>
                <w:tcPr>
                  <w:tcW w:w="754" w:type="pct"/>
                  <w:shd w:val="clear" w:color="auto" w:fill="auto"/>
                  <w:vAlign w:val="center"/>
                </w:tcPr>
                <w:p w14:paraId="517FA1F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39D7D07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926" w:type="pct"/>
                  <w:shd w:val="clear" w:color="auto" w:fill="auto"/>
                  <w:vAlign w:val="center"/>
                </w:tcPr>
                <w:p w14:paraId="433D5D8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5527CA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47228CD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治疗凝胶</w:t>
                  </w:r>
                  <w:r>
                    <w:rPr>
                      <w:rFonts w:hint="eastAsia"/>
                      <w:color w:val="000000" w:themeColor="text1"/>
                      <w:szCs w:val="21"/>
                      <w14:textFill>
                        <w14:solidFill>
                          <w14:schemeClr w14:val="tx1"/>
                        </w14:solidFill>
                      </w14:textFill>
                    </w:rPr>
                    <w:t>生产线</w:t>
                  </w:r>
                </w:p>
              </w:tc>
            </w:tr>
            <w:tr w14:paraId="0D000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1FF16DC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vAlign w:val="center"/>
                </w:tcPr>
                <w:p w14:paraId="41F5794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调配</w:t>
                  </w:r>
                </w:p>
              </w:tc>
              <w:tc>
                <w:tcPr>
                  <w:tcW w:w="721" w:type="pct"/>
                  <w:vMerge w:val="restart"/>
                  <w:vAlign w:val="center"/>
                </w:tcPr>
                <w:p w14:paraId="0EE08F8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调配</w:t>
                  </w:r>
                </w:p>
              </w:tc>
              <w:tc>
                <w:tcPr>
                  <w:tcW w:w="855" w:type="pct"/>
                  <w:vMerge w:val="restart"/>
                  <w:vAlign w:val="center"/>
                </w:tcPr>
                <w:p w14:paraId="5045259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不锈钢桶</w:t>
                  </w:r>
                </w:p>
              </w:tc>
              <w:tc>
                <w:tcPr>
                  <w:tcW w:w="754" w:type="pct"/>
                  <w:shd w:val="clear" w:color="auto" w:fill="auto"/>
                  <w:vAlign w:val="center"/>
                </w:tcPr>
                <w:p w14:paraId="3D1665D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容积</w:t>
                  </w:r>
                </w:p>
              </w:tc>
              <w:tc>
                <w:tcPr>
                  <w:tcW w:w="635" w:type="pct"/>
                  <w:shd w:val="clear" w:color="auto" w:fill="auto"/>
                  <w:vAlign w:val="center"/>
                </w:tcPr>
                <w:p w14:paraId="68FA8EE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926" w:type="pct"/>
                  <w:shd w:val="clear" w:color="auto" w:fill="auto"/>
                  <w:vAlign w:val="center"/>
                </w:tcPr>
                <w:p w14:paraId="0DD5AED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/个</w:t>
                  </w:r>
                </w:p>
              </w:tc>
            </w:tr>
            <w:tr w14:paraId="64D20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57499FF">
                  <w:pPr>
                    <w:jc w:val="center"/>
                    <w:rPr>
                      <w:color w:val="000000" w:themeColor="text1"/>
                      <w:szCs w:val="21"/>
                      <w14:textFill>
                        <w14:solidFill>
                          <w14:schemeClr w14:val="tx1"/>
                        </w14:solidFill>
                      </w14:textFill>
                    </w:rPr>
                  </w:pPr>
                </w:p>
              </w:tc>
              <w:tc>
                <w:tcPr>
                  <w:tcW w:w="764" w:type="pct"/>
                  <w:vMerge w:val="continue"/>
                  <w:vAlign w:val="center"/>
                </w:tcPr>
                <w:p w14:paraId="0F4C3F60">
                  <w:pPr>
                    <w:jc w:val="center"/>
                    <w:rPr>
                      <w:color w:val="000000" w:themeColor="text1"/>
                      <w:szCs w:val="21"/>
                      <w14:textFill>
                        <w14:solidFill>
                          <w14:schemeClr w14:val="tx1"/>
                        </w14:solidFill>
                      </w14:textFill>
                    </w:rPr>
                  </w:pPr>
                </w:p>
              </w:tc>
              <w:tc>
                <w:tcPr>
                  <w:tcW w:w="721" w:type="pct"/>
                  <w:vMerge w:val="continue"/>
                  <w:vAlign w:val="center"/>
                </w:tcPr>
                <w:p w14:paraId="5173283F">
                  <w:pPr>
                    <w:jc w:val="center"/>
                    <w:rPr>
                      <w:color w:val="000000" w:themeColor="text1"/>
                      <w:szCs w:val="21"/>
                      <w14:textFill>
                        <w14:solidFill>
                          <w14:schemeClr w14:val="tx1"/>
                        </w14:solidFill>
                      </w14:textFill>
                    </w:rPr>
                  </w:pPr>
                </w:p>
              </w:tc>
              <w:tc>
                <w:tcPr>
                  <w:tcW w:w="855" w:type="pct"/>
                  <w:vMerge w:val="continue"/>
                  <w:vAlign w:val="center"/>
                </w:tcPr>
                <w:p w14:paraId="023FFC4B">
                  <w:pPr>
                    <w:jc w:val="center"/>
                    <w:rPr>
                      <w:color w:val="000000" w:themeColor="text1"/>
                      <w:szCs w:val="21"/>
                      <w14:textFill>
                        <w14:solidFill>
                          <w14:schemeClr w14:val="tx1"/>
                        </w14:solidFill>
                      </w14:textFill>
                    </w:rPr>
                  </w:pPr>
                </w:p>
              </w:tc>
              <w:tc>
                <w:tcPr>
                  <w:tcW w:w="754" w:type="pct"/>
                  <w:shd w:val="clear" w:color="auto" w:fill="auto"/>
                  <w:vAlign w:val="center"/>
                </w:tcPr>
                <w:p w14:paraId="5167A1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80E393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397798B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个</w:t>
                  </w:r>
                </w:p>
              </w:tc>
            </w:tr>
            <w:tr w14:paraId="47AE9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07A54A8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Merge w:val="restart"/>
                  <w:shd w:val="clear" w:color="auto" w:fill="auto"/>
                  <w:vAlign w:val="center"/>
                </w:tcPr>
                <w:p w14:paraId="6433A52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乳化</w:t>
                  </w:r>
                </w:p>
              </w:tc>
              <w:tc>
                <w:tcPr>
                  <w:tcW w:w="721" w:type="pct"/>
                  <w:vMerge w:val="restart"/>
                  <w:shd w:val="clear" w:color="auto" w:fill="auto"/>
                  <w:vAlign w:val="center"/>
                </w:tcPr>
                <w:p w14:paraId="1BD3BBD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乳化</w:t>
                  </w:r>
                </w:p>
              </w:tc>
              <w:tc>
                <w:tcPr>
                  <w:tcW w:w="855" w:type="pct"/>
                  <w:vMerge w:val="restart"/>
                  <w:shd w:val="clear" w:color="auto" w:fill="auto"/>
                  <w:vAlign w:val="center"/>
                </w:tcPr>
                <w:p w14:paraId="1C3050E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乳化机组</w:t>
                  </w:r>
                </w:p>
                <w:p w14:paraId="72911E2C">
                  <w:pPr>
                    <w:jc w:val="center"/>
                    <w:rPr>
                      <w:color w:val="000000" w:themeColor="text1"/>
                      <w:szCs w:val="21"/>
                      <w14:textFill>
                        <w14:solidFill>
                          <w14:schemeClr w14:val="tx1"/>
                        </w14:solidFill>
                      </w14:textFill>
                    </w:rPr>
                  </w:pPr>
                </w:p>
              </w:tc>
              <w:tc>
                <w:tcPr>
                  <w:tcW w:w="754" w:type="pct"/>
                  <w:shd w:val="clear" w:color="auto" w:fill="auto"/>
                  <w:vAlign w:val="center"/>
                </w:tcPr>
                <w:p w14:paraId="082E35D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2BF7AEE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78F86A8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3797E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5F21359">
                  <w:pPr>
                    <w:jc w:val="center"/>
                    <w:rPr>
                      <w:color w:val="000000" w:themeColor="text1"/>
                      <w:szCs w:val="21"/>
                      <w14:textFill>
                        <w14:solidFill>
                          <w14:schemeClr w14:val="tx1"/>
                        </w14:solidFill>
                      </w14:textFill>
                    </w:rPr>
                  </w:pPr>
                </w:p>
              </w:tc>
              <w:tc>
                <w:tcPr>
                  <w:tcW w:w="764" w:type="pct"/>
                  <w:vMerge w:val="continue"/>
                  <w:vAlign w:val="center"/>
                </w:tcPr>
                <w:p w14:paraId="771AC316">
                  <w:pPr>
                    <w:jc w:val="center"/>
                    <w:rPr>
                      <w:color w:val="000000" w:themeColor="text1"/>
                      <w:szCs w:val="21"/>
                      <w14:textFill>
                        <w14:solidFill>
                          <w14:schemeClr w14:val="tx1"/>
                        </w14:solidFill>
                      </w14:textFill>
                    </w:rPr>
                  </w:pPr>
                </w:p>
              </w:tc>
              <w:tc>
                <w:tcPr>
                  <w:tcW w:w="721" w:type="pct"/>
                  <w:vMerge w:val="continue"/>
                  <w:vAlign w:val="center"/>
                </w:tcPr>
                <w:p w14:paraId="238D070B">
                  <w:pPr>
                    <w:jc w:val="center"/>
                    <w:rPr>
                      <w:color w:val="000000" w:themeColor="text1"/>
                      <w:szCs w:val="21"/>
                      <w14:textFill>
                        <w14:solidFill>
                          <w14:schemeClr w14:val="tx1"/>
                        </w14:solidFill>
                      </w14:textFill>
                    </w:rPr>
                  </w:pPr>
                </w:p>
              </w:tc>
              <w:tc>
                <w:tcPr>
                  <w:tcW w:w="855" w:type="pct"/>
                  <w:vMerge w:val="continue"/>
                  <w:vAlign w:val="center"/>
                </w:tcPr>
                <w:p w14:paraId="352E17CC">
                  <w:pPr>
                    <w:jc w:val="center"/>
                    <w:rPr>
                      <w:color w:val="000000" w:themeColor="text1"/>
                      <w:szCs w:val="21"/>
                      <w14:textFill>
                        <w14:solidFill>
                          <w14:schemeClr w14:val="tx1"/>
                        </w14:solidFill>
                      </w14:textFill>
                    </w:rPr>
                  </w:pPr>
                </w:p>
              </w:tc>
              <w:tc>
                <w:tcPr>
                  <w:tcW w:w="754" w:type="pct"/>
                  <w:shd w:val="clear" w:color="auto" w:fill="auto"/>
                  <w:vAlign w:val="center"/>
                </w:tcPr>
                <w:p w14:paraId="1BD353B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71A22D5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7E371F9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78C60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7F2293F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764" w:type="pct"/>
                  <w:vMerge w:val="restart"/>
                  <w:vAlign w:val="center"/>
                </w:tcPr>
                <w:p w14:paraId="653B3F7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w:t>
                  </w:r>
                </w:p>
              </w:tc>
              <w:tc>
                <w:tcPr>
                  <w:tcW w:w="721" w:type="pct"/>
                  <w:vMerge w:val="restart"/>
                  <w:vAlign w:val="center"/>
                </w:tcPr>
                <w:p w14:paraId="41295FE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w:t>
                  </w:r>
                </w:p>
              </w:tc>
              <w:tc>
                <w:tcPr>
                  <w:tcW w:w="855" w:type="pct"/>
                  <w:vMerge w:val="restart"/>
                  <w:vAlign w:val="center"/>
                </w:tcPr>
                <w:p w14:paraId="4506051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灌装机</w:t>
                  </w:r>
                </w:p>
              </w:tc>
              <w:tc>
                <w:tcPr>
                  <w:tcW w:w="754" w:type="pct"/>
                  <w:shd w:val="clear" w:color="auto" w:fill="auto"/>
                  <w:vAlign w:val="center"/>
                </w:tcPr>
                <w:p w14:paraId="0E3C041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285469A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926" w:type="pct"/>
                  <w:shd w:val="clear" w:color="auto" w:fill="auto"/>
                  <w:vAlign w:val="center"/>
                </w:tcPr>
                <w:p w14:paraId="2E26A4A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0EF59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293BBF9D">
                  <w:pPr>
                    <w:jc w:val="center"/>
                    <w:rPr>
                      <w:color w:val="000000" w:themeColor="text1"/>
                      <w:szCs w:val="21"/>
                      <w14:textFill>
                        <w14:solidFill>
                          <w14:schemeClr w14:val="tx1"/>
                        </w14:solidFill>
                      </w14:textFill>
                    </w:rPr>
                  </w:pPr>
                </w:p>
              </w:tc>
              <w:tc>
                <w:tcPr>
                  <w:tcW w:w="764" w:type="pct"/>
                  <w:vMerge w:val="continue"/>
                  <w:vAlign w:val="center"/>
                </w:tcPr>
                <w:p w14:paraId="3139FA04">
                  <w:pPr>
                    <w:jc w:val="center"/>
                    <w:rPr>
                      <w:color w:val="000000" w:themeColor="text1"/>
                      <w:szCs w:val="21"/>
                      <w14:textFill>
                        <w14:solidFill>
                          <w14:schemeClr w14:val="tx1"/>
                        </w14:solidFill>
                      </w14:textFill>
                    </w:rPr>
                  </w:pPr>
                </w:p>
              </w:tc>
              <w:tc>
                <w:tcPr>
                  <w:tcW w:w="721" w:type="pct"/>
                  <w:vMerge w:val="continue"/>
                  <w:vAlign w:val="center"/>
                </w:tcPr>
                <w:p w14:paraId="30DCA9DC">
                  <w:pPr>
                    <w:jc w:val="center"/>
                    <w:rPr>
                      <w:color w:val="000000" w:themeColor="text1"/>
                      <w:szCs w:val="21"/>
                      <w14:textFill>
                        <w14:solidFill>
                          <w14:schemeClr w14:val="tx1"/>
                        </w14:solidFill>
                      </w14:textFill>
                    </w:rPr>
                  </w:pPr>
                </w:p>
              </w:tc>
              <w:tc>
                <w:tcPr>
                  <w:tcW w:w="855" w:type="pct"/>
                  <w:vMerge w:val="continue"/>
                  <w:vAlign w:val="center"/>
                </w:tcPr>
                <w:p w14:paraId="5960DD25">
                  <w:pPr>
                    <w:jc w:val="center"/>
                    <w:rPr>
                      <w:color w:val="000000" w:themeColor="text1"/>
                      <w:szCs w:val="21"/>
                      <w14:textFill>
                        <w14:solidFill>
                          <w14:schemeClr w14:val="tx1"/>
                        </w14:solidFill>
                      </w14:textFill>
                    </w:rPr>
                  </w:pPr>
                </w:p>
              </w:tc>
              <w:tc>
                <w:tcPr>
                  <w:tcW w:w="754" w:type="pct"/>
                  <w:shd w:val="clear" w:color="auto" w:fill="auto"/>
                  <w:vAlign w:val="center"/>
                </w:tcPr>
                <w:p w14:paraId="25B4872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3B39A4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0A2B928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5E0A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454BC39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黄酒车间公用设备</w:t>
                  </w:r>
                </w:p>
              </w:tc>
            </w:tr>
            <w:tr w14:paraId="17B25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4CDEFDA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vAlign w:val="center"/>
                </w:tcPr>
                <w:p w14:paraId="64E09DF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w:t>
                  </w:r>
                </w:p>
              </w:tc>
              <w:tc>
                <w:tcPr>
                  <w:tcW w:w="721" w:type="pct"/>
                  <w:vMerge w:val="restart"/>
                  <w:vAlign w:val="center"/>
                </w:tcPr>
                <w:p w14:paraId="73EEC46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w:t>
                  </w:r>
                </w:p>
              </w:tc>
              <w:tc>
                <w:tcPr>
                  <w:tcW w:w="855" w:type="pct"/>
                  <w:vMerge w:val="restart"/>
                  <w:vAlign w:val="center"/>
                </w:tcPr>
                <w:p w14:paraId="4F5DCD2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纯水制备系统</w:t>
                  </w:r>
                  <w:r>
                    <w:rPr>
                      <w:rStyle w:val="30"/>
                      <w:rFonts w:hint="eastAsia"/>
                      <w:color w:val="000000" w:themeColor="text1"/>
                      <w14:textFill>
                        <w14:solidFill>
                          <w14:schemeClr w14:val="tx1"/>
                        </w14:solidFill>
                      </w14:textFill>
                    </w:rPr>
                    <w:t>（RO二级反渗透）</w:t>
                  </w:r>
                </w:p>
              </w:tc>
              <w:tc>
                <w:tcPr>
                  <w:tcW w:w="754" w:type="pct"/>
                  <w:shd w:val="clear" w:color="auto" w:fill="auto"/>
                  <w:vAlign w:val="center"/>
                </w:tcPr>
                <w:p w14:paraId="0AA4AA6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193E044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5E7CAFF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4CB5B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7762CEC">
                  <w:pPr>
                    <w:jc w:val="center"/>
                    <w:rPr>
                      <w:color w:val="000000" w:themeColor="text1"/>
                      <w:szCs w:val="21"/>
                      <w14:textFill>
                        <w14:solidFill>
                          <w14:schemeClr w14:val="tx1"/>
                        </w14:solidFill>
                      </w14:textFill>
                    </w:rPr>
                  </w:pPr>
                </w:p>
              </w:tc>
              <w:tc>
                <w:tcPr>
                  <w:tcW w:w="764" w:type="pct"/>
                  <w:vMerge w:val="continue"/>
                  <w:vAlign w:val="center"/>
                </w:tcPr>
                <w:p w14:paraId="546531C3">
                  <w:pPr>
                    <w:jc w:val="center"/>
                    <w:rPr>
                      <w:color w:val="000000" w:themeColor="text1"/>
                      <w:szCs w:val="21"/>
                      <w14:textFill>
                        <w14:solidFill>
                          <w14:schemeClr w14:val="tx1"/>
                        </w14:solidFill>
                      </w14:textFill>
                    </w:rPr>
                  </w:pPr>
                </w:p>
              </w:tc>
              <w:tc>
                <w:tcPr>
                  <w:tcW w:w="721" w:type="pct"/>
                  <w:vMerge w:val="continue"/>
                  <w:vAlign w:val="center"/>
                </w:tcPr>
                <w:p w14:paraId="550577C3">
                  <w:pPr>
                    <w:jc w:val="center"/>
                    <w:rPr>
                      <w:color w:val="000000" w:themeColor="text1"/>
                      <w:szCs w:val="21"/>
                      <w14:textFill>
                        <w14:solidFill>
                          <w14:schemeClr w14:val="tx1"/>
                        </w14:solidFill>
                      </w14:textFill>
                    </w:rPr>
                  </w:pPr>
                </w:p>
              </w:tc>
              <w:tc>
                <w:tcPr>
                  <w:tcW w:w="855" w:type="pct"/>
                  <w:vMerge w:val="continue"/>
                  <w:vAlign w:val="center"/>
                </w:tcPr>
                <w:p w14:paraId="192C60FE">
                  <w:pPr>
                    <w:jc w:val="center"/>
                    <w:rPr>
                      <w:color w:val="000000" w:themeColor="text1"/>
                      <w:szCs w:val="21"/>
                      <w14:textFill>
                        <w14:solidFill>
                          <w14:schemeClr w14:val="tx1"/>
                        </w14:solidFill>
                      </w14:textFill>
                    </w:rPr>
                  </w:pPr>
                </w:p>
              </w:tc>
              <w:tc>
                <w:tcPr>
                  <w:tcW w:w="754" w:type="pct"/>
                  <w:shd w:val="clear" w:color="auto" w:fill="auto"/>
                  <w:vAlign w:val="center"/>
                </w:tcPr>
                <w:p w14:paraId="16513EA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40E8983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1C2DB8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2CCE5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72C8088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Merge w:val="restart"/>
                  <w:vAlign w:val="center"/>
                </w:tcPr>
                <w:p w14:paraId="1117F3B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721" w:type="pct"/>
                  <w:vMerge w:val="restart"/>
                  <w:vAlign w:val="center"/>
                </w:tcPr>
                <w:p w14:paraId="2169217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855" w:type="pct"/>
                  <w:vMerge w:val="restart"/>
                  <w:vAlign w:val="center"/>
                </w:tcPr>
                <w:p w14:paraId="6B10BFD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蒸汽发生器</w:t>
                  </w:r>
                </w:p>
              </w:tc>
              <w:tc>
                <w:tcPr>
                  <w:tcW w:w="754" w:type="pct"/>
                  <w:shd w:val="clear" w:color="auto" w:fill="auto"/>
                  <w:vAlign w:val="center"/>
                </w:tcPr>
                <w:p w14:paraId="295097E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7472114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926" w:type="pct"/>
                  <w:shd w:val="clear" w:color="auto" w:fill="auto"/>
                  <w:vAlign w:val="center"/>
                </w:tcPr>
                <w:p w14:paraId="09272B8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7CC36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4CAA30A2">
                  <w:pPr>
                    <w:jc w:val="center"/>
                    <w:rPr>
                      <w:color w:val="000000" w:themeColor="text1"/>
                      <w:szCs w:val="21"/>
                      <w14:textFill>
                        <w14:solidFill>
                          <w14:schemeClr w14:val="tx1"/>
                        </w14:solidFill>
                      </w14:textFill>
                    </w:rPr>
                  </w:pPr>
                </w:p>
              </w:tc>
              <w:tc>
                <w:tcPr>
                  <w:tcW w:w="764" w:type="pct"/>
                  <w:vMerge w:val="continue"/>
                  <w:vAlign w:val="center"/>
                </w:tcPr>
                <w:p w14:paraId="1331D02D">
                  <w:pPr>
                    <w:jc w:val="center"/>
                    <w:rPr>
                      <w:color w:val="000000" w:themeColor="text1"/>
                      <w:szCs w:val="21"/>
                      <w14:textFill>
                        <w14:solidFill>
                          <w14:schemeClr w14:val="tx1"/>
                        </w14:solidFill>
                      </w14:textFill>
                    </w:rPr>
                  </w:pPr>
                </w:p>
              </w:tc>
              <w:tc>
                <w:tcPr>
                  <w:tcW w:w="721" w:type="pct"/>
                  <w:vMerge w:val="continue"/>
                  <w:vAlign w:val="center"/>
                </w:tcPr>
                <w:p w14:paraId="1A99EC96">
                  <w:pPr>
                    <w:jc w:val="center"/>
                    <w:rPr>
                      <w:color w:val="000000" w:themeColor="text1"/>
                      <w:szCs w:val="21"/>
                      <w14:textFill>
                        <w14:solidFill>
                          <w14:schemeClr w14:val="tx1"/>
                        </w14:solidFill>
                      </w14:textFill>
                    </w:rPr>
                  </w:pPr>
                </w:p>
              </w:tc>
              <w:tc>
                <w:tcPr>
                  <w:tcW w:w="855" w:type="pct"/>
                  <w:vMerge w:val="continue"/>
                  <w:vAlign w:val="center"/>
                </w:tcPr>
                <w:p w14:paraId="6567C9B7">
                  <w:pPr>
                    <w:jc w:val="center"/>
                    <w:rPr>
                      <w:color w:val="000000" w:themeColor="text1"/>
                      <w:szCs w:val="21"/>
                      <w14:textFill>
                        <w14:solidFill>
                          <w14:schemeClr w14:val="tx1"/>
                        </w14:solidFill>
                      </w14:textFill>
                    </w:rPr>
                  </w:pPr>
                </w:p>
              </w:tc>
              <w:tc>
                <w:tcPr>
                  <w:tcW w:w="754" w:type="pct"/>
                  <w:shd w:val="clear" w:color="auto" w:fill="auto"/>
                  <w:vAlign w:val="center"/>
                </w:tcPr>
                <w:p w14:paraId="005AEF1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0A63838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313975F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55DF6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3A8DF8A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综合车间公用设备</w:t>
                  </w:r>
                </w:p>
              </w:tc>
            </w:tr>
            <w:tr w14:paraId="6D413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2C4AA1D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shd w:val="clear" w:color="auto" w:fill="auto"/>
                  <w:vAlign w:val="center"/>
                </w:tcPr>
                <w:p w14:paraId="3ABDE4B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w:t>
                  </w:r>
                </w:p>
              </w:tc>
              <w:tc>
                <w:tcPr>
                  <w:tcW w:w="721" w:type="pct"/>
                  <w:vMerge w:val="restart"/>
                  <w:shd w:val="clear" w:color="auto" w:fill="auto"/>
                  <w:vAlign w:val="center"/>
                </w:tcPr>
                <w:p w14:paraId="223FD8D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w:t>
                  </w:r>
                </w:p>
              </w:tc>
              <w:tc>
                <w:tcPr>
                  <w:tcW w:w="855" w:type="pct"/>
                  <w:vMerge w:val="restart"/>
                  <w:shd w:val="clear" w:color="auto" w:fill="auto"/>
                  <w:vAlign w:val="center"/>
                </w:tcPr>
                <w:p w14:paraId="21D9B00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纯水制备系统</w:t>
                  </w:r>
                  <w:r>
                    <w:rPr>
                      <w:rStyle w:val="30"/>
                      <w:rFonts w:hint="eastAsia"/>
                      <w:color w:val="000000" w:themeColor="text1"/>
                      <w14:textFill>
                        <w14:solidFill>
                          <w14:schemeClr w14:val="tx1"/>
                        </w14:solidFill>
                      </w14:textFill>
                    </w:rPr>
                    <w:t>（RO二级反渗透）</w:t>
                  </w:r>
                </w:p>
              </w:tc>
              <w:tc>
                <w:tcPr>
                  <w:tcW w:w="754" w:type="pct"/>
                  <w:shd w:val="clear" w:color="auto" w:fill="auto"/>
                  <w:vAlign w:val="center"/>
                </w:tcPr>
                <w:p w14:paraId="76ADC33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3846A1E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64E4FC8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32F1E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6B94A754">
                  <w:pPr>
                    <w:jc w:val="center"/>
                    <w:rPr>
                      <w:color w:val="000000" w:themeColor="text1"/>
                      <w:szCs w:val="21"/>
                      <w14:textFill>
                        <w14:solidFill>
                          <w14:schemeClr w14:val="tx1"/>
                        </w14:solidFill>
                      </w14:textFill>
                    </w:rPr>
                  </w:pPr>
                </w:p>
              </w:tc>
              <w:tc>
                <w:tcPr>
                  <w:tcW w:w="764" w:type="pct"/>
                  <w:vMerge w:val="continue"/>
                  <w:vAlign w:val="center"/>
                </w:tcPr>
                <w:p w14:paraId="345F7C8F">
                  <w:pPr>
                    <w:jc w:val="center"/>
                    <w:rPr>
                      <w:color w:val="000000" w:themeColor="text1"/>
                      <w:szCs w:val="21"/>
                      <w14:textFill>
                        <w14:solidFill>
                          <w14:schemeClr w14:val="tx1"/>
                        </w14:solidFill>
                      </w14:textFill>
                    </w:rPr>
                  </w:pPr>
                </w:p>
              </w:tc>
              <w:tc>
                <w:tcPr>
                  <w:tcW w:w="721" w:type="pct"/>
                  <w:vMerge w:val="continue"/>
                  <w:vAlign w:val="center"/>
                </w:tcPr>
                <w:p w14:paraId="238E19E5">
                  <w:pPr>
                    <w:jc w:val="center"/>
                    <w:rPr>
                      <w:color w:val="000000" w:themeColor="text1"/>
                      <w:szCs w:val="21"/>
                      <w14:textFill>
                        <w14:solidFill>
                          <w14:schemeClr w14:val="tx1"/>
                        </w14:solidFill>
                      </w14:textFill>
                    </w:rPr>
                  </w:pPr>
                </w:p>
              </w:tc>
              <w:tc>
                <w:tcPr>
                  <w:tcW w:w="855" w:type="pct"/>
                  <w:vMerge w:val="continue"/>
                  <w:vAlign w:val="center"/>
                </w:tcPr>
                <w:p w14:paraId="6B34C2A2">
                  <w:pPr>
                    <w:jc w:val="center"/>
                    <w:rPr>
                      <w:color w:val="000000" w:themeColor="text1"/>
                      <w:szCs w:val="21"/>
                      <w14:textFill>
                        <w14:solidFill>
                          <w14:schemeClr w14:val="tx1"/>
                        </w14:solidFill>
                      </w14:textFill>
                    </w:rPr>
                  </w:pPr>
                </w:p>
              </w:tc>
              <w:tc>
                <w:tcPr>
                  <w:tcW w:w="754" w:type="pct"/>
                  <w:shd w:val="clear" w:color="auto" w:fill="auto"/>
                  <w:vAlign w:val="center"/>
                </w:tcPr>
                <w:p w14:paraId="7719727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DC8BC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4F2E925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066CB3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66F0BB1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764" w:type="pct"/>
                  <w:vMerge w:val="restart"/>
                  <w:shd w:val="clear" w:color="auto" w:fill="auto"/>
                  <w:vAlign w:val="center"/>
                </w:tcPr>
                <w:p w14:paraId="4E1539D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721" w:type="pct"/>
                  <w:vMerge w:val="restart"/>
                  <w:shd w:val="clear" w:color="auto" w:fill="auto"/>
                  <w:vAlign w:val="center"/>
                </w:tcPr>
                <w:p w14:paraId="6880757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855" w:type="pct"/>
                  <w:vMerge w:val="restart"/>
                  <w:shd w:val="clear" w:color="auto" w:fill="auto"/>
                  <w:vAlign w:val="center"/>
                </w:tcPr>
                <w:p w14:paraId="2C67CAF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蒸汽发生器</w:t>
                  </w:r>
                </w:p>
              </w:tc>
              <w:tc>
                <w:tcPr>
                  <w:tcW w:w="754" w:type="pct"/>
                  <w:shd w:val="clear" w:color="auto" w:fill="auto"/>
                  <w:vAlign w:val="center"/>
                </w:tcPr>
                <w:p w14:paraId="46747AA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6C706A8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926" w:type="pct"/>
                  <w:shd w:val="clear" w:color="auto" w:fill="auto"/>
                  <w:vAlign w:val="center"/>
                </w:tcPr>
                <w:p w14:paraId="2B1CEF3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0992B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75907958">
                  <w:pPr>
                    <w:jc w:val="center"/>
                    <w:rPr>
                      <w:color w:val="000000" w:themeColor="text1"/>
                      <w:szCs w:val="21"/>
                      <w14:textFill>
                        <w14:solidFill>
                          <w14:schemeClr w14:val="tx1"/>
                        </w14:solidFill>
                      </w14:textFill>
                    </w:rPr>
                  </w:pPr>
                </w:p>
              </w:tc>
              <w:tc>
                <w:tcPr>
                  <w:tcW w:w="764" w:type="pct"/>
                  <w:vMerge w:val="continue"/>
                  <w:vAlign w:val="center"/>
                </w:tcPr>
                <w:p w14:paraId="06FB323C">
                  <w:pPr>
                    <w:jc w:val="center"/>
                    <w:rPr>
                      <w:color w:val="000000" w:themeColor="text1"/>
                      <w:szCs w:val="21"/>
                      <w14:textFill>
                        <w14:solidFill>
                          <w14:schemeClr w14:val="tx1"/>
                        </w14:solidFill>
                      </w14:textFill>
                    </w:rPr>
                  </w:pPr>
                </w:p>
              </w:tc>
              <w:tc>
                <w:tcPr>
                  <w:tcW w:w="721" w:type="pct"/>
                  <w:vMerge w:val="continue"/>
                  <w:vAlign w:val="center"/>
                </w:tcPr>
                <w:p w14:paraId="20801F8F">
                  <w:pPr>
                    <w:jc w:val="center"/>
                    <w:rPr>
                      <w:color w:val="000000" w:themeColor="text1"/>
                      <w:szCs w:val="21"/>
                      <w14:textFill>
                        <w14:solidFill>
                          <w14:schemeClr w14:val="tx1"/>
                        </w14:solidFill>
                      </w14:textFill>
                    </w:rPr>
                  </w:pPr>
                </w:p>
              </w:tc>
              <w:tc>
                <w:tcPr>
                  <w:tcW w:w="855" w:type="pct"/>
                  <w:vMerge w:val="continue"/>
                  <w:vAlign w:val="center"/>
                </w:tcPr>
                <w:p w14:paraId="1FDA9C70">
                  <w:pPr>
                    <w:jc w:val="center"/>
                    <w:rPr>
                      <w:color w:val="000000" w:themeColor="text1"/>
                      <w:szCs w:val="21"/>
                      <w14:textFill>
                        <w14:solidFill>
                          <w14:schemeClr w14:val="tx1"/>
                        </w14:solidFill>
                      </w14:textFill>
                    </w:rPr>
                  </w:pPr>
                </w:p>
              </w:tc>
              <w:tc>
                <w:tcPr>
                  <w:tcW w:w="754" w:type="pct"/>
                  <w:shd w:val="clear" w:color="auto" w:fill="auto"/>
                  <w:vAlign w:val="center"/>
                </w:tcPr>
                <w:p w14:paraId="77C6FD7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7015E66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05BE678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r w14:paraId="2517D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7"/>
                  <w:vAlign w:val="center"/>
                </w:tcPr>
                <w:p w14:paraId="0E7B44C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2#二类器械车间公用设备</w:t>
                  </w:r>
                </w:p>
              </w:tc>
            </w:tr>
            <w:tr w14:paraId="48A44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restart"/>
                  <w:vAlign w:val="center"/>
                </w:tcPr>
                <w:p w14:paraId="5B5DB80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764" w:type="pct"/>
                  <w:vMerge w:val="restart"/>
                  <w:shd w:val="clear" w:color="auto" w:fill="auto"/>
                  <w:vAlign w:val="center"/>
                </w:tcPr>
                <w:p w14:paraId="62F94DB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w:t>
                  </w:r>
                </w:p>
              </w:tc>
              <w:tc>
                <w:tcPr>
                  <w:tcW w:w="721" w:type="pct"/>
                  <w:vMerge w:val="restart"/>
                  <w:shd w:val="clear" w:color="auto" w:fill="auto"/>
                  <w:vAlign w:val="center"/>
                </w:tcPr>
                <w:p w14:paraId="6499385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w:t>
                  </w:r>
                </w:p>
              </w:tc>
              <w:tc>
                <w:tcPr>
                  <w:tcW w:w="855" w:type="pct"/>
                  <w:vMerge w:val="restart"/>
                  <w:shd w:val="clear" w:color="auto" w:fill="auto"/>
                  <w:vAlign w:val="center"/>
                </w:tcPr>
                <w:p w14:paraId="698841B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纯水制备系统</w:t>
                  </w:r>
                  <w:r>
                    <w:rPr>
                      <w:rStyle w:val="30"/>
                      <w:rFonts w:hint="eastAsia"/>
                      <w:color w:val="000000" w:themeColor="text1"/>
                      <w14:textFill>
                        <w14:solidFill>
                          <w14:schemeClr w14:val="tx1"/>
                        </w14:solidFill>
                      </w14:textFill>
                    </w:rPr>
                    <w:t>（RO二级反渗透）</w:t>
                  </w:r>
                </w:p>
              </w:tc>
              <w:tc>
                <w:tcPr>
                  <w:tcW w:w="754" w:type="pct"/>
                  <w:shd w:val="clear" w:color="auto" w:fill="auto"/>
                  <w:vAlign w:val="center"/>
                </w:tcPr>
                <w:p w14:paraId="7DAFA73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处理能力</w:t>
                  </w:r>
                </w:p>
              </w:tc>
              <w:tc>
                <w:tcPr>
                  <w:tcW w:w="635" w:type="pct"/>
                  <w:shd w:val="clear" w:color="auto" w:fill="auto"/>
                  <w:vAlign w:val="center"/>
                </w:tcPr>
                <w:p w14:paraId="6DCACE4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926" w:type="pct"/>
                  <w:shd w:val="clear" w:color="auto" w:fill="auto"/>
                  <w:vAlign w:val="center"/>
                </w:tcPr>
                <w:p w14:paraId="26E62E1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t/h</w:t>
                  </w:r>
                </w:p>
              </w:tc>
            </w:tr>
            <w:tr w14:paraId="170BD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41" w:type="pct"/>
                  <w:vMerge w:val="continue"/>
                  <w:vAlign w:val="center"/>
                </w:tcPr>
                <w:p w14:paraId="1BDC2222">
                  <w:pPr>
                    <w:jc w:val="center"/>
                    <w:rPr>
                      <w:color w:val="000000" w:themeColor="text1"/>
                      <w:szCs w:val="21"/>
                      <w14:textFill>
                        <w14:solidFill>
                          <w14:schemeClr w14:val="tx1"/>
                        </w14:solidFill>
                      </w14:textFill>
                    </w:rPr>
                  </w:pPr>
                </w:p>
              </w:tc>
              <w:tc>
                <w:tcPr>
                  <w:tcW w:w="764" w:type="pct"/>
                  <w:vMerge w:val="continue"/>
                  <w:vAlign w:val="center"/>
                </w:tcPr>
                <w:p w14:paraId="07986CD5">
                  <w:pPr>
                    <w:jc w:val="center"/>
                    <w:rPr>
                      <w:color w:val="000000" w:themeColor="text1"/>
                      <w:szCs w:val="21"/>
                      <w14:textFill>
                        <w14:solidFill>
                          <w14:schemeClr w14:val="tx1"/>
                        </w14:solidFill>
                      </w14:textFill>
                    </w:rPr>
                  </w:pPr>
                </w:p>
              </w:tc>
              <w:tc>
                <w:tcPr>
                  <w:tcW w:w="721" w:type="pct"/>
                  <w:vMerge w:val="continue"/>
                  <w:vAlign w:val="center"/>
                </w:tcPr>
                <w:p w14:paraId="5C674C89">
                  <w:pPr>
                    <w:jc w:val="center"/>
                    <w:rPr>
                      <w:color w:val="000000" w:themeColor="text1"/>
                      <w:szCs w:val="21"/>
                      <w14:textFill>
                        <w14:solidFill>
                          <w14:schemeClr w14:val="tx1"/>
                        </w14:solidFill>
                      </w14:textFill>
                    </w:rPr>
                  </w:pPr>
                </w:p>
              </w:tc>
              <w:tc>
                <w:tcPr>
                  <w:tcW w:w="855" w:type="pct"/>
                  <w:vMerge w:val="continue"/>
                  <w:vAlign w:val="center"/>
                </w:tcPr>
                <w:p w14:paraId="346F1092">
                  <w:pPr>
                    <w:jc w:val="center"/>
                    <w:rPr>
                      <w:color w:val="000000" w:themeColor="text1"/>
                      <w:szCs w:val="21"/>
                      <w14:textFill>
                        <w14:solidFill>
                          <w14:schemeClr w14:val="tx1"/>
                        </w14:solidFill>
                      </w14:textFill>
                    </w:rPr>
                  </w:pPr>
                </w:p>
              </w:tc>
              <w:tc>
                <w:tcPr>
                  <w:tcW w:w="754" w:type="pct"/>
                  <w:shd w:val="clear" w:color="auto" w:fill="auto"/>
                  <w:vAlign w:val="center"/>
                </w:tcPr>
                <w:p w14:paraId="60D5CCA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数量</w:t>
                  </w:r>
                </w:p>
              </w:tc>
              <w:tc>
                <w:tcPr>
                  <w:tcW w:w="635" w:type="pct"/>
                  <w:shd w:val="clear" w:color="auto" w:fill="auto"/>
                  <w:vAlign w:val="center"/>
                </w:tcPr>
                <w:p w14:paraId="2E794A3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926" w:type="pct"/>
                  <w:shd w:val="clear" w:color="auto" w:fill="auto"/>
                  <w:vAlign w:val="center"/>
                </w:tcPr>
                <w:p w14:paraId="31D6593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台</w:t>
                  </w:r>
                </w:p>
              </w:tc>
            </w:tr>
          </w:tbl>
          <w:p w14:paraId="37F6DE76">
            <w:pPr>
              <w:pStyle w:val="42"/>
              <w:widowControl/>
              <w:adjustRightInd/>
              <w:ind w:firstLine="482"/>
              <w:jc w:val="both"/>
              <w:rPr>
                <w:b/>
                <w:color w:val="000000" w:themeColor="text1"/>
                <w14:textFill>
                  <w14:solidFill>
                    <w14:schemeClr w14:val="tx1"/>
                  </w14:solidFill>
                </w14:textFill>
              </w:rPr>
            </w:pPr>
            <w:r>
              <w:rPr>
                <w:rFonts w:hint="eastAsia"/>
                <w:b/>
                <w:color w:val="000000" w:themeColor="text1"/>
                <w14:textFill>
                  <w14:solidFill>
                    <w14:schemeClr w14:val="tx1"/>
                  </w14:solidFill>
                </w14:textFill>
              </w:rPr>
              <w:t>产能匹配性分析：</w:t>
            </w:r>
          </w:p>
          <w:p w14:paraId="3E3A1A66">
            <w:pPr>
              <w:pStyle w:val="42"/>
              <w:widowControl/>
              <w:adjustRightInd/>
              <w:ind w:firstLine="482"/>
              <w:jc w:val="both"/>
              <w:rPr>
                <w:b/>
                <w:bCs/>
                <w:color w:val="000000" w:themeColor="text1"/>
                <w14:textFill>
                  <w14:solidFill>
                    <w14:schemeClr w14:val="tx1"/>
                  </w14:solidFill>
                </w14:textFill>
              </w:rPr>
            </w:pPr>
            <w:r>
              <w:rPr>
                <w:b/>
                <w:bCs/>
                <w:color w:val="000000" w:themeColor="text1"/>
                <w14:textFill>
                  <w14:solidFill>
                    <w14:schemeClr w14:val="tx1"/>
                  </w14:solidFill>
                </w14:textFill>
              </w:rPr>
              <w:t>①白酒生产线</w:t>
            </w:r>
          </w:p>
          <w:p w14:paraId="3DF04904">
            <w:pPr>
              <w:pStyle w:val="42"/>
              <w:widowControl/>
              <w:adjustRightInd/>
              <w:ind w:firstLine="48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浓香白酒原酒每年共8个月生产期，年工作228天，项目发酵周期为</w:t>
            </w:r>
            <w:r>
              <w:rPr>
                <w:rFonts w:hint="default" w:ascii="Times New Roman" w:hAnsi="Times New Roman" w:cs="Times New Roman"/>
                <w:bCs/>
                <w:color w:val="000000" w:themeColor="text1"/>
                <w14:textFill>
                  <w14:solidFill>
                    <w14:schemeClr w14:val="tx1"/>
                  </w14:solidFill>
                </w14:textFill>
              </w:rPr>
              <w:t>40～60</w:t>
            </w:r>
            <w:r>
              <w:rPr>
                <w:rFonts w:hint="eastAsia"/>
                <w:bCs/>
                <w:color w:val="000000" w:themeColor="text1"/>
                <w14:textFill>
                  <w14:solidFill>
                    <w14:schemeClr w14:val="tx1"/>
                  </w14:solidFill>
                </w14:textFill>
              </w:rPr>
              <w:t>天。全厂建有30个窖池（容积3m×2m×2m），基酒出酒率约32.9%（淀粉出酒率为47%，粮食及酒曲淀粉平均含量为70%），单个窖池单轮下粮量约为2.16t，年发酵4～5轮，则30个窖池最大年年产量为259.2～324t，浓香型原酒产量为85.277~106.596t，项目年产浓香型原酒85.071t，窖池数量能够生产需求。项目设有甑锅1台，1台甑锅单批次原酒产量为150kg，一个甑锅每天蒸酒3次，每年蒸馏时间为228天，则项目浓香型原酒年可生产102.6吨，可满足年产77.532吨浓香型原酒的生产能力。</w:t>
            </w:r>
          </w:p>
          <w:p w14:paraId="6629396E">
            <w:pPr>
              <w:pStyle w:val="42"/>
              <w:widowControl/>
              <w:adjustRightInd/>
              <w:ind w:firstLine="482"/>
              <w:jc w:val="both"/>
              <w:rPr>
                <w:b/>
                <w:color w:val="000000" w:themeColor="text1"/>
                <w14:textFill>
                  <w14:solidFill>
                    <w14:schemeClr w14:val="tx1"/>
                  </w14:solidFill>
                </w14:textFill>
              </w:rPr>
            </w:pPr>
            <w:r>
              <w:rPr>
                <w:b/>
                <w:color w:val="000000" w:themeColor="text1"/>
                <w14:textFill>
                  <w14:solidFill>
                    <w14:schemeClr w14:val="tx1"/>
                  </w14:solidFill>
                </w14:textFill>
              </w:rPr>
              <w:t>②</w:t>
            </w:r>
            <w:r>
              <w:rPr>
                <w:rFonts w:hint="eastAsia"/>
                <w:b/>
                <w:color w:val="000000" w:themeColor="text1"/>
                <w14:textFill>
                  <w14:solidFill>
                    <w14:schemeClr w14:val="tx1"/>
                  </w14:solidFill>
                </w14:textFill>
              </w:rPr>
              <w:t>黄</w:t>
            </w:r>
            <w:r>
              <w:rPr>
                <w:b/>
                <w:color w:val="000000" w:themeColor="text1"/>
                <w14:textFill>
                  <w14:solidFill>
                    <w14:schemeClr w14:val="tx1"/>
                  </w14:solidFill>
                </w14:textFill>
              </w:rPr>
              <w:t>酒生产线</w:t>
            </w:r>
          </w:p>
          <w:p w14:paraId="7AC7CDB6">
            <w:pPr>
              <w:pStyle w:val="42"/>
              <w:widowControl/>
              <w:adjustRightInd/>
              <w:ind w:firstLine="480"/>
              <w:jc w:val="both"/>
              <w:rPr>
                <w:bCs/>
                <w:color w:val="000000" w:themeColor="text1"/>
                <w14:textFill>
                  <w14:solidFill>
                    <w14:schemeClr w14:val="tx1"/>
                  </w14:solidFill>
                </w14:textFill>
              </w:rPr>
            </w:pPr>
            <w:r>
              <w:rPr>
                <w:bCs/>
                <w:color w:val="000000" w:themeColor="text1"/>
                <w14:textFill>
                  <w14:solidFill>
                    <w14:schemeClr w14:val="tx1"/>
                  </w14:solidFill>
                </w14:textFill>
              </w:rPr>
              <w:t>传统酿造黄酒产能受限于后发酵工序，本次项目后发酵工序发酵缸共50个，V=0.5m³。发酵液约占储罐容量的80%，则每批次产基酒20t。发酵液后发酵生产时间约</w:t>
            </w:r>
            <w:r>
              <w:rPr>
                <w:rFonts w:hint="eastAsia"/>
                <w:color w:val="000000" w:themeColor="text1"/>
                <w:sz w:val="24"/>
                <w:lang w:val="en-US" w:eastAsia="zh-CN"/>
                <w14:textFill>
                  <w14:solidFill>
                    <w14:schemeClr w14:val="tx1"/>
                  </w14:solidFill>
                </w14:textFill>
              </w:rPr>
              <w:t>25</w:t>
            </w:r>
            <w:r>
              <w:rPr>
                <w:rFonts w:hint="eastAsia"/>
                <w:bCs/>
                <w:color w:val="000000" w:themeColor="text1"/>
                <w14:textFill>
                  <w14:solidFill>
                    <w14:schemeClr w14:val="tx1"/>
                  </w14:solidFill>
                </w14:textFill>
              </w:rPr>
              <w:t>～</w:t>
            </w:r>
            <w:r>
              <w:rPr>
                <w:rFonts w:hint="eastAsia"/>
                <w:color w:val="000000" w:themeColor="text1"/>
                <w:sz w:val="24"/>
                <w:lang w:val="en-US" w:eastAsia="zh-CN"/>
                <w14:textFill>
                  <w14:solidFill>
                    <w14:schemeClr w14:val="tx1"/>
                  </w14:solidFill>
                </w14:textFill>
              </w:rPr>
              <w:t>28</w:t>
            </w:r>
            <w:r>
              <w:rPr>
                <w:bCs/>
                <w:color w:val="000000" w:themeColor="text1"/>
                <w14:textFill>
                  <w14:solidFill>
                    <w14:schemeClr w14:val="tx1"/>
                  </w14:solidFill>
                </w14:textFill>
              </w:rPr>
              <w:t>天</w:t>
            </w:r>
            <w:r>
              <w:rPr>
                <w:bCs/>
                <w:color w:val="000000" w:themeColor="text1"/>
                <w14:textFill>
                  <w14:solidFill>
                    <w14:schemeClr w14:val="tx1"/>
                  </w14:solidFill>
                </w14:textFill>
              </w:rPr>
              <w:t>，年生产</w:t>
            </w:r>
            <w:r>
              <w:rPr>
                <w:rFonts w:hint="eastAsia"/>
                <w:bCs/>
                <w:color w:val="000000" w:themeColor="text1"/>
                <w:lang w:val="en-US" w:eastAsia="zh-CN"/>
                <w14:textFill>
                  <w14:solidFill>
                    <w14:schemeClr w14:val="tx1"/>
                  </w14:solidFill>
                </w14:textFill>
              </w:rPr>
              <w:t>8</w:t>
            </w:r>
            <w:r>
              <w:rPr>
                <w:bCs/>
                <w:color w:val="000000" w:themeColor="text1"/>
                <w14:textFill>
                  <w14:solidFill>
                    <w14:schemeClr w14:val="tx1"/>
                  </w14:solidFill>
                </w14:textFill>
              </w:rPr>
              <w:t>～</w:t>
            </w:r>
            <w:r>
              <w:rPr>
                <w:rFonts w:hint="eastAsia"/>
                <w:bCs/>
                <w:color w:val="000000" w:themeColor="text1"/>
                <w:lang w:val="en-US" w:eastAsia="zh-CN"/>
                <w14:textFill>
                  <w14:solidFill>
                    <w14:schemeClr w14:val="tx1"/>
                  </w14:solidFill>
                </w14:textFill>
              </w:rPr>
              <w:t>9</w:t>
            </w:r>
            <w:r>
              <w:rPr>
                <w:bCs/>
                <w:color w:val="000000" w:themeColor="text1"/>
                <w14:textFill>
                  <w14:solidFill>
                    <w14:schemeClr w14:val="tx1"/>
                  </w14:solidFill>
                </w14:textFill>
              </w:rPr>
              <w:t>批次，则计算得黄酒基酒的年产能为1</w:t>
            </w:r>
            <w:r>
              <w:rPr>
                <w:rFonts w:hint="eastAsia"/>
                <w:bCs/>
                <w:color w:val="000000" w:themeColor="text1"/>
                <w:lang w:val="en-US" w:eastAsia="zh-CN"/>
                <w14:textFill>
                  <w14:solidFill>
                    <w14:schemeClr w14:val="tx1"/>
                  </w14:solidFill>
                </w14:textFill>
              </w:rPr>
              <w:t>6</w:t>
            </w:r>
            <w:r>
              <w:rPr>
                <w:bCs/>
                <w:color w:val="000000" w:themeColor="text1"/>
                <w14:textFill>
                  <w14:solidFill>
                    <w14:schemeClr w14:val="tx1"/>
                  </w14:solidFill>
                </w14:textFill>
              </w:rPr>
              <w:t>0～1</w:t>
            </w:r>
            <w:r>
              <w:rPr>
                <w:rFonts w:hint="eastAsia"/>
                <w:bCs/>
                <w:color w:val="000000" w:themeColor="text1"/>
                <w:lang w:val="en-US" w:eastAsia="zh-CN"/>
                <w14:textFill>
                  <w14:solidFill>
                    <w14:schemeClr w14:val="tx1"/>
                  </w14:solidFill>
                </w14:textFill>
              </w:rPr>
              <w:t>8</w:t>
            </w:r>
            <w:r>
              <w:rPr>
                <w:bCs/>
                <w:color w:val="000000" w:themeColor="text1"/>
                <w14:textFill>
                  <w14:solidFill>
                    <w14:schemeClr w14:val="tx1"/>
                  </w14:solidFill>
                </w14:textFill>
              </w:rPr>
              <w:t>0吨，可以满足年产159.302吨</w:t>
            </w:r>
            <w:r>
              <w:rPr>
                <w:rFonts w:hint="eastAsia"/>
                <w:bCs/>
                <w:color w:val="000000" w:themeColor="text1"/>
                <w14:textFill>
                  <w14:solidFill>
                    <w14:schemeClr w14:val="tx1"/>
                  </w14:solidFill>
                </w14:textFill>
              </w:rPr>
              <w:t>黄酒</w:t>
            </w:r>
            <w:r>
              <w:rPr>
                <w:bCs/>
                <w:color w:val="000000" w:themeColor="text1"/>
                <w14:textFill>
                  <w14:solidFill>
                    <w14:schemeClr w14:val="tx1"/>
                  </w14:solidFill>
                </w14:textFill>
              </w:rPr>
              <w:t>。</w:t>
            </w:r>
          </w:p>
          <w:p w14:paraId="141493CC">
            <w:pPr>
              <w:pStyle w:val="42"/>
              <w:widowControl/>
              <w:adjustRightInd/>
              <w:ind w:firstLine="482"/>
              <w:jc w:val="both"/>
              <w:rPr>
                <w:b/>
                <w:color w:val="000000" w:themeColor="text1"/>
                <w14:textFill>
                  <w14:solidFill>
                    <w14:schemeClr w14:val="tx1"/>
                  </w14:solidFill>
                </w14:textFill>
              </w:rPr>
            </w:pPr>
            <w:r>
              <w:rPr>
                <w:b/>
                <w:color w:val="000000" w:themeColor="text1"/>
                <w14:textFill>
                  <w14:solidFill>
                    <w14:schemeClr w14:val="tx1"/>
                  </w14:solidFill>
                </w14:textFill>
              </w:rPr>
              <w:t>③</w:t>
            </w:r>
            <w:r>
              <w:rPr>
                <w:rFonts w:hint="eastAsia"/>
                <w:b/>
                <w:color w:val="000000" w:themeColor="text1"/>
                <w14:textFill>
                  <w14:solidFill>
                    <w14:schemeClr w14:val="tx1"/>
                  </w14:solidFill>
                </w14:textFill>
              </w:rPr>
              <w:t>啤</w:t>
            </w:r>
            <w:r>
              <w:rPr>
                <w:b/>
                <w:color w:val="000000" w:themeColor="text1"/>
                <w14:textFill>
                  <w14:solidFill>
                    <w14:schemeClr w14:val="tx1"/>
                  </w14:solidFill>
                </w14:textFill>
              </w:rPr>
              <w:t>酒生产线</w:t>
            </w:r>
          </w:p>
          <w:p w14:paraId="55CEAFC1">
            <w:pPr>
              <w:pStyle w:val="42"/>
              <w:widowControl/>
              <w:adjustRightInd/>
              <w:ind w:firstLine="480"/>
              <w:jc w:val="both"/>
              <w:rPr>
                <w:color w:val="000000" w:themeColor="text1"/>
                <w:highlight w:val="yellow"/>
                <w14:textFill>
                  <w14:solidFill>
                    <w14:schemeClr w14:val="tx1"/>
                  </w14:solidFill>
                </w14:textFill>
              </w:rPr>
            </w:pPr>
            <w:r>
              <w:rPr>
                <w:rFonts w:hint="eastAsia"/>
                <w:bCs/>
                <w:color w:val="000000" w:themeColor="text1"/>
                <w14:textFill>
                  <w14:solidFill>
                    <w14:schemeClr w14:val="tx1"/>
                  </w14:solidFill>
                </w14:textFill>
              </w:rPr>
              <w:t>啤酒每年共8个月生产期，年工作228天，啤酒生产周期主要由发酵时间控制；</w:t>
            </w:r>
            <w:r>
              <w:rPr>
                <w:bCs/>
                <w:color w:val="000000" w:themeColor="text1"/>
                <w14:textFill>
                  <w14:solidFill>
                    <w14:schemeClr w14:val="tx1"/>
                  </w14:solidFill>
                </w14:textFill>
              </w:rPr>
              <w:t>本次项目后发酵工序发酵罐共</w:t>
            </w:r>
            <w:r>
              <w:rPr>
                <w:rFonts w:hint="eastAsia"/>
                <w:bCs/>
                <w:color w:val="000000" w:themeColor="text1"/>
                <w14:textFill>
                  <w14:solidFill>
                    <w14:schemeClr w14:val="tx1"/>
                  </w14:solidFill>
                </w14:textFill>
              </w:rPr>
              <w:t>6</w:t>
            </w:r>
            <w:r>
              <w:rPr>
                <w:bCs/>
                <w:color w:val="000000" w:themeColor="text1"/>
                <w14:textFill>
                  <w14:solidFill>
                    <w14:schemeClr w14:val="tx1"/>
                  </w14:solidFill>
                </w14:textFill>
              </w:rPr>
              <w:t>个，V=5m³</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则每批次产</w:t>
            </w:r>
            <w:r>
              <w:rPr>
                <w:rFonts w:hint="eastAsia"/>
                <w:bCs/>
                <w:color w:val="000000" w:themeColor="text1"/>
                <w14:textFill>
                  <w14:solidFill>
                    <w14:schemeClr w14:val="tx1"/>
                  </w14:solidFill>
                </w14:textFill>
              </w:rPr>
              <w:t>啤</w:t>
            </w:r>
            <w:r>
              <w:rPr>
                <w:bCs/>
                <w:color w:val="000000" w:themeColor="text1"/>
                <w14:textFill>
                  <w14:solidFill>
                    <w14:schemeClr w14:val="tx1"/>
                  </w14:solidFill>
                </w14:textFill>
              </w:rPr>
              <w:t>酒</w:t>
            </w:r>
            <w:r>
              <w:rPr>
                <w:rFonts w:hint="eastAsia"/>
                <w:bCs/>
                <w:color w:val="000000" w:themeColor="text1"/>
                <w14:textFill>
                  <w14:solidFill>
                    <w14:schemeClr w14:val="tx1"/>
                  </w14:solidFill>
                </w14:textFill>
              </w:rPr>
              <w:t>约3</w:t>
            </w:r>
            <w:r>
              <w:rPr>
                <w:bCs/>
                <w:color w:val="000000" w:themeColor="text1"/>
                <w14:textFill>
                  <w14:solidFill>
                    <w14:schemeClr w14:val="tx1"/>
                  </w14:solidFill>
                </w14:textFill>
              </w:rPr>
              <w:t>0t。</w:t>
            </w:r>
            <w:r>
              <w:rPr>
                <w:rFonts w:hint="eastAsia"/>
                <w:bCs/>
                <w:color w:val="000000" w:themeColor="text1"/>
                <w14:textFill>
                  <w14:solidFill>
                    <w14:schemeClr w14:val="tx1"/>
                  </w14:solidFill>
                </w14:textFill>
              </w:rPr>
              <w:t>项目啤酒发酵周期为25~29天，</w:t>
            </w:r>
            <w:r>
              <w:rPr>
                <w:bCs/>
                <w:color w:val="000000" w:themeColor="text1"/>
                <w14:textFill>
                  <w14:solidFill>
                    <w14:schemeClr w14:val="tx1"/>
                  </w14:solidFill>
                </w14:textFill>
              </w:rPr>
              <w:t>年生产7～8批次，则计算得</w:t>
            </w:r>
            <w:r>
              <w:rPr>
                <w:rFonts w:hint="eastAsia"/>
                <w:bCs/>
                <w:color w:val="000000" w:themeColor="text1"/>
                <w14:textFill>
                  <w14:solidFill>
                    <w14:schemeClr w14:val="tx1"/>
                  </w14:solidFill>
                </w14:textFill>
              </w:rPr>
              <w:t>啤酒</w:t>
            </w:r>
            <w:r>
              <w:rPr>
                <w:bCs/>
                <w:color w:val="000000" w:themeColor="text1"/>
                <w14:textFill>
                  <w14:solidFill>
                    <w14:schemeClr w14:val="tx1"/>
                  </w14:solidFill>
                </w14:textFill>
              </w:rPr>
              <w:t>的年产能为</w:t>
            </w:r>
            <w:r>
              <w:rPr>
                <w:rFonts w:hint="eastAsia"/>
                <w:bCs/>
                <w:color w:val="000000" w:themeColor="text1"/>
                <w14:textFill>
                  <w14:solidFill>
                    <w14:schemeClr w14:val="tx1"/>
                  </w14:solidFill>
                </w14:textFill>
              </w:rPr>
              <w:t>210</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24</w:t>
            </w:r>
            <w:r>
              <w:rPr>
                <w:bCs/>
                <w:color w:val="000000" w:themeColor="text1"/>
                <w14:textFill>
                  <w14:solidFill>
                    <w14:schemeClr w14:val="tx1"/>
                  </w14:solidFill>
                </w14:textFill>
              </w:rPr>
              <w:t>0吨，可以满足年产</w:t>
            </w:r>
            <w:r>
              <w:rPr>
                <w:rFonts w:hint="eastAsia"/>
                <w:bCs/>
                <w:color w:val="000000" w:themeColor="text1"/>
                <w14:textFill>
                  <w14:solidFill>
                    <w14:schemeClr w14:val="tx1"/>
                  </w14:solidFill>
                </w14:textFill>
              </w:rPr>
              <w:t>200</w:t>
            </w:r>
            <w:r>
              <w:rPr>
                <w:bCs/>
                <w:color w:val="000000" w:themeColor="text1"/>
                <w14:textFill>
                  <w14:solidFill>
                    <w14:schemeClr w14:val="tx1"/>
                  </w14:solidFill>
                </w14:textFill>
              </w:rPr>
              <w:t>吨</w:t>
            </w:r>
            <w:r>
              <w:rPr>
                <w:rFonts w:hint="eastAsia"/>
                <w:bCs/>
                <w:color w:val="000000" w:themeColor="text1"/>
                <w14:textFill>
                  <w14:solidFill>
                    <w14:schemeClr w14:val="tx1"/>
                  </w14:solidFill>
                </w14:textFill>
              </w:rPr>
              <w:t>啤酒</w:t>
            </w:r>
            <w:r>
              <w:rPr>
                <w:bCs/>
                <w:color w:val="000000" w:themeColor="text1"/>
                <w14:textFill>
                  <w14:solidFill>
                    <w14:schemeClr w14:val="tx1"/>
                  </w14:solidFill>
                </w14:textFill>
              </w:rPr>
              <w:t>。</w:t>
            </w:r>
          </w:p>
          <w:p w14:paraId="48FEFEDB">
            <w:pPr>
              <w:pStyle w:val="42"/>
              <w:widowControl/>
              <w:adjustRightInd/>
              <w:ind w:firstLine="482"/>
              <w:jc w:val="both"/>
              <w:rPr>
                <w:b/>
                <w:bCs/>
                <w:color w:val="000000" w:themeColor="text1"/>
                <w14:textFill>
                  <w14:solidFill>
                    <w14:schemeClr w14:val="tx1"/>
                  </w14:solidFill>
                </w14:textFill>
              </w:rPr>
            </w:pPr>
            <w:r>
              <w:rPr>
                <w:rFonts w:hint="eastAsia" w:ascii="宋体" w:hAnsi="宋体" w:cs="宋体"/>
                <w:b/>
                <w:bCs/>
                <w:color w:val="000000" w:themeColor="text1"/>
                <w14:textFill>
                  <w14:solidFill>
                    <w14:schemeClr w14:val="tx1"/>
                  </w14:solidFill>
                </w14:textFill>
              </w:rPr>
              <w:t>④</w:t>
            </w:r>
            <w:r>
              <w:rPr>
                <w:rFonts w:hint="eastAsia"/>
                <w:b/>
                <w:bCs/>
                <w:color w:val="000000" w:themeColor="text1"/>
                <w14:textFill>
                  <w14:solidFill>
                    <w14:schemeClr w14:val="tx1"/>
                  </w14:solidFill>
                </w14:textFill>
              </w:rPr>
              <w:t>果</w:t>
            </w:r>
            <w:r>
              <w:rPr>
                <w:b/>
                <w:bCs/>
                <w:color w:val="000000" w:themeColor="text1"/>
                <w14:textFill>
                  <w14:solidFill>
                    <w14:schemeClr w14:val="tx1"/>
                  </w14:solidFill>
                </w14:textFill>
              </w:rPr>
              <w:t>酒生产线</w:t>
            </w:r>
          </w:p>
          <w:p w14:paraId="592A0C9B">
            <w:pPr>
              <w:pStyle w:val="42"/>
              <w:widowControl/>
              <w:adjustRightInd/>
              <w:ind w:firstLine="48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果酒每年共8个月生产期，年工作228天，果酒生产周期主要由发酵时间控制；</w:t>
            </w:r>
            <w:r>
              <w:rPr>
                <w:bCs/>
                <w:color w:val="000000" w:themeColor="text1"/>
                <w14:textFill>
                  <w14:solidFill>
                    <w14:schemeClr w14:val="tx1"/>
                  </w14:solidFill>
                </w14:textFill>
              </w:rPr>
              <w:t>本次项目发酵工序发酵罐共</w:t>
            </w:r>
            <w:r>
              <w:rPr>
                <w:rFonts w:hint="eastAsia"/>
                <w:bCs/>
                <w:color w:val="000000" w:themeColor="text1"/>
                <w14:textFill>
                  <w14:solidFill>
                    <w14:schemeClr w14:val="tx1"/>
                  </w14:solidFill>
                </w14:textFill>
              </w:rPr>
              <w:t>8</w:t>
            </w:r>
            <w:r>
              <w:rPr>
                <w:bCs/>
                <w:color w:val="000000" w:themeColor="text1"/>
                <w14:textFill>
                  <w14:solidFill>
                    <w14:schemeClr w14:val="tx1"/>
                  </w14:solidFill>
                </w14:textFill>
              </w:rPr>
              <w:t>个，V=5m³</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则每批次产果酒</w:t>
            </w:r>
            <w:r>
              <w:rPr>
                <w:rFonts w:hint="eastAsia"/>
                <w:bCs/>
                <w:color w:val="000000" w:themeColor="text1"/>
                <w14:textFill>
                  <w14:solidFill>
                    <w14:schemeClr w14:val="tx1"/>
                  </w14:solidFill>
                </w14:textFill>
              </w:rPr>
              <w:t>约3</w:t>
            </w:r>
            <w:r>
              <w:rPr>
                <w:bCs/>
                <w:color w:val="000000" w:themeColor="text1"/>
                <w14:textFill>
                  <w14:solidFill>
                    <w14:schemeClr w14:val="tx1"/>
                  </w14:solidFill>
                </w14:textFill>
              </w:rPr>
              <w:t>0t。</w:t>
            </w:r>
            <w:r>
              <w:rPr>
                <w:rFonts w:hint="eastAsia"/>
                <w:bCs/>
                <w:color w:val="000000" w:themeColor="text1"/>
                <w14:textFill>
                  <w14:solidFill>
                    <w14:schemeClr w14:val="tx1"/>
                  </w14:solidFill>
                </w14:textFill>
              </w:rPr>
              <w:t>项目</w:t>
            </w:r>
            <w:r>
              <w:rPr>
                <w:rFonts w:hint="eastAsia"/>
                <w:bCs/>
                <w:color w:val="000000" w:themeColor="text1"/>
                <w14:textFill>
                  <w14:solidFill>
                    <w14:schemeClr w14:val="tx1"/>
                  </w14:solidFill>
                </w14:textFill>
              </w:rPr>
              <w:t>果酒</w:t>
            </w:r>
            <w:r>
              <w:rPr>
                <w:rFonts w:hint="eastAsia"/>
                <w:bCs/>
                <w:color w:val="000000" w:themeColor="text1"/>
                <w14:textFill>
                  <w14:solidFill>
                    <w14:schemeClr w14:val="tx1"/>
                  </w14:solidFill>
                </w14:textFill>
              </w:rPr>
              <w:t>发酵周期为25~29天，</w:t>
            </w:r>
            <w:r>
              <w:rPr>
                <w:bCs/>
                <w:color w:val="000000" w:themeColor="text1"/>
                <w14:textFill>
                  <w14:solidFill>
                    <w14:schemeClr w14:val="tx1"/>
                  </w14:solidFill>
                </w14:textFill>
              </w:rPr>
              <w:t>年生产7～8批次，则计算得</w:t>
            </w:r>
            <w:r>
              <w:rPr>
                <w:rFonts w:hint="eastAsia"/>
                <w:bCs/>
                <w:color w:val="000000" w:themeColor="text1"/>
                <w14:textFill>
                  <w14:solidFill>
                    <w14:schemeClr w14:val="tx1"/>
                  </w14:solidFill>
                </w14:textFill>
              </w:rPr>
              <w:t>果酒</w:t>
            </w:r>
            <w:r>
              <w:rPr>
                <w:bCs/>
                <w:color w:val="000000" w:themeColor="text1"/>
                <w14:textFill>
                  <w14:solidFill>
                    <w14:schemeClr w14:val="tx1"/>
                  </w14:solidFill>
                </w14:textFill>
              </w:rPr>
              <w:t>的年产能为</w:t>
            </w:r>
            <w:r>
              <w:rPr>
                <w:rFonts w:hint="eastAsia"/>
                <w:bCs/>
                <w:color w:val="000000" w:themeColor="text1"/>
                <w14:textFill>
                  <w14:solidFill>
                    <w14:schemeClr w14:val="tx1"/>
                  </w14:solidFill>
                </w14:textFill>
              </w:rPr>
              <w:t>210</w:t>
            </w:r>
            <w:r>
              <w:rPr>
                <w:bCs/>
                <w:color w:val="000000" w:themeColor="text1"/>
                <w14:textFill>
                  <w14:solidFill>
                    <w14:schemeClr w14:val="tx1"/>
                  </w14:solidFill>
                </w14:textFill>
              </w:rPr>
              <w:t>～</w:t>
            </w:r>
            <w:r>
              <w:rPr>
                <w:rFonts w:hint="eastAsia"/>
                <w:bCs/>
                <w:color w:val="000000" w:themeColor="text1"/>
                <w14:textFill>
                  <w14:solidFill>
                    <w14:schemeClr w14:val="tx1"/>
                  </w14:solidFill>
                </w14:textFill>
              </w:rPr>
              <w:t>24</w:t>
            </w:r>
            <w:r>
              <w:rPr>
                <w:bCs/>
                <w:color w:val="000000" w:themeColor="text1"/>
                <w14:textFill>
                  <w14:solidFill>
                    <w14:schemeClr w14:val="tx1"/>
                  </w14:solidFill>
                </w14:textFill>
              </w:rPr>
              <w:t>0吨，可以满足年产</w:t>
            </w:r>
            <w:r>
              <w:rPr>
                <w:rFonts w:hint="eastAsia"/>
                <w:bCs/>
                <w:color w:val="000000" w:themeColor="text1"/>
                <w14:textFill>
                  <w14:solidFill>
                    <w14:schemeClr w14:val="tx1"/>
                  </w14:solidFill>
                </w14:textFill>
              </w:rPr>
              <w:t>200</w:t>
            </w:r>
            <w:r>
              <w:rPr>
                <w:bCs/>
                <w:color w:val="000000" w:themeColor="text1"/>
                <w14:textFill>
                  <w14:solidFill>
                    <w14:schemeClr w14:val="tx1"/>
                  </w14:solidFill>
                </w14:textFill>
              </w:rPr>
              <w:t>吨</w:t>
            </w:r>
            <w:r>
              <w:rPr>
                <w:rFonts w:hint="eastAsia"/>
                <w:bCs/>
                <w:color w:val="000000" w:themeColor="text1"/>
                <w14:textFill>
                  <w14:solidFill>
                    <w14:schemeClr w14:val="tx1"/>
                  </w14:solidFill>
                </w14:textFill>
              </w:rPr>
              <w:t>果酒</w:t>
            </w:r>
            <w:r>
              <w:rPr>
                <w:bCs/>
                <w:color w:val="000000" w:themeColor="text1"/>
                <w14:textFill>
                  <w14:solidFill>
                    <w14:schemeClr w14:val="tx1"/>
                  </w14:solidFill>
                </w14:textFill>
              </w:rPr>
              <w:t>。</w:t>
            </w:r>
          </w:p>
          <w:p w14:paraId="513D3735">
            <w:pPr>
              <w:pStyle w:val="42"/>
              <w:widowControl/>
              <w:adjustRightInd/>
              <w:ind w:firstLine="482"/>
              <w:jc w:val="both"/>
              <w:rPr>
                <w:b/>
                <w:color w:val="000000" w:themeColor="text1"/>
                <w14:textFill>
                  <w14:solidFill>
                    <w14:schemeClr w14:val="tx1"/>
                  </w14:solidFill>
                </w14:textFill>
              </w:rPr>
            </w:pPr>
            <w:r>
              <w:rPr>
                <w:rFonts w:hint="eastAsia" w:ascii="宋体" w:hAnsi="宋体" w:cs="宋体"/>
                <w:b/>
                <w:color w:val="000000" w:themeColor="text1"/>
                <w14:textFill>
                  <w14:solidFill>
                    <w14:schemeClr w14:val="tx1"/>
                  </w14:solidFill>
                </w14:textFill>
              </w:rPr>
              <w:t>⑤蒸汽用量</w:t>
            </w:r>
          </w:p>
          <w:p w14:paraId="08D97045">
            <w:pPr>
              <w:pStyle w:val="42"/>
              <w:widowControl/>
              <w:adjustRightInd/>
              <w:ind w:firstLine="480"/>
              <w:jc w:val="both"/>
              <w:rPr>
                <w:bCs/>
                <w:color w:val="000000" w:themeColor="text1"/>
                <w14:textFill>
                  <w14:solidFill>
                    <w14:schemeClr w14:val="tx1"/>
                  </w14:solidFill>
                </w14:textFill>
              </w:rPr>
            </w:pPr>
            <w:r>
              <w:rPr>
                <w:bCs/>
                <w:color w:val="000000" w:themeColor="text1"/>
                <w14:textFill>
                  <w14:solidFill>
                    <w14:schemeClr w14:val="tx1"/>
                  </w14:solidFill>
                </w14:textFill>
              </w:rPr>
              <w:t>本项目</w:t>
            </w:r>
            <w:r>
              <w:rPr>
                <w:rFonts w:hint="eastAsia"/>
                <w:bCs/>
                <w:color w:val="000000" w:themeColor="text1"/>
                <w14:textFill>
                  <w14:solidFill>
                    <w14:schemeClr w14:val="tx1"/>
                  </w14:solidFill>
                </w14:textFill>
              </w:rPr>
              <w:t>配套</w:t>
            </w:r>
            <w:r>
              <w:rPr>
                <w:bCs/>
                <w:color w:val="000000" w:themeColor="text1"/>
                <w14:textFill>
                  <w14:solidFill>
                    <w14:schemeClr w14:val="tx1"/>
                  </w14:solidFill>
                </w14:textFill>
              </w:rPr>
              <w:t>1台</w:t>
            </w:r>
            <w:r>
              <w:rPr>
                <w:rFonts w:hint="eastAsia"/>
                <w:bCs/>
                <w:color w:val="000000" w:themeColor="text1"/>
                <w14:textFill>
                  <w14:solidFill>
                    <w14:schemeClr w14:val="tx1"/>
                  </w14:solidFill>
                </w14:textFill>
              </w:rPr>
              <w:t>1.0</w:t>
            </w:r>
            <w:r>
              <w:rPr>
                <w:bCs/>
                <w:color w:val="000000" w:themeColor="text1"/>
                <w14:textFill>
                  <w14:solidFill>
                    <w14:schemeClr w14:val="tx1"/>
                  </w14:solidFill>
                </w14:textFill>
              </w:rPr>
              <w:t>t/h</w:t>
            </w:r>
            <w:r>
              <w:rPr>
                <w:rFonts w:hint="eastAsia"/>
                <w:bCs/>
                <w:color w:val="000000" w:themeColor="text1"/>
                <w14:textFill>
                  <w14:solidFill>
                    <w14:schemeClr w14:val="tx1"/>
                  </w14:solidFill>
                </w14:textFill>
              </w:rPr>
              <w:t>以及1台0.3t/h、1台0.5t/h</w:t>
            </w:r>
            <w:r>
              <w:rPr>
                <w:bCs/>
                <w:color w:val="000000" w:themeColor="text1"/>
                <w14:textFill>
                  <w14:solidFill>
                    <w14:schemeClr w14:val="tx1"/>
                  </w14:solidFill>
                </w14:textFill>
              </w:rPr>
              <w:t>的蒸汽发生器，</w:t>
            </w:r>
            <w:r>
              <w:rPr>
                <w:rFonts w:hint="eastAsia"/>
                <w:bCs/>
                <w:color w:val="000000" w:themeColor="text1"/>
                <w14:textFill>
                  <w14:solidFill>
                    <w14:schemeClr w14:val="tx1"/>
                  </w14:solidFill>
                </w14:textFill>
              </w:rPr>
              <w:t>其中</w:t>
            </w:r>
            <w:r>
              <w:rPr>
                <w:bCs/>
                <w:color w:val="000000" w:themeColor="text1"/>
                <w14:textFill>
                  <w14:solidFill>
                    <w14:schemeClr w14:val="tx1"/>
                  </w14:solidFill>
                </w14:textFill>
              </w:rPr>
              <w:t>1台</w:t>
            </w:r>
            <w:r>
              <w:rPr>
                <w:rFonts w:hint="eastAsia"/>
                <w:bCs/>
                <w:color w:val="000000" w:themeColor="text1"/>
                <w14:textFill>
                  <w14:solidFill>
                    <w14:schemeClr w14:val="tx1"/>
                  </w14:solidFill>
                </w14:textFill>
              </w:rPr>
              <w:t>1.0</w:t>
            </w:r>
            <w:r>
              <w:rPr>
                <w:bCs/>
                <w:color w:val="000000" w:themeColor="text1"/>
                <w14:textFill>
                  <w14:solidFill>
                    <w14:schemeClr w14:val="tx1"/>
                  </w14:solidFill>
                </w14:textFill>
              </w:rPr>
              <w:t>t/h的蒸汽发生器为</w:t>
            </w:r>
            <w:r>
              <w:rPr>
                <w:rFonts w:hint="eastAsia"/>
                <w:bCs/>
                <w:color w:val="000000" w:themeColor="text1"/>
                <w14:textFill>
                  <w14:solidFill>
                    <w14:schemeClr w14:val="tx1"/>
                  </w14:solidFill>
                </w14:textFill>
              </w:rPr>
              <w:t>年产100吨白酒、200吨啤酒、200吨果酒以及200吨植物饮料生产</w:t>
            </w:r>
            <w:r>
              <w:rPr>
                <w:bCs/>
                <w:color w:val="000000" w:themeColor="text1"/>
                <w14:textFill>
                  <w14:solidFill>
                    <w14:schemeClr w14:val="tx1"/>
                  </w14:solidFill>
                </w14:textFill>
              </w:rPr>
              <w:t>提供需要的蒸汽，</w:t>
            </w:r>
            <w:r>
              <w:rPr>
                <w:rFonts w:hint="eastAsia"/>
                <w:bCs/>
                <w:color w:val="000000" w:themeColor="text1"/>
                <w14:textFill>
                  <w14:solidFill>
                    <w14:schemeClr w14:val="tx1"/>
                  </w14:solidFill>
                </w14:textFill>
              </w:rPr>
              <w:t>1台0.3t/h、1台0.5t/h</w:t>
            </w:r>
            <w:r>
              <w:rPr>
                <w:bCs/>
                <w:color w:val="000000" w:themeColor="text1"/>
                <w14:textFill>
                  <w14:solidFill>
                    <w14:schemeClr w14:val="tx1"/>
                  </w14:solidFill>
                </w14:textFill>
              </w:rPr>
              <w:t>的蒸汽发生器</w:t>
            </w:r>
            <w:r>
              <w:rPr>
                <w:rFonts w:hint="eastAsia"/>
                <w:bCs/>
                <w:color w:val="000000" w:themeColor="text1"/>
                <w14:textFill>
                  <w14:solidFill>
                    <w14:schemeClr w14:val="tx1"/>
                  </w14:solidFill>
                </w14:textFill>
              </w:rPr>
              <w:t>为年产200吨黄酒生产线</w:t>
            </w:r>
            <w:r>
              <w:rPr>
                <w:bCs/>
                <w:color w:val="000000" w:themeColor="text1"/>
                <w14:textFill>
                  <w14:solidFill>
                    <w14:schemeClr w14:val="tx1"/>
                  </w14:solidFill>
                </w14:textFill>
              </w:rPr>
              <w:t>提供需要的蒸汽</w:t>
            </w:r>
            <w:r>
              <w:rPr>
                <w:rFonts w:hint="eastAsia"/>
                <w:bCs/>
                <w:color w:val="000000" w:themeColor="text1"/>
                <w14:textFill>
                  <w14:solidFill>
                    <w14:schemeClr w14:val="tx1"/>
                  </w14:solidFill>
                </w14:textFill>
              </w:rPr>
              <w:t>。</w:t>
            </w:r>
          </w:p>
          <w:p w14:paraId="5B5361DC">
            <w:pPr>
              <w:pStyle w:val="42"/>
              <w:widowControl/>
              <w:adjustRightInd/>
              <w:ind w:firstLine="480"/>
              <w:jc w:val="both"/>
              <w:rPr>
                <w:bCs/>
                <w:color w:val="000000" w:themeColor="text1"/>
                <w14:textFill>
                  <w14:solidFill>
                    <w14:schemeClr w14:val="tx1"/>
                  </w14:solidFill>
                </w14:textFill>
              </w:rPr>
            </w:pPr>
            <w:r>
              <w:rPr>
                <w:bCs/>
                <w:color w:val="000000" w:themeColor="text1"/>
                <w14:textFill>
                  <w14:solidFill>
                    <w14:schemeClr w14:val="tx1"/>
                  </w14:solidFill>
                </w14:textFill>
              </w:rPr>
              <w:t>根据企业提供资料，</w:t>
            </w:r>
            <w:r>
              <w:rPr>
                <w:rFonts w:hint="eastAsia"/>
                <w:bCs/>
                <w:color w:val="000000" w:themeColor="text1"/>
                <w14:textFill>
                  <w14:solidFill>
                    <w14:schemeClr w14:val="tx1"/>
                  </w14:solidFill>
                </w14:textFill>
              </w:rPr>
              <w:t>综合车间内年产100吨白酒生产线</w:t>
            </w:r>
            <w:r>
              <w:rPr>
                <w:bCs/>
                <w:color w:val="000000" w:themeColor="text1"/>
                <w14:textFill>
                  <w14:solidFill>
                    <w14:schemeClr w14:val="tx1"/>
                  </w14:solidFill>
                </w14:textFill>
              </w:rPr>
              <w:t>用蒸汽量约</w:t>
            </w:r>
            <w:r>
              <w:rPr>
                <w:rFonts w:hint="eastAsia"/>
                <w:bCs/>
                <w:color w:val="000000" w:themeColor="text1"/>
                <w14:textFill>
                  <w14:solidFill>
                    <w14:schemeClr w14:val="tx1"/>
                  </w14:solidFill>
                </w14:textFill>
              </w:rPr>
              <w:t>为400</w:t>
            </w:r>
            <w:r>
              <w:rPr>
                <w:bCs/>
                <w:color w:val="000000" w:themeColor="text1"/>
                <w14:textFill>
                  <w14:solidFill>
                    <w14:schemeClr w14:val="tx1"/>
                  </w14:solidFill>
                </w14:textFill>
              </w:rPr>
              <w:t>t/a，</w:t>
            </w:r>
            <w:r>
              <w:rPr>
                <w:rFonts w:hint="eastAsia"/>
                <w:bCs/>
                <w:color w:val="000000" w:themeColor="text1"/>
                <w14:textFill>
                  <w14:solidFill>
                    <w14:schemeClr w14:val="tx1"/>
                  </w14:solidFill>
                </w14:textFill>
              </w:rPr>
              <w:t>年产200吨啤酒生产线</w:t>
            </w:r>
            <w:r>
              <w:rPr>
                <w:bCs/>
                <w:color w:val="000000" w:themeColor="text1"/>
                <w14:textFill>
                  <w14:solidFill>
                    <w14:schemeClr w14:val="tx1"/>
                  </w14:solidFill>
                </w14:textFill>
              </w:rPr>
              <w:t>用蒸汽量约</w:t>
            </w:r>
            <w:r>
              <w:rPr>
                <w:rFonts w:hint="eastAsia"/>
                <w:bCs/>
                <w:color w:val="000000" w:themeColor="text1"/>
                <w14:textFill>
                  <w14:solidFill>
                    <w14:schemeClr w14:val="tx1"/>
                  </w14:solidFill>
                </w14:textFill>
              </w:rPr>
              <w:t>为300</w:t>
            </w:r>
            <w:r>
              <w:rPr>
                <w:bCs/>
                <w:color w:val="000000" w:themeColor="text1"/>
                <w14:textFill>
                  <w14:solidFill>
                    <w14:schemeClr w14:val="tx1"/>
                  </w14:solidFill>
                </w14:textFill>
              </w:rPr>
              <w:t>t/a，</w:t>
            </w:r>
            <w:r>
              <w:rPr>
                <w:rFonts w:hint="eastAsia"/>
                <w:bCs/>
                <w:color w:val="000000" w:themeColor="text1"/>
                <w14:textFill>
                  <w14:solidFill>
                    <w14:schemeClr w14:val="tx1"/>
                  </w14:solidFill>
                </w14:textFill>
              </w:rPr>
              <w:t>年产200吨果酒生产线</w:t>
            </w:r>
            <w:r>
              <w:rPr>
                <w:bCs/>
                <w:color w:val="000000" w:themeColor="text1"/>
                <w14:textFill>
                  <w14:solidFill>
                    <w14:schemeClr w14:val="tx1"/>
                  </w14:solidFill>
                </w14:textFill>
              </w:rPr>
              <w:t>用蒸汽量约</w:t>
            </w:r>
            <w:r>
              <w:rPr>
                <w:rFonts w:hint="eastAsia"/>
                <w:bCs/>
                <w:color w:val="000000" w:themeColor="text1"/>
                <w14:textFill>
                  <w14:solidFill>
                    <w14:schemeClr w14:val="tx1"/>
                  </w14:solidFill>
                </w14:textFill>
              </w:rPr>
              <w:t>为10</w:t>
            </w:r>
            <w:r>
              <w:rPr>
                <w:bCs/>
                <w:color w:val="000000" w:themeColor="text1"/>
                <w14:textFill>
                  <w14:solidFill>
                    <w14:schemeClr w14:val="tx1"/>
                  </w14:solidFill>
                </w14:textFill>
              </w:rPr>
              <w:t>0t/a，</w:t>
            </w:r>
            <w:r>
              <w:rPr>
                <w:rFonts w:hint="eastAsia"/>
                <w:bCs/>
                <w:color w:val="000000" w:themeColor="text1"/>
                <w14:textFill>
                  <w14:solidFill>
                    <w14:schemeClr w14:val="tx1"/>
                  </w14:solidFill>
                </w14:textFill>
              </w:rPr>
              <w:t>年产200吨植物饮料生产线</w:t>
            </w:r>
            <w:r>
              <w:rPr>
                <w:bCs/>
                <w:color w:val="000000" w:themeColor="text1"/>
                <w14:textFill>
                  <w14:solidFill>
                    <w14:schemeClr w14:val="tx1"/>
                  </w14:solidFill>
                </w14:textFill>
              </w:rPr>
              <w:t>用蒸汽量约</w:t>
            </w:r>
            <w:r>
              <w:rPr>
                <w:rFonts w:hint="eastAsia"/>
                <w:bCs/>
                <w:color w:val="000000" w:themeColor="text1"/>
                <w14:textFill>
                  <w14:solidFill>
                    <w14:schemeClr w14:val="tx1"/>
                  </w14:solidFill>
                </w14:textFill>
              </w:rPr>
              <w:t>为300</w:t>
            </w:r>
            <w:r>
              <w:rPr>
                <w:bCs/>
                <w:color w:val="000000" w:themeColor="text1"/>
                <w14:textFill>
                  <w14:solidFill>
                    <w14:schemeClr w14:val="tx1"/>
                  </w14:solidFill>
                </w14:textFill>
              </w:rPr>
              <w:t>t/a，</w:t>
            </w:r>
            <w:r>
              <w:rPr>
                <w:rFonts w:hint="eastAsia"/>
                <w:bCs/>
                <w:color w:val="000000" w:themeColor="text1"/>
                <w14:textFill>
                  <w14:solidFill>
                    <w14:schemeClr w14:val="tx1"/>
                  </w14:solidFill>
                </w14:textFill>
              </w:rPr>
              <w:t>综合车间内蒸汽总用量共计约1100</w:t>
            </w:r>
            <w:r>
              <w:rPr>
                <w:bCs/>
                <w:color w:val="000000" w:themeColor="text1"/>
                <w14:textFill>
                  <w14:solidFill>
                    <w14:schemeClr w14:val="tx1"/>
                  </w14:solidFill>
                </w14:textFill>
              </w:rPr>
              <w:t>t/a</w:t>
            </w:r>
            <w:r>
              <w:rPr>
                <w:rFonts w:hint="eastAsia"/>
                <w:bCs/>
                <w:color w:val="000000" w:themeColor="text1"/>
                <w14:textFill>
                  <w14:solidFill>
                    <w14:schemeClr w14:val="tx1"/>
                  </w14:solidFill>
                </w14:textFill>
              </w:rPr>
              <w:t>；</w:t>
            </w:r>
            <w:r>
              <w:rPr>
                <w:bCs/>
                <w:color w:val="000000" w:themeColor="text1"/>
                <w14:textFill>
                  <w14:solidFill>
                    <w14:schemeClr w14:val="tx1"/>
                  </w14:solidFill>
                </w14:textFill>
              </w:rPr>
              <w:t>1台</w:t>
            </w:r>
            <w:r>
              <w:rPr>
                <w:rFonts w:hint="eastAsia"/>
                <w:bCs/>
                <w:color w:val="000000" w:themeColor="text1"/>
                <w14:textFill>
                  <w14:solidFill>
                    <w14:schemeClr w14:val="tx1"/>
                  </w14:solidFill>
                </w14:textFill>
              </w:rPr>
              <w:t>1.0</w:t>
            </w:r>
            <w:r>
              <w:rPr>
                <w:bCs/>
                <w:color w:val="000000" w:themeColor="text1"/>
                <w14:textFill>
                  <w14:solidFill>
                    <w14:schemeClr w14:val="tx1"/>
                  </w14:solidFill>
                </w14:textFill>
              </w:rPr>
              <w:t>t/h蒸汽发生器</w:t>
            </w:r>
            <w:r>
              <w:rPr>
                <w:rFonts w:hint="eastAsia"/>
                <w:bCs/>
                <w:color w:val="000000" w:themeColor="text1"/>
                <w14:textFill>
                  <w14:solidFill>
                    <w14:schemeClr w14:val="tx1"/>
                  </w14:solidFill>
                </w14:textFill>
              </w:rPr>
              <w:t>每天运行6h，</w:t>
            </w:r>
            <w:r>
              <w:rPr>
                <w:bCs/>
                <w:color w:val="000000" w:themeColor="text1"/>
                <w14:textFill>
                  <w14:solidFill>
                    <w14:schemeClr w14:val="tx1"/>
                  </w14:solidFill>
                </w14:textFill>
              </w:rPr>
              <w:t>年运行时间约为</w:t>
            </w:r>
            <w:r>
              <w:rPr>
                <w:rFonts w:hint="eastAsia"/>
                <w:bCs/>
                <w:color w:val="000000" w:themeColor="text1"/>
                <w14:textFill>
                  <w14:solidFill>
                    <w14:schemeClr w14:val="tx1"/>
                  </w14:solidFill>
                </w14:textFill>
              </w:rPr>
              <w:t>228d</w:t>
            </w:r>
            <w:r>
              <w:rPr>
                <w:bCs/>
                <w:color w:val="000000" w:themeColor="text1"/>
                <w14:textFill>
                  <w14:solidFill>
                    <w14:schemeClr w14:val="tx1"/>
                  </w14:solidFill>
                </w14:textFill>
              </w:rPr>
              <w:t>/a，</w:t>
            </w:r>
            <w:r>
              <w:rPr>
                <w:rFonts w:hint="eastAsia"/>
                <w:bCs/>
                <w:color w:val="000000" w:themeColor="text1"/>
                <w14:textFill>
                  <w14:solidFill>
                    <w14:schemeClr w14:val="tx1"/>
                  </w14:solidFill>
                </w14:textFill>
              </w:rPr>
              <w:t>因此，可以满足综合车间年</w:t>
            </w:r>
            <w:r>
              <w:rPr>
                <w:bCs/>
                <w:color w:val="000000" w:themeColor="text1"/>
                <w14:textFill>
                  <w14:solidFill>
                    <w14:schemeClr w14:val="tx1"/>
                  </w14:solidFill>
                </w14:textFill>
              </w:rPr>
              <w:t>产生蒸汽</w:t>
            </w:r>
            <w:r>
              <w:rPr>
                <w:rFonts w:hint="eastAsia"/>
                <w:bCs/>
                <w:color w:val="000000" w:themeColor="text1"/>
                <w14:textFill>
                  <w14:solidFill>
                    <w14:schemeClr w14:val="tx1"/>
                  </w14:solidFill>
                </w14:textFill>
              </w:rPr>
              <w:t>1100</w:t>
            </w:r>
            <w:r>
              <w:rPr>
                <w:bCs/>
                <w:color w:val="000000" w:themeColor="text1"/>
                <w14:textFill>
                  <w14:solidFill>
                    <w14:schemeClr w14:val="tx1"/>
                  </w14:solidFill>
                </w14:textFill>
              </w:rPr>
              <w:t>t/a。该部分蒸汽管道蒸发耗散约1</w:t>
            </w:r>
            <w:r>
              <w:rPr>
                <w:rFonts w:hint="eastAsia"/>
                <w:bCs/>
                <w:color w:val="000000" w:themeColor="text1"/>
                <w14:textFill>
                  <w14:solidFill>
                    <w14:schemeClr w14:val="tx1"/>
                  </w14:solidFill>
                </w14:textFill>
              </w:rPr>
              <w:t>0</w:t>
            </w:r>
            <w:r>
              <w:rPr>
                <w:bCs/>
                <w:color w:val="000000" w:themeColor="text1"/>
                <w14:textFill>
                  <w14:solidFill>
                    <w14:schemeClr w14:val="tx1"/>
                  </w14:solidFill>
                </w14:textFill>
              </w:rPr>
              <w:t>%，产生蒸汽冷凝水约</w:t>
            </w:r>
            <w:r>
              <w:rPr>
                <w:rFonts w:hint="eastAsia"/>
                <w:bCs/>
                <w:color w:val="000000" w:themeColor="text1"/>
                <w14:textFill>
                  <w14:solidFill>
                    <w14:schemeClr w14:val="tx1"/>
                  </w14:solidFill>
                </w14:textFill>
              </w:rPr>
              <w:t>843.389</w:t>
            </w:r>
            <w:r>
              <w:rPr>
                <w:bCs/>
                <w:color w:val="000000" w:themeColor="text1"/>
                <w14:textFill>
                  <w14:solidFill>
                    <w14:schemeClr w14:val="tx1"/>
                  </w14:solidFill>
                </w14:textFill>
              </w:rPr>
              <w:t>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/a回用于</w:t>
            </w:r>
            <w:r>
              <w:rPr>
                <w:rFonts w:hint="eastAsia"/>
                <w:bCs/>
                <w:color w:val="000000" w:themeColor="text1"/>
                <w14:textFill>
                  <w14:solidFill>
                    <w14:schemeClr w14:val="tx1"/>
                  </w14:solidFill>
                </w14:textFill>
              </w:rPr>
              <w:t>1.0</w:t>
            </w:r>
            <w:r>
              <w:rPr>
                <w:bCs/>
                <w:color w:val="000000" w:themeColor="text1"/>
                <w14:textFill>
                  <w14:solidFill>
                    <w14:schemeClr w14:val="tx1"/>
                  </w14:solidFill>
                </w14:textFill>
              </w:rPr>
              <w:t>t/h蒸汽发生器。</w:t>
            </w:r>
          </w:p>
          <w:tbl>
            <w:tblPr>
              <w:tblStyle w:val="2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516"/>
            </w:tblGrid>
            <w:tr w14:paraId="2DECF9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516" w:type="dxa"/>
                  <w:vAlign w:val="center"/>
                </w:tcPr>
                <w:p w14:paraId="134BEB40">
                  <w:pPr>
                    <w:pStyle w:val="42"/>
                    <w:widowControl/>
                    <w:adjustRightInd/>
                    <w:spacing w:line="240" w:lineRule="auto"/>
                    <w:ind w:firstLine="0" w:firstLineChars="0"/>
                    <w:jc w:val="center"/>
                    <w:rPr>
                      <w:bCs/>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900420" cy="5033645"/>
                        <wp:effectExtent l="0" t="0" r="5080" b="1460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20"/>
                                <a:stretch>
                                  <a:fillRect/>
                                </a:stretch>
                              </pic:blipFill>
                              <pic:spPr>
                                <a:xfrm>
                                  <a:off x="0" y="0"/>
                                  <a:ext cx="5900420" cy="5033645"/>
                                </a:xfrm>
                                <a:prstGeom prst="rect">
                                  <a:avLst/>
                                </a:prstGeom>
                                <a:noFill/>
                                <a:ln>
                                  <a:noFill/>
                                </a:ln>
                              </pic:spPr>
                            </pic:pic>
                          </a:graphicData>
                        </a:graphic>
                      </wp:inline>
                    </w:drawing>
                  </w:r>
                </w:p>
              </w:tc>
            </w:tr>
            <w:tr w14:paraId="5C8C41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516" w:type="dxa"/>
                  <w:vAlign w:val="center"/>
                </w:tcPr>
                <w:p w14:paraId="7D8BCDF6">
                  <w:pPr>
                    <w:pStyle w:val="42"/>
                    <w:widowControl/>
                    <w:adjustRightInd/>
                    <w:spacing w:line="240" w:lineRule="auto"/>
                    <w:ind w:firstLine="0" w:firstLineChars="0"/>
                    <w:jc w:val="center"/>
                    <w:rPr>
                      <w:bCs/>
                      <w:color w:val="000000" w:themeColor="text1"/>
                      <w14:textFill>
                        <w14:solidFill>
                          <w14:schemeClr w14:val="tx1"/>
                        </w14:solidFill>
                      </w14:textFill>
                    </w:rPr>
                  </w:pPr>
                  <w:r>
                    <w:rPr>
                      <w:rFonts w:hint="eastAsia"/>
                      <w:b/>
                      <w:color w:val="000000" w:themeColor="text1"/>
                      <w14:textFill>
                        <w14:solidFill>
                          <w14:schemeClr w14:val="tx1"/>
                        </w14:solidFill>
                      </w14:textFill>
                    </w:rPr>
                    <w:t>图2-1  综合车间总蒸汽平衡  t/a</w:t>
                  </w:r>
                </w:p>
              </w:tc>
            </w:tr>
            <w:tr w14:paraId="036EA2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516" w:type="dxa"/>
                  <w:vAlign w:val="center"/>
                </w:tcPr>
                <w:p w14:paraId="21CC1744">
                  <w:pPr>
                    <w:pStyle w:val="42"/>
                    <w:widowControl/>
                    <w:adjustRightInd/>
                    <w:spacing w:line="240" w:lineRule="auto"/>
                    <w:ind w:firstLine="0" w:firstLineChars="0"/>
                    <w:jc w:val="center"/>
                    <w:rPr>
                      <w:bCs/>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45785" cy="5590540"/>
                        <wp:effectExtent l="0" t="0" r="12065" b="10160"/>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21"/>
                                <a:stretch>
                                  <a:fillRect/>
                                </a:stretch>
                              </pic:blipFill>
                              <pic:spPr>
                                <a:xfrm>
                                  <a:off x="0" y="0"/>
                                  <a:ext cx="5645785" cy="5590540"/>
                                </a:xfrm>
                                <a:prstGeom prst="rect">
                                  <a:avLst/>
                                </a:prstGeom>
                                <a:noFill/>
                                <a:ln>
                                  <a:noFill/>
                                </a:ln>
                              </pic:spPr>
                            </pic:pic>
                          </a:graphicData>
                        </a:graphic>
                      </wp:inline>
                    </w:drawing>
                  </w:r>
                </w:p>
              </w:tc>
            </w:tr>
            <w:tr w14:paraId="1786C9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516" w:type="dxa"/>
                  <w:vAlign w:val="center"/>
                </w:tcPr>
                <w:p w14:paraId="079E29AF">
                  <w:pPr>
                    <w:pStyle w:val="42"/>
                    <w:widowControl/>
                    <w:adjustRightInd/>
                    <w:spacing w:line="240" w:lineRule="auto"/>
                    <w:ind w:firstLine="0" w:firstLineChars="0"/>
                    <w:jc w:val="center"/>
                    <w:rPr>
                      <w:bCs/>
                      <w:color w:val="000000" w:themeColor="text1"/>
                      <w14:textFill>
                        <w14:solidFill>
                          <w14:schemeClr w14:val="tx1"/>
                        </w14:solidFill>
                      </w14:textFill>
                    </w:rPr>
                  </w:pPr>
                  <w:r>
                    <w:rPr>
                      <w:rFonts w:hint="eastAsia"/>
                      <w:b/>
                      <w:color w:val="000000" w:themeColor="text1"/>
                      <w14:textFill>
                        <w14:solidFill>
                          <w14:schemeClr w14:val="tx1"/>
                        </w14:solidFill>
                      </w14:textFill>
                    </w:rPr>
                    <w:t>图2-2  综合车间小时最大量蒸汽平衡  t/h</w:t>
                  </w:r>
                </w:p>
              </w:tc>
            </w:tr>
          </w:tbl>
          <w:p w14:paraId="18AEB2EC">
            <w:pPr>
              <w:pStyle w:val="42"/>
              <w:widowControl/>
              <w:adjustRightInd/>
              <w:ind w:firstLine="480"/>
              <w:jc w:val="both"/>
              <w:rPr>
                <w:bCs/>
                <w:color w:val="000000" w:themeColor="text1"/>
                <w14:textFill>
                  <w14:solidFill>
                    <w14:schemeClr w14:val="tx1"/>
                  </w14:solidFill>
                </w14:textFill>
              </w:rPr>
            </w:pPr>
            <w:r>
              <w:rPr>
                <w:rFonts w:hint="eastAsia"/>
                <w:bCs/>
                <w:color w:val="000000" w:themeColor="text1"/>
                <w14:textFill>
                  <w14:solidFill>
                    <w14:schemeClr w14:val="tx1"/>
                  </w14:solidFill>
                </w14:textFill>
              </w:rPr>
              <w:t>黄酒生产车间内年产200吨黄酒生产线</w:t>
            </w:r>
            <w:r>
              <w:rPr>
                <w:bCs/>
                <w:color w:val="000000" w:themeColor="text1"/>
                <w14:textFill>
                  <w14:solidFill>
                    <w14:schemeClr w14:val="tx1"/>
                  </w14:solidFill>
                </w14:textFill>
              </w:rPr>
              <w:t>用蒸汽量约</w:t>
            </w:r>
            <w:r>
              <w:rPr>
                <w:rFonts w:hint="eastAsia"/>
                <w:bCs/>
                <w:color w:val="000000" w:themeColor="text1"/>
                <w14:textFill>
                  <w14:solidFill>
                    <w14:schemeClr w14:val="tx1"/>
                  </w14:solidFill>
                </w14:textFill>
              </w:rPr>
              <w:t>为6</w:t>
            </w:r>
            <w:r>
              <w:rPr>
                <w:bCs/>
                <w:color w:val="000000" w:themeColor="text1"/>
                <w14:textFill>
                  <w14:solidFill>
                    <w14:schemeClr w14:val="tx1"/>
                  </w14:solidFill>
                </w14:textFill>
              </w:rPr>
              <w:t>00t/a</w:t>
            </w:r>
            <w:r>
              <w:rPr>
                <w:rFonts w:hint="eastAsia"/>
                <w:bCs/>
                <w:color w:val="000000" w:themeColor="text1"/>
                <w14:textFill>
                  <w14:solidFill>
                    <w14:schemeClr w14:val="tx1"/>
                  </w14:solidFill>
                </w14:textFill>
              </w:rPr>
              <w:t>；1台0.5t/h、</w:t>
            </w:r>
            <w:r>
              <w:rPr>
                <w:bCs/>
                <w:color w:val="000000" w:themeColor="text1"/>
                <w14:textFill>
                  <w14:solidFill>
                    <w14:schemeClr w14:val="tx1"/>
                  </w14:solidFill>
                </w14:textFill>
              </w:rPr>
              <w:t>1台</w:t>
            </w:r>
            <w:r>
              <w:rPr>
                <w:rFonts w:hint="eastAsia"/>
                <w:bCs/>
                <w:color w:val="000000" w:themeColor="text1"/>
                <w14:textFill>
                  <w14:solidFill>
                    <w14:schemeClr w14:val="tx1"/>
                  </w14:solidFill>
                </w14:textFill>
              </w:rPr>
              <w:t>0.3t/h</w:t>
            </w:r>
            <w:r>
              <w:rPr>
                <w:bCs/>
                <w:color w:val="000000" w:themeColor="text1"/>
                <w14:textFill>
                  <w14:solidFill>
                    <w14:schemeClr w14:val="tx1"/>
                  </w14:solidFill>
                </w14:textFill>
              </w:rPr>
              <w:t>蒸汽发生器</w:t>
            </w:r>
            <w:r>
              <w:rPr>
                <w:rFonts w:hint="eastAsia"/>
                <w:bCs/>
                <w:color w:val="000000" w:themeColor="text1"/>
                <w14:textFill>
                  <w14:solidFill>
                    <w14:schemeClr w14:val="tx1"/>
                  </w14:solidFill>
                </w14:textFill>
              </w:rPr>
              <w:t>分别为黄酒车间蒸煮工序、杀菌工序提供蒸汽；1台0.5t/h、</w:t>
            </w:r>
            <w:r>
              <w:rPr>
                <w:bCs/>
                <w:color w:val="000000" w:themeColor="text1"/>
                <w14:textFill>
                  <w14:solidFill>
                    <w14:schemeClr w14:val="tx1"/>
                  </w14:solidFill>
                </w14:textFill>
              </w:rPr>
              <w:t>1台</w:t>
            </w:r>
            <w:r>
              <w:rPr>
                <w:rFonts w:hint="eastAsia"/>
                <w:bCs/>
                <w:color w:val="000000" w:themeColor="text1"/>
                <w14:textFill>
                  <w14:solidFill>
                    <w14:schemeClr w14:val="tx1"/>
                  </w14:solidFill>
                </w14:textFill>
              </w:rPr>
              <w:t>0.3t/h</w:t>
            </w:r>
            <w:r>
              <w:rPr>
                <w:bCs/>
                <w:color w:val="000000" w:themeColor="text1"/>
                <w14:textFill>
                  <w14:solidFill>
                    <w14:schemeClr w14:val="tx1"/>
                  </w14:solidFill>
                </w14:textFill>
              </w:rPr>
              <w:t>蒸汽发生器</w:t>
            </w:r>
            <w:r>
              <w:rPr>
                <w:rFonts w:hint="eastAsia"/>
                <w:bCs/>
                <w:color w:val="000000" w:themeColor="text1"/>
                <w14:textFill>
                  <w14:solidFill>
                    <w14:schemeClr w14:val="tx1"/>
                  </w14:solidFill>
                </w14:textFill>
              </w:rPr>
              <w:t>每天运行4h，</w:t>
            </w:r>
            <w:r>
              <w:rPr>
                <w:bCs/>
                <w:color w:val="000000" w:themeColor="text1"/>
                <w14:textFill>
                  <w14:solidFill>
                    <w14:schemeClr w14:val="tx1"/>
                  </w14:solidFill>
                </w14:textFill>
              </w:rPr>
              <w:t>年运行时间约为</w:t>
            </w:r>
            <w:r>
              <w:rPr>
                <w:rFonts w:hint="eastAsia"/>
                <w:bCs/>
                <w:color w:val="000000" w:themeColor="text1"/>
                <w14:textFill>
                  <w14:solidFill>
                    <w14:schemeClr w14:val="tx1"/>
                  </w14:solidFill>
                </w14:textFill>
              </w:rPr>
              <w:t>228d</w:t>
            </w:r>
            <w:r>
              <w:rPr>
                <w:bCs/>
                <w:color w:val="000000" w:themeColor="text1"/>
                <w14:textFill>
                  <w14:solidFill>
                    <w14:schemeClr w14:val="tx1"/>
                  </w14:solidFill>
                </w14:textFill>
              </w:rPr>
              <w:t>/a，</w:t>
            </w:r>
            <w:r>
              <w:rPr>
                <w:rFonts w:hint="eastAsia"/>
                <w:bCs/>
                <w:color w:val="000000" w:themeColor="text1"/>
                <w14:textFill>
                  <w14:solidFill>
                    <w14:schemeClr w14:val="tx1"/>
                  </w14:solidFill>
                </w14:textFill>
              </w:rPr>
              <w:t>因此，可以满足黄酒车间年</w:t>
            </w:r>
            <w:r>
              <w:rPr>
                <w:bCs/>
                <w:color w:val="000000" w:themeColor="text1"/>
                <w14:textFill>
                  <w14:solidFill>
                    <w14:schemeClr w14:val="tx1"/>
                  </w14:solidFill>
                </w14:textFill>
              </w:rPr>
              <w:t>产生蒸汽</w:t>
            </w:r>
            <w:r>
              <w:rPr>
                <w:rFonts w:hint="eastAsia"/>
                <w:bCs/>
                <w:color w:val="000000" w:themeColor="text1"/>
                <w14:textFill>
                  <w14:solidFill>
                    <w14:schemeClr w14:val="tx1"/>
                  </w14:solidFill>
                </w14:textFill>
              </w:rPr>
              <w:t>600</w:t>
            </w:r>
            <w:r>
              <w:rPr>
                <w:bCs/>
                <w:color w:val="000000" w:themeColor="text1"/>
                <w14:textFill>
                  <w14:solidFill>
                    <w14:schemeClr w14:val="tx1"/>
                  </w14:solidFill>
                </w14:textFill>
              </w:rPr>
              <w:t>t/a。该部分蒸汽管道蒸发耗散约1</w:t>
            </w:r>
            <w:r>
              <w:rPr>
                <w:rFonts w:hint="eastAsia"/>
                <w:bCs/>
                <w:color w:val="000000" w:themeColor="text1"/>
                <w14:textFill>
                  <w14:solidFill>
                    <w14:schemeClr w14:val="tx1"/>
                  </w14:solidFill>
                </w14:textFill>
              </w:rPr>
              <w:t>0</w:t>
            </w:r>
            <w:r>
              <w:rPr>
                <w:bCs/>
                <w:color w:val="000000" w:themeColor="text1"/>
                <w14:textFill>
                  <w14:solidFill>
                    <w14:schemeClr w14:val="tx1"/>
                  </w14:solidFill>
                </w14:textFill>
              </w:rPr>
              <w:t>%，产生蒸汽冷凝水约</w:t>
            </w:r>
            <w:r>
              <w:rPr>
                <w:rFonts w:hint="eastAsia"/>
                <w:bCs/>
                <w:color w:val="000000" w:themeColor="text1"/>
                <w14:textFill>
                  <w14:solidFill>
                    <w14:schemeClr w14:val="tx1"/>
                  </w14:solidFill>
                </w14:textFill>
              </w:rPr>
              <w:t>5</w:t>
            </w:r>
            <w:r>
              <w:rPr>
                <w:rFonts w:hint="eastAsia"/>
                <w:bCs/>
                <w:color w:val="000000" w:themeColor="text1"/>
                <w:lang w:val="en-US" w:eastAsia="zh-CN"/>
                <w14:textFill>
                  <w14:solidFill>
                    <w14:schemeClr w14:val="tx1"/>
                  </w14:solidFill>
                </w14:textFill>
              </w:rPr>
              <w:t>4</w:t>
            </w:r>
            <w:r>
              <w:rPr>
                <w:rFonts w:hint="eastAsia"/>
                <w:bCs/>
                <w:color w:val="000000" w:themeColor="text1"/>
                <w14:textFill>
                  <w14:solidFill>
                    <w14:schemeClr w14:val="tx1"/>
                  </w14:solidFill>
                </w14:textFill>
              </w:rPr>
              <w:t>0</w:t>
            </w:r>
            <w:r>
              <w:rPr>
                <w:bCs/>
                <w:color w:val="000000" w:themeColor="text1"/>
                <w14:textFill>
                  <w14:solidFill>
                    <w14:schemeClr w14:val="tx1"/>
                  </w14:solidFill>
                </w14:textFill>
              </w:rPr>
              <w:t>m</w:t>
            </w:r>
            <w:r>
              <w:rPr>
                <w:bCs/>
                <w:color w:val="000000" w:themeColor="text1"/>
                <w:vertAlign w:val="superscript"/>
                <w14:textFill>
                  <w14:solidFill>
                    <w14:schemeClr w14:val="tx1"/>
                  </w14:solidFill>
                </w14:textFill>
              </w:rPr>
              <w:t>3</w:t>
            </w:r>
            <w:r>
              <w:rPr>
                <w:bCs/>
                <w:color w:val="000000" w:themeColor="text1"/>
                <w14:textFill>
                  <w14:solidFill>
                    <w14:schemeClr w14:val="tx1"/>
                  </w14:solidFill>
                </w14:textFill>
              </w:rPr>
              <w:t>/a</w:t>
            </w:r>
            <w:r>
              <w:rPr>
                <w:bCs/>
                <w:color w:val="000000" w:themeColor="text1"/>
                <w14:textFill>
                  <w14:solidFill>
                    <w14:schemeClr w14:val="tx1"/>
                  </w14:solidFill>
                </w14:textFill>
              </w:rPr>
              <w:t>回用于</w:t>
            </w:r>
            <w:r>
              <w:rPr>
                <w:rFonts w:hint="eastAsia"/>
                <w:bCs/>
                <w:color w:val="000000" w:themeColor="text1"/>
                <w14:textFill>
                  <w14:solidFill>
                    <w14:schemeClr w14:val="tx1"/>
                  </w14:solidFill>
                </w14:textFill>
              </w:rPr>
              <w:t>1台0.5t/h、</w:t>
            </w:r>
            <w:r>
              <w:rPr>
                <w:bCs/>
                <w:color w:val="000000" w:themeColor="text1"/>
                <w14:textFill>
                  <w14:solidFill>
                    <w14:schemeClr w14:val="tx1"/>
                  </w14:solidFill>
                </w14:textFill>
              </w:rPr>
              <w:t>1台</w:t>
            </w:r>
            <w:r>
              <w:rPr>
                <w:rFonts w:hint="eastAsia"/>
                <w:bCs/>
                <w:color w:val="000000" w:themeColor="text1"/>
                <w14:textFill>
                  <w14:solidFill>
                    <w14:schemeClr w14:val="tx1"/>
                  </w14:solidFill>
                </w14:textFill>
              </w:rPr>
              <w:t>0.3t/h</w:t>
            </w:r>
            <w:r>
              <w:rPr>
                <w:bCs/>
                <w:color w:val="000000" w:themeColor="text1"/>
                <w14:textFill>
                  <w14:solidFill>
                    <w14:schemeClr w14:val="tx1"/>
                  </w14:solidFill>
                </w14:textFill>
              </w:rPr>
              <w:t>蒸汽发生器。</w:t>
            </w:r>
          </w:p>
          <w:tbl>
            <w:tblPr>
              <w:tblStyle w:val="2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407"/>
            </w:tblGrid>
            <w:tr w14:paraId="5D3A6D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407" w:type="dxa"/>
                  <w:vAlign w:val="center"/>
                </w:tcPr>
                <w:p w14:paraId="56BD6358">
                  <w:pPr>
                    <w:pStyle w:val="42"/>
                    <w:widowControl/>
                    <w:adjustRightInd/>
                    <w:spacing w:line="240" w:lineRule="auto"/>
                    <w:ind w:firstLine="0" w:firstLineChars="0"/>
                    <w:jc w:val="center"/>
                    <w:rPr>
                      <w:bCs/>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303520" cy="1816100"/>
                        <wp:effectExtent l="0" t="0" r="11430" b="12700"/>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22"/>
                                <a:srcRect t="9430" b="6503"/>
                                <a:stretch>
                                  <a:fillRect/>
                                </a:stretch>
                              </pic:blipFill>
                              <pic:spPr>
                                <a:xfrm>
                                  <a:off x="0" y="0"/>
                                  <a:ext cx="5303520" cy="1816100"/>
                                </a:xfrm>
                                <a:prstGeom prst="rect">
                                  <a:avLst/>
                                </a:prstGeom>
                                <a:noFill/>
                                <a:ln>
                                  <a:noFill/>
                                </a:ln>
                              </pic:spPr>
                            </pic:pic>
                          </a:graphicData>
                        </a:graphic>
                      </wp:inline>
                    </w:drawing>
                  </w:r>
                </w:p>
              </w:tc>
            </w:tr>
            <w:tr w14:paraId="11B825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407" w:type="dxa"/>
                  <w:vAlign w:val="center"/>
                </w:tcPr>
                <w:p w14:paraId="7C9B946F">
                  <w:pPr>
                    <w:pStyle w:val="42"/>
                    <w:widowControl/>
                    <w:adjustRightInd/>
                    <w:spacing w:line="240" w:lineRule="auto"/>
                    <w:ind w:firstLine="0" w:firstLineChars="0"/>
                    <w:jc w:val="center"/>
                    <w:rPr>
                      <w:bCs/>
                      <w:color w:val="000000" w:themeColor="text1"/>
                      <w14:textFill>
                        <w14:solidFill>
                          <w14:schemeClr w14:val="tx1"/>
                        </w14:solidFill>
                      </w14:textFill>
                    </w:rPr>
                  </w:pPr>
                  <w:r>
                    <w:rPr>
                      <w:rFonts w:hint="eastAsia"/>
                      <w:b/>
                      <w:color w:val="000000" w:themeColor="text1"/>
                      <w14:textFill>
                        <w14:solidFill>
                          <w14:schemeClr w14:val="tx1"/>
                        </w14:solidFill>
                      </w14:textFill>
                    </w:rPr>
                    <w:t>图2-3  黄酒车间总蒸汽平衡  t/a</w:t>
                  </w:r>
                </w:p>
              </w:tc>
            </w:tr>
            <w:tr w14:paraId="2B2188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407" w:type="dxa"/>
                  <w:vAlign w:val="center"/>
                </w:tcPr>
                <w:p w14:paraId="6648E40A">
                  <w:pPr>
                    <w:pStyle w:val="42"/>
                    <w:widowControl/>
                    <w:adjustRightInd/>
                    <w:spacing w:line="240" w:lineRule="auto"/>
                    <w:ind w:firstLine="0" w:firstLineChars="0"/>
                    <w:jc w:val="center"/>
                    <w:rPr>
                      <w:bCs/>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533390" cy="2214880"/>
                        <wp:effectExtent l="0" t="0" r="10160" b="13970"/>
                        <wp:docPr id="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3"/>
                                <pic:cNvPicPr>
                                  <a:picLocks noChangeAspect="1"/>
                                </pic:cNvPicPr>
                              </pic:nvPicPr>
                              <pic:blipFill>
                                <a:blip r:embed="rId23"/>
                                <a:stretch>
                                  <a:fillRect/>
                                </a:stretch>
                              </pic:blipFill>
                              <pic:spPr>
                                <a:xfrm>
                                  <a:off x="0" y="0"/>
                                  <a:ext cx="5533390" cy="2214880"/>
                                </a:xfrm>
                                <a:prstGeom prst="rect">
                                  <a:avLst/>
                                </a:prstGeom>
                                <a:noFill/>
                                <a:ln>
                                  <a:noFill/>
                                </a:ln>
                              </pic:spPr>
                            </pic:pic>
                          </a:graphicData>
                        </a:graphic>
                      </wp:inline>
                    </w:drawing>
                  </w:r>
                </w:p>
              </w:tc>
            </w:tr>
            <w:tr w14:paraId="2C15F8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407" w:type="dxa"/>
                  <w:vAlign w:val="center"/>
                </w:tcPr>
                <w:p w14:paraId="05A0153F">
                  <w:pPr>
                    <w:pStyle w:val="42"/>
                    <w:widowControl/>
                    <w:adjustRightInd/>
                    <w:spacing w:line="240" w:lineRule="auto"/>
                    <w:ind w:firstLine="0" w:firstLineChars="0"/>
                    <w:jc w:val="center"/>
                    <w:rPr>
                      <w:bCs/>
                      <w:color w:val="000000" w:themeColor="text1"/>
                      <w14:textFill>
                        <w14:solidFill>
                          <w14:schemeClr w14:val="tx1"/>
                        </w14:solidFill>
                      </w14:textFill>
                    </w:rPr>
                  </w:pPr>
                  <w:r>
                    <w:rPr>
                      <w:rFonts w:hint="eastAsia"/>
                      <w:b/>
                      <w:color w:val="000000" w:themeColor="text1"/>
                      <w14:textFill>
                        <w14:solidFill>
                          <w14:schemeClr w14:val="tx1"/>
                        </w14:solidFill>
                      </w14:textFill>
                    </w:rPr>
                    <w:t>图2-4  黄酒车间0.3t/h蒸汽发生器小时最大量蒸汽平衡  t/a</w:t>
                  </w:r>
                </w:p>
              </w:tc>
            </w:tr>
            <w:tr w14:paraId="77426B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407" w:type="dxa"/>
                  <w:vAlign w:val="center"/>
                </w:tcPr>
                <w:p w14:paraId="3313F21C">
                  <w:pPr>
                    <w:pStyle w:val="42"/>
                    <w:widowControl/>
                    <w:adjustRightInd/>
                    <w:spacing w:line="240" w:lineRule="auto"/>
                    <w:ind w:firstLine="0" w:firstLineChars="0"/>
                    <w:jc w:val="center"/>
                    <w:rPr>
                      <w:b/>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574030" cy="1991360"/>
                        <wp:effectExtent l="0" t="0" r="7620" b="8890"/>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24"/>
                                <a:stretch>
                                  <a:fillRect/>
                                </a:stretch>
                              </pic:blipFill>
                              <pic:spPr>
                                <a:xfrm>
                                  <a:off x="0" y="0"/>
                                  <a:ext cx="5574030" cy="1991360"/>
                                </a:xfrm>
                                <a:prstGeom prst="rect">
                                  <a:avLst/>
                                </a:prstGeom>
                                <a:noFill/>
                                <a:ln>
                                  <a:noFill/>
                                </a:ln>
                              </pic:spPr>
                            </pic:pic>
                          </a:graphicData>
                        </a:graphic>
                      </wp:inline>
                    </w:drawing>
                  </w:r>
                </w:p>
              </w:tc>
            </w:tr>
            <w:tr w14:paraId="4B1225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407" w:type="dxa"/>
                  <w:vAlign w:val="center"/>
                </w:tcPr>
                <w:p w14:paraId="4189A1BD">
                  <w:pPr>
                    <w:pStyle w:val="42"/>
                    <w:widowControl/>
                    <w:adjustRightInd/>
                    <w:spacing w:line="240" w:lineRule="auto"/>
                    <w:ind w:firstLine="0" w:firstLineChars="0"/>
                    <w:jc w:val="center"/>
                    <w:rPr>
                      <w:b/>
                      <w:color w:val="000000" w:themeColor="text1"/>
                      <w14:textFill>
                        <w14:solidFill>
                          <w14:schemeClr w14:val="tx1"/>
                        </w14:solidFill>
                      </w14:textFill>
                    </w:rPr>
                  </w:pPr>
                  <w:r>
                    <w:rPr>
                      <w:rFonts w:hint="eastAsia"/>
                      <w:b/>
                      <w:color w:val="000000" w:themeColor="text1"/>
                      <w14:textFill>
                        <w14:solidFill>
                          <w14:schemeClr w14:val="tx1"/>
                        </w14:solidFill>
                      </w14:textFill>
                    </w:rPr>
                    <w:t>图2-5  黄酒车间0.5t/h蒸汽发生器小时最大量蒸汽平衡  t/a</w:t>
                  </w:r>
                </w:p>
              </w:tc>
            </w:tr>
          </w:tbl>
          <w:p w14:paraId="4F7D8ADD">
            <w:pPr>
              <w:pStyle w:val="42"/>
              <w:widowControl/>
              <w:adjustRightInd/>
              <w:ind w:firstLine="482"/>
              <w:jc w:val="both"/>
              <w:rPr>
                <w:b/>
                <w:color w:val="000000" w:themeColor="text1"/>
                <w14:textFill>
                  <w14:solidFill>
                    <w14:schemeClr w14:val="tx1"/>
                  </w14:solidFill>
                </w14:textFill>
              </w:rPr>
            </w:pPr>
            <w:r>
              <w:rPr>
                <w:b/>
                <w:color w:val="000000" w:themeColor="text1"/>
                <w14:textFill>
                  <w14:solidFill>
                    <w14:schemeClr w14:val="tx1"/>
                  </w14:solidFill>
                </w14:textFill>
              </w:rPr>
              <w:t>5、主要原辅材料及能源消耗</w:t>
            </w:r>
          </w:p>
          <w:p w14:paraId="6D3F6943">
            <w:pPr>
              <w:pStyle w:val="24"/>
              <w:spacing w:line="360" w:lineRule="auto"/>
              <w:ind w:firstLine="0" w:firstLineChars="0"/>
              <w:jc w:val="center"/>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表2-</w:t>
            </w:r>
            <w:r>
              <w:rPr>
                <w:rFonts w:hint="eastAsia" w:ascii="Times New Roman" w:hAnsi="Times New Roman"/>
                <w:b/>
                <w:color w:val="000000" w:themeColor="text1"/>
                <w:sz w:val="24"/>
                <w14:textFill>
                  <w14:solidFill>
                    <w14:schemeClr w14:val="tx1"/>
                  </w14:solidFill>
                </w14:textFill>
              </w:rPr>
              <w:t xml:space="preserve">12  </w:t>
            </w:r>
            <w:r>
              <w:rPr>
                <w:rFonts w:ascii="Times New Roman" w:hAnsi="Times New Roman"/>
                <w:b/>
                <w:color w:val="000000" w:themeColor="text1"/>
                <w:sz w:val="24"/>
                <w14:textFill>
                  <w14:solidFill>
                    <w14:schemeClr w14:val="tx1"/>
                  </w14:solidFill>
                </w14:textFill>
              </w:rPr>
              <w:t>项目主要原辅材料及能源消耗一览表</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0"/>
              <w:gridCol w:w="1263"/>
              <w:gridCol w:w="1021"/>
              <w:gridCol w:w="893"/>
              <w:gridCol w:w="2283"/>
              <w:gridCol w:w="1177"/>
              <w:gridCol w:w="2180"/>
            </w:tblGrid>
            <w:tr w14:paraId="65469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309" w:type="pct"/>
                  <w:vAlign w:val="center"/>
                </w:tcPr>
                <w:p w14:paraId="75162971">
                  <w:pPr>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672" w:type="pct"/>
                  <w:shd w:val="clear" w:color="auto" w:fill="auto"/>
                  <w:vAlign w:val="center"/>
                </w:tcPr>
                <w:p w14:paraId="706F62EF">
                  <w:pPr>
                    <w:pStyle w:val="31"/>
                    <w:rPr>
                      <w:color w:val="000000" w:themeColor="text1"/>
                      <w14:textFill>
                        <w14:solidFill>
                          <w14:schemeClr w14:val="tx1"/>
                        </w14:solidFill>
                      </w14:textFill>
                    </w:rPr>
                  </w:pPr>
                  <w:r>
                    <w:rPr>
                      <w:color w:val="000000" w:themeColor="text1"/>
                      <w14:textFill>
                        <w14:solidFill>
                          <w14:schemeClr w14:val="tx1"/>
                        </w14:solidFill>
                      </w14:textFill>
                    </w:rPr>
                    <w:t>原辅料名称</w:t>
                  </w:r>
                </w:p>
              </w:tc>
              <w:tc>
                <w:tcPr>
                  <w:tcW w:w="543" w:type="pct"/>
                  <w:shd w:val="clear" w:color="auto" w:fill="auto"/>
                  <w:vAlign w:val="center"/>
                </w:tcPr>
                <w:p w14:paraId="778FEB54">
                  <w:pPr>
                    <w:pStyle w:val="31"/>
                    <w:rPr>
                      <w:color w:val="000000" w:themeColor="text1"/>
                      <w14:textFill>
                        <w14:solidFill>
                          <w14:schemeClr w14:val="tx1"/>
                        </w14:solidFill>
                      </w14:textFill>
                    </w:rPr>
                  </w:pPr>
                  <w:r>
                    <w:rPr>
                      <w:color w:val="000000" w:themeColor="text1"/>
                      <w14:textFill>
                        <w14:solidFill>
                          <w14:schemeClr w14:val="tx1"/>
                        </w14:solidFill>
                      </w14:textFill>
                    </w:rPr>
                    <w:t>年用量</w:t>
                  </w:r>
                </w:p>
              </w:tc>
              <w:tc>
                <w:tcPr>
                  <w:tcW w:w="475" w:type="pct"/>
                  <w:vAlign w:val="center"/>
                </w:tcPr>
                <w:p w14:paraId="12E6DD1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单位</w:t>
                  </w:r>
                </w:p>
              </w:tc>
              <w:tc>
                <w:tcPr>
                  <w:tcW w:w="1214" w:type="pct"/>
                  <w:vAlign w:val="center"/>
                </w:tcPr>
                <w:p w14:paraId="33CB99C4">
                  <w:pPr>
                    <w:jc w:val="center"/>
                    <w:rPr>
                      <w:color w:val="000000" w:themeColor="text1"/>
                      <w14:textFill>
                        <w14:solidFill>
                          <w14:schemeClr w14:val="tx1"/>
                        </w14:solidFill>
                      </w14:textFill>
                    </w:rPr>
                  </w:pPr>
                  <w:r>
                    <w:rPr>
                      <w:color w:val="000000" w:themeColor="text1"/>
                      <w14:textFill>
                        <w14:solidFill>
                          <w14:schemeClr w14:val="tx1"/>
                        </w14:solidFill>
                      </w14:textFill>
                    </w:rPr>
                    <w:t>来源，存储位置</w:t>
                  </w:r>
                </w:p>
              </w:tc>
              <w:tc>
                <w:tcPr>
                  <w:tcW w:w="626" w:type="pct"/>
                  <w:vAlign w:val="center"/>
                </w:tcPr>
                <w:p w14:paraId="0011A3CF">
                  <w:pPr>
                    <w:jc w:val="center"/>
                    <w:rPr>
                      <w:color w:val="000000" w:themeColor="text1"/>
                      <w14:textFill>
                        <w14:solidFill>
                          <w14:schemeClr w14:val="tx1"/>
                        </w14:solidFill>
                      </w14:textFill>
                    </w:rPr>
                  </w:pPr>
                  <w:r>
                    <w:rPr>
                      <w:color w:val="000000" w:themeColor="text1"/>
                      <w14:textFill>
                        <w14:solidFill>
                          <w14:schemeClr w14:val="tx1"/>
                        </w14:solidFill>
                      </w14:textFill>
                    </w:rPr>
                    <w:t>厂区最大存储量</w:t>
                  </w:r>
                </w:p>
              </w:tc>
              <w:tc>
                <w:tcPr>
                  <w:tcW w:w="1158" w:type="pct"/>
                  <w:vAlign w:val="center"/>
                </w:tcPr>
                <w:p w14:paraId="0D0D0BC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备注</w:t>
                  </w:r>
                </w:p>
              </w:tc>
            </w:tr>
            <w:tr w14:paraId="042F0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15CA1D8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白酒生产线</w:t>
                  </w:r>
                </w:p>
              </w:tc>
            </w:tr>
            <w:tr w14:paraId="78655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1395753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61693D04">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高粱</w:t>
                  </w:r>
                </w:p>
              </w:tc>
              <w:tc>
                <w:tcPr>
                  <w:tcW w:w="543" w:type="pct"/>
                  <w:vAlign w:val="center"/>
                </w:tcPr>
                <w:p w14:paraId="4CDA391B">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83.735</w:t>
                  </w:r>
                </w:p>
              </w:tc>
              <w:tc>
                <w:tcPr>
                  <w:tcW w:w="475" w:type="pct"/>
                  <w:vAlign w:val="center"/>
                </w:tcPr>
                <w:p w14:paraId="67D048D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09008FC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039E515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12t</w:t>
                  </w:r>
                </w:p>
              </w:tc>
              <w:tc>
                <w:tcPr>
                  <w:tcW w:w="1158" w:type="pct"/>
                  <w:vAlign w:val="center"/>
                </w:tcPr>
                <w:p w14:paraId="2DB1853A">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62026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4D67C0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72" w:type="pct"/>
                  <w:shd w:val="clear" w:color="auto" w:fill="auto"/>
                  <w:vAlign w:val="center"/>
                </w:tcPr>
                <w:p w14:paraId="7D3200D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大米</w:t>
                  </w:r>
                </w:p>
              </w:tc>
              <w:tc>
                <w:tcPr>
                  <w:tcW w:w="543" w:type="pct"/>
                  <w:vAlign w:val="center"/>
                </w:tcPr>
                <w:p w14:paraId="558DA570">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51.171</w:t>
                  </w:r>
                </w:p>
              </w:tc>
              <w:tc>
                <w:tcPr>
                  <w:tcW w:w="475" w:type="pct"/>
                  <w:vAlign w:val="center"/>
                </w:tcPr>
                <w:p w14:paraId="451D23D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2E15A33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6F2CD6D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7t</w:t>
                  </w:r>
                </w:p>
              </w:tc>
              <w:tc>
                <w:tcPr>
                  <w:tcW w:w="1158" w:type="pct"/>
                  <w:vAlign w:val="center"/>
                </w:tcPr>
                <w:p w14:paraId="0304A856">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7C4BE6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3E9FCFD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72" w:type="pct"/>
                  <w:shd w:val="clear" w:color="auto" w:fill="auto"/>
                  <w:vAlign w:val="center"/>
                </w:tcPr>
                <w:p w14:paraId="0BAE8DC6">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糯米</w:t>
                  </w:r>
                </w:p>
              </w:tc>
              <w:tc>
                <w:tcPr>
                  <w:tcW w:w="543" w:type="pct"/>
                  <w:vAlign w:val="center"/>
                </w:tcPr>
                <w:p w14:paraId="66520D6F">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41.867</w:t>
                  </w:r>
                </w:p>
              </w:tc>
              <w:tc>
                <w:tcPr>
                  <w:tcW w:w="475" w:type="pct"/>
                  <w:vAlign w:val="center"/>
                </w:tcPr>
                <w:p w14:paraId="21DE374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4E3A9CD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4E3492D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6t</w:t>
                  </w:r>
                </w:p>
              </w:tc>
              <w:tc>
                <w:tcPr>
                  <w:tcW w:w="1158" w:type="pct"/>
                  <w:vAlign w:val="center"/>
                </w:tcPr>
                <w:p w14:paraId="141B1F12">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172B4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154C393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72" w:type="pct"/>
                  <w:shd w:val="clear" w:color="auto" w:fill="auto"/>
                  <w:vAlign w:val="center"/>
                </w:tcPr>
                <w:p w14:paraId="794364A7">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玉米</w:t>
                  </w:r>
                </w:p>
              </w:tc>
              <w:tc>
                <w:tcPr>
                  <w:tcW w:w="543" w:type="pct"/>
                  <w:vAlign w:val="center"/>
                </w:tcPr>
                <w:p w14:paraId="652167FB">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18.608</w:t>
                  </w:r>
                </w:p>
              </w:tc>
              <w:tc>
                <w:tcPr>
                  <w:tcW w:w="475" w:type="pct"/>
                  <w:vAlign w:val="center"/>
                </w:tcPr>
                <w:p w14:paraId="289D865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274E57D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00BA03B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3t</w:t>
                  </w:r>
                </w:p>
              </w:tc>
              <w:tc>
                <w:tcPr>
                  <w:tcW w:w="1158" w:type="pct"/>
                  <w:vAlign w:val="center"/>
                </w:tcPr>
                <w:p w14:paraId="32B38FFE">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0DBF6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1810126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72" w:type="pct"/>
                  <w:shd w:val="clear" w:color="auto" w:fill="auto"/>
                  <w:vAlign w:val="center"/>
                </w:tcPr>
                <w:p w14:paraId="06694EC0">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小麦</w:t>
                  </w:r>
                </w:p>
              </w:tc>
              <w:tc>
                <w:tcPr>
                  <w:tcW w:w="543" w:type="pct"/>
                  <w:vAlign w:val="center"/>
                </w:tcPr>
                <w:p w14:paraId="23C47EC9">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37.215</w:t>
                  </w:r>
                </w:p>
              </w:tc>
              <w:tc>
                <w:tcPr>
                  <w:tcW w:w="475" w:type="pct"/>
                  <w:vAlign w:val="center"/>
                </w:tcPr>
                <w:p w14:paraId="1EAFF02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059302E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246D93A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5t</w:t>
                  </w:r>
                </w:p>
              </w:tc>
              <w:tc>
                <w:tcPr>
                  <w:tcW w:w="1158" w:type="pct"/>
                  <w:vAlign w:val="center"/>
                </w:tcPr>
                <w:p w14:paraId="5C066971">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677784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2398CD7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672" w:type="pct"/>
                  <w:shd w:val="clear" w:color="auto" w:fill="auto"/>
                  <w:vAlign w:val="center"/>
                </w:tcPr>
                <w:p w14:paraId="75349B4A">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酒曲</w:t>
                  </w:r>
                </w:p>
              </w:tc>
              <w:tc>
                <w:tcPr>
                  <w:tcW w:w="543" w:type="pct"/>
                  <w:vAlign w:val="center"/>
                </w:tcPr>
                <w:p w14:paraId="0AB67A58">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69.779</w:t>
                  </w:r>
                </w:p>
              </w:tc>
              <w:tc>
                <w:tcPr>
                  <w:tcW w:w="475" w:type="pct"/>
                  <w:vAlign w:val="center"/>
                </w:tcPr>
                <w:p w14:paraId="16190BF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4293A41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3109833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4t</w:t>
                  </w:r>
                </w:p>
              </w:tc>
              <w:tc>
                <w:tcPr>
                  <w:tcW w:w="1158" w:type="pct"/>
                  <w:vAlign w:val="center"/>
                </w:tcPr>
                <w:p w14:paraId="32B7303B">
                  <w:pPr>
                    <w:jc w:val="center"/>
                    <w:rPr>
                      <w:color w:val="000000" w:themeColor="text1"/>
                      <w14:textFill>
                        <w14:solidFill>
                          <w14:schemeClr w14:val="tx1"/>
                        </w14:solidFill>
                      </w14:textFill>
                    </w:rPr>
                  </w:pPr>
                  <w:r>
                    <w:rPr>
                      <w:color w:val="000000" w:themeColor="text1"/>
                      <w14:textFill>
                        <w14:solidFill>
                          <w14:schemeClr w14:val="tx1"/>
                        </w14:solidFill>
                      </w14:textFill>
                    </w:rPr>
                    <w:t>外购，袋装，</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0kg/袋</w:t>
                  </w:r>
                </w:p>
              </w:tc>
            </w:tr>
            <w:tr w14:paraId="4D243B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00EDB4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672" w:type="pct"/>
                  <w:shd w:val="clear" w:color="auto" w:fill="auto"/>
                  <w:vAlign w:val="center"/>
                </w:tcPr>
                <w:p w14:paraId="21BBC6BF">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稻壳</w:t>
                  </w:r>
                </w:p>
              </w:tc>
              <w:tc>
                <w:tcPr>
                  <w:tcW w:w="543" w:type="pct"/>
                  <w:vAlign w:val="center"/>
                </w:tcPr>
                <w:p w14:paraId="46E55495">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58.149</w:t>
                  </w:r>
                </w:p>
              </w:tc>
              <w:tc>
                <w:tcPr>
                  <w:tcW w:w="475" w:type="pct"/>
                  <w:vAlign w:val="center"/>
                </w:tcPr>
                <w:p w14:paraId="46C6C8F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4EA0C41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1B8CC96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3t</w:t>
                  </w:r>
                </w:p>
              </w:tc>
              <w:tc>
                <w:tcPr>
                  <w:tcW w:w="1158" w:type="pct"/>
                  <w:vAlign w:val="center"/>
                </w:tcPr>
                <w:p w14:paraId="45FDE4C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w:t>
                  </w:r>
                  <w:r>
                    <w:rPr>
                      <w:color w:val="000000" w:themeColor="text1"/>
                      <w14:textFill>
                        <w14:solidFill>
                          <w14:schemeClr w14:val="tx1"/>
                        </w14:solidFill>
                      </w14:textFill>
                    </w:rPr>
                    <w:t>袋装，50kg/袋</w:t>
                  </w:r>
                </w:p>
              </w:tc>
            </w:tr>
            <w:tr w14:paraId="3D809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0CDC0A0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8</w:t>
                  </w:r>
                </w:p>
              </w:tc>
              <w:tc>
                <w:tcPr>
                  <w:tcW w:w="672" w:type="pct"/>
                  <w:shd w:val="clear" w:color="auto" w:fill="auto"/>
                  <w:vAlign w:val="center"/>
                </w:tcPr>
                <w:p w14:paraId="76E718BE">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硅藻土</w:t>
                  </w:r>
                </w:p>
              </w:tc>
              <w:tc>
                <w:tcPr>
                  <w:tcW w:w="543" w:type="pct"/>
                  <w:vAlign w:val="center"/>
                </w:tcPr>
                <w:p w14:paraId="7A41C5EC">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0.05</w:t>
                  </w:r>
                </w:p>
              </w:tc>
              <w:tc>
                <w:tcPr>
                  <w:tcW w:w="475" w:type="pct"/>
                  <w:vAlign w:val="center"/>
                </w:tcPr>
                <w:p w14:paraId="5CB5F8C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7627D61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1AC8313C">
                  <w:pPr>
                    <w:jc w:val="center"/>
                    <w:rPr>
                      <w:color w:val="000000" w:themeColor="text1"/>
                      <w14:textFill>
                        <w14:solidFill>
                          <w14:schemeClr w14:val="tx1"/>
                        </w14:solidFill>
                      </w14:textFill>
                    </w:rPr>
                  </w:pPr>
                  <w:r>
                    <w:rPr>
                      <w:color w:val="000000" w:themeColor="text1"/>
                      <w:kern w:val="0"/>
                      <w:szCs w:val="21"/>
                      <w14:textFill>
                        <w14:solidFill>
                          <w14:schemeClr w14:val="tx1"/>
                        </w14:solidFill>
                      </w14:textFill>
                    </w:rPr>
                    <w:t>0.05</w:t>
                  </w:r>
                  <w:r>
                    <w:rPr>
                      <w:rFonts w:hint="eastAsia"/>
                      <w:color w:val="000000" w:themeColor="text1"/>
                      <w14:textFill>
                        <w14:solidFill>
                          <w14:schemeClr w14:val="tx1"/>
                        </w14:solidFill>
                      </w14:textFill>
                    </w:rPr>
                    <w:t>t</w:t>
                  </w:r>
                </w:p>
              </w:tc>
              <w:tc>
                <w:tcPr>
                  <w:tcW w:w="1158" w:type="pct"/>
                  <w:vAlign w:val="center"/>
                </w:tcPr>
                <w:p w14:paraId="430E69B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w:t>
                  </w:r>
                  <w:r>
                    <w:rPr>
                      <w:color w:val="000000" w:themeColor="text1"/>
                      <w14:textFill>
                        <w14:solidFill>
                          <w14:schemeClr w14:val="tx1"/>
                        </w14:solidFill>
                      </w14:textFill>
                    </w:rPr>
                    <w:t>袋装</w:t>
                  </w:r>
                </w:p>
              </w:tc>
            </w:tr>
            <w:tr w14:paraId="344D1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18478C6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黄酒生产线</w:t>
                  </w:r>
                </w:p>
              </w:tc>
            </w:tr>
            <w:tr w14:paraId="7344FA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273E4C3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6446911F">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糯米</w:t>
                  </w:r>
                </w:p>
              </w:tc>
              <w:tc>
                <w:tcPr>
                  <w:tcW w:w="543" w:type="pct"/>
                  <w:shd w:val="clear" w:color="auto" w:fill="auto"/>
                  <w:vAlign w:val="center"/>
                </w:tcPr>
                <w:p w14:paraId="734681F9">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39.825</w:t>
                  </w:r>
                </w:p>
              </w:tc>
              <w:tc>
                <w:tcPr>
                  <w:tcW w:w="475" w:type="pct"/>
                  <w:shd w:val="clear" w:color="auto" w:fill="auto"/>
                  <w:vAlign w:val="center"/>
                </w:tcPr>
                <w:p w14:paraId="6BA8742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shd w:val="clear" w:color="auto" w:fill="auto"/>
                  <w:vAlign w:val="center"/>
                </w:tcPr>
                <w:p w14:paraId="2768546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040EDCCA">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5t</w:t>
                  </w:r>
                </w:p>
              </w:tc>
              <w:tc>
                <w:tcPr>
                  <w:tcW w:w="1158" w:type="pct"/>
                  <w:vAlign w:val="center"/>
                </w:tcPr>
                <w:p w14:paraId="71D99D1C">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2BBA7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7D0A84D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72" w:type="pct"/>
                  <w:shd w:val="clear" w:color="auto" w:fill="auto"/>
                  <w:vAlign w:val="center"/>
                </w:tcPr>
                <w:p w14:paraId="34BA77E3">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小米</w:t>
                  </w:r>
                </w:p>
              </w:tc>
              <w:tc>
                <w:tcPr>
                  <w:tcW w:w="543" w:type="pct"/>
                  <w:shd w:val="clear" w:color="auto" w:fill="auto"/>
                  <w:vAlign w:val="center"/>
                </w:tcPr>
                <w:p w14:paraId="34BDDE87">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39.825</w:t>
                  </w:r>
                </w:p>
              </w:tc>
              <w:tc>
                <w:tcPr>
                  <w:tcW w:w="475" w:type="pct"/>
                  <w:shd w:val="clear" w:color="auto" w:fill="auto"/>
                  <w:vAlign w:val="center"/>
                </w:tcPr>
                <w:p w14:paraId="4855494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shd w:val="clear" w:color="auto" w:fill="auto"/>
                  <w:vAlign w:val="center"/>
                </w:tcPr>
                <w:p w14:paraId="358EBE0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5241E950">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5t</w:t>
                  </w:r>
                </w:p>
              </w:tc>
              <w:tc>
                <w:tcPr>
                  <w:tcW w:w="1158" w:type="pct"/>
                  <w:vAlign w:val="center"/>
                </w:tcPr>
                <w:p w14:paraId="04FB2B8C">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3FF8E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1D25CBE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72" w:type="pct"/>
                  <w:shd w:val="clear" w:color="auto" w:fill="auto"/>
                  <w:vAlign w:val="center"/>
                </w:tcPr>
                <w:p w14:paraId="6DF913E2">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酒曲</w:t>
                  </w:r>
                </w:p>
              </w:tc>
              <w:tc>
                <w:tcPr>
                  <w:tcW w:w="543" w:type="pct"/>
                  <w:shd w:val="clear" w:color="auto" w:fill="auto"/>
                  <w:vAlign w:val="center"/>
                </w:tcPr>
                <w:p w14:paraId="1E6899E4">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7.965</w:t>
                  </w:r>
                </w:p>
              </w:tc>
              <w:tc>
                <w:tcPr>
                  <w:tcW w:w="475" w:type="pct"/>
                  <w:shd w:val="clear" w:color="auto" w:fill="auto"/>
                  <w:vAlign w:val="center"/>
                </w:tcPr>
                <w:p w14:paraId="5661966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shd w:val="clear" w:color="auto" w:fill="auto"/>
                  <w:vAlign w:val="center"/>
                </w:tcPr>
                <w:p w14:paraId="7FF569C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28D90BE4">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1t</w:t>
                  </w:r>
                </w:p>
              </w:tc>
              <w:tc>
                <w:tcPr>
                  <w:tcW w:w="1158" w:type="pct"/>
                  <w:shd w:val="clear" w:color="auto" w:fill="auto"/>
                  <w:vAlign w:val="center"/>
                </w:tcPr>
                <w:p w14:paraId="69009BE6">
                  <w:pPr>
                    <w:jc w:val="center"/>
                    <w:rPr>
                      <w:color w:val="000000" w:themeColor="text1"/>
                      <w14:textFill>
                        <w14:solidFill>
                          <w14:schemeClr w14:val="tx1"/>
                        </w14:solidFill>
                      </w14:textFill>
                    </w:rPr>
                  </w:pPr>
                  <w:r>
                    <w:rPr>
                      <w:color w:val="000000" w:themeColor="text1"/>
                      <w14:textFill>
                        <w14:solidFill>
                          <w14:schemeClr w14:val="tx1"/>
                        </w14:solidFill>
                      </w14:textFill>
                    </w:rPr>
                    <w:t>外购，袋装，</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0kg/袋</w:t>
                  </w:r>
                </w:p>
              </w:tc>
            </w:tr>
            <w:tr w14:paraId="7C10E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0972553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72" w:type="pct"/>
                  <w:shd w:val="clear" w:color="auto" w:fill="auto"/>
                  <w:vAlign w:val="center"/>
                </w:tcPr>
                <w:p w14:paraId="697A1F7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硅藻土</w:t>
                  </w:r>
                </w:p>
              </w:tc>
              <w:tc>
                <w:tcPr>
                  <w:tcW w:w="543" w:type="pct"/>
                  <w:shd w:val="clear" w:color="auto" w:fill="auto"/>
                  <w:vAlign w:val="center"/>
                </w:tcPr>
                <w:p w14:paraId="733821DA">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0.1</w:t>
                  </w:r>
                  <w:r>
                    <w:rPr>
                      <w:rFonts w:hint="eastAsia"/>
                      <w:color w:val="000000" w:themeColor="text1"/>
                      <w:kern w:val="0"/>
                      <w:szCs w:val="21"/>
                      <w14:textFill>
                        <w14:solidFill>
                          <w14:schemeClr w14:val="tx1"/>
                        </w14:solidFill>
                      </w14:textFill>
                    </w:rPr>
                    <w:t>0</w:t>
                  </w:r>
                </w:p>
              </w:tc>
              <w:tc>
                <w:tcPr>
                  <w:tcW w:w="475" w:type="pct"/>
                  <w:shd w:val="clear" w:color="auto" w:fill="auto"/>
                  <w:vAlign w:val="center"/>
                </w:tcPr>
                <w:p w14:paraId="6159E27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shd w:val="clear" w:color="auto" w:fill="auto"/>
                  <w:vAlign w:val="center"/>
                </w:tcPr>
                <w:p w14:paraId="6663F1F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520F57E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0.15t</w:t>
                  </w:r>
                </w:p>
              </w:tc>
              <w:tc>
                <w:tcPr>
                  <w:tcW w:w="1158" w:type="pct"/>
                  <w:vAlign w:val="center"/>
                </w:tcPr>
                <w:p w14:paraId="0F65407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w:t>
                  </w:r>
                  <w:r>
                    <w:rPr>
                      <w:color w:val="000000" w:themeColor="text1"/>
                      <w14:textFill>
                        <w14:solidFill>
                          <w14:schemeClr w14:val="tx1"/>
                        </w14:solidFill>
                      </w14:textFill>
                    </w:rPr>
                    <w:t>袋装</w:t>
                  </w:r>
                </w:p>
              </w:tc>
            </w:tr>
            <w:tr w14:paraId="03C68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105D490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啤酒生产线</w:t>
                  </w:r>
                </w:p>
              </w:tc>
            </w:tr>
            <w:tr w14:paraId="7F98F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8E40B2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30EB13D0">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麦芽</w:t>
                  </w:r>
                </w:p>
              </w:tc>
              <w:tc>
                <w:tcPr>
                  <w:tcW w:w="543" w:type="pct"/>
                  <w:vAlign w:val="center"/>
                </w:tcPr>
                <w:p w14:paraId="2502F69D">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20</w:t>
                  </w:r>
                </w:p>
              </w:tc>
              <w:tc>
                <w:tcPr>
                  <w:tcW w:w="475" w:type="pct"/>
                  <w:vAlign w:val="center"/>
                </w:tcPr>
                <w:p w14:paraId="07C309F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1154846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1A036D9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3t</w:t>
                  </w:r>
                </w:p>
              </w:tc>
              <w:tc>
                <w:tcPr>
                  <w:tcW w:w="1158" w:type="pct"/>
                  <w:vAlign w:val="center"/>
                </w:tcPr>
                <w:p w14:paraId="79CB0204">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0BEB4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1E81BF6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72" w:type="pct"/>
                  <w:shd w:val="clear" w:color="auto" w:fill="auto"/>
                  <w:vAlign w:val="center"/>
                </w:tcPr>
                <w:p w14:paraId="1ACFAF06">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大米</w:t>
                  </w:r>
                </w:p>
              </w:tc>
              <w:tc>
                <w:tcPr>
                  <w:tcW w:w="543" w:type="pct"/>
                  <w:vAlign w:val="center"/>
                </w:tcPr>
                <w:p w14:paraId="53345C7B">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20</w:t>
                  </w:r>
                </w:p>
              </w:tc>
              <w:tc>
                <w:tcPr>
                  <w:tcW w:w="475" w:type="pct"/>
                  <w:vAlign w:val="center"/>
                </w:tcPr>
                <w:p w14:paraId="735B340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7FED967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5CF4FA9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3t</w:t>
                  </w:r>
                </w:p>
              </w:tc>
              <w:tc>
                <w:tcPr>
                  <w:tcW w:w="1158" w:type="pct"/>
                  <w:vAlign w:val="center"/>
                </w:tcPr>
                <w:p w14:paraId="16F80A22">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12A3F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2A8D688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72" w:type="pct"/>
                  <w:shd w:val="clear" w:color="auto" w:fill="auto"/>
                  <w:vAlign w:val="center"/>
                </w:tcPr>
                <w:p w14:paraId="1355854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啤酒花</w:t>
                  </w:r>
                </w:p>
              </w:tc>
              <w:tc>
                <w:tcPr>
                  <w:tcW w:w="543" w:type="pct"/>
                  <w:vAlign w:val="center"/>
                </w:tcPr>
                <w:p w14:paraId="2A14F674">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0.067</w:t>
                  </w:r>
                </w:p>
              </w:tc>
              <w:tc>
                <w:tcPr>
                  <w:tcW w:w="475" w:type="pct"/>
                  <w:vAlign w:val="center"/>
                </w:tcPr>
                <w:p w14:paraId="01C9279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7D38A7B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79A57CA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1t</w:t>
                  </w:r>
                </w:p>
              </w:tc>
              <w:tc>
                <w:tcPr>
                  <w:tcW w:w="1158" w:type="pct"/>
                  <w:vAlign w:val="center"/>
                </w:tcPr>
                <w:p w14:paraId="679C40E1">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080596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1C5B476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72" w:type="pct"/>
                  <w:shd w:val="clear" w:color="auto" w:fill="auto"/>
                  <w:vAlign w:val="center"/>
                </w:tcPr>
                <w:p w14:paraId="5AC9B017">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酵母</w:t>
                  </w:r>
                </w:p>
              </w:tc>
              <w:tc>
                <w:tcPr>
                  <w:tcW w:w="543" w:type="pct"/>
                  <w:vAlign w:val="center"/>
                </w:tcPr>
                <w:p w14:paraId="22827E51">
                  <w:pPr>
                    <w:widowControl/>
                    <w:jc w:val="center"/>
                    <w:textAlignment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1.6</w:t>
                  </w:r>
                </w:p>
              </w:tc>
              <w:tc>
                <w:tcPr>
                  <w:tcW w:w="475" w:type="pct"/>
                  <w:vAlign w:val="center"/>
                </w:tcPr>
                <w:p w14:paraId="5E943DA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79844BD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465D041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0.01t</w:t>
                  </w:r>
                </w:p>
              </w:tc>
              <w:tc>
                <w:tcPr>
                  <w:tcW w:w="1158" w:type="pct"/>
                  <w:shd w:val="clear" w:color="auto" w:fill="auto"/>
                  <w:vAlign w:val="center"/>
                </w:tcPr>
                <w:p w14:paraId="2CCBD5E1">
                  <w:pPr>
                    <w:jc w:val="center"/>
                    <w:rPr>
                      <w:color w:val="000000" w:themeColor="text1"/>
                      <w14:textFill>
                        <w14:solidFill>
                          <w14:schemeClr w14:val="tx1"/>
                        </w14:solidFill>
                      </w14:textFill>
                    </w:rPr>
                  </w:pPr>
                  <w:r>
                    <w:rPr>
                      <w:color w:val="000000" w:themeColor="text1"/>
                      <w14:textFill>
                        <w14:solidFill>
                          <w14:schemeClr w14:val="tx1"/>
                        </w14:solidFill>
                      </w14:textFill>
                    </w:rPr>
                    <w:t>外购，袋装，</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0kg/袋</w:t>
                  </w:r>
                </w:p>
              </w:tc>
            </w:tr>
            <w:tr w14:paraId="506F1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71EDAD3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72" w:type="pct"/>
                  <w:shd w:val="clear" w:color="auto" w:fill="auto"/>
                  <w:vAlign w:val="center"/>
                </w:tcPr>
                <w:p w14:paraId="6C0D6C9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硅藻土</w:t>
                  </w:r>
                </w:p>
              </w:tc>
              <w:tc>
                <w:tcPr>
                  <w:tcW w:w="543" w:type="pct"/>
                  <w:vAlign w:val="center"/>
                </w:tcPr>
                <w:p w14:paraId="7027D2E9">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0.15</w:t>
                  </w:r>
                </w:p>
              </w:tc>
              <w:tc>
                <w:tcPr>
                  <w:tcW w:w="475" w:type="pct"/>
                  <w:vAlign w:val="center"/>
                </w:tcPr>
                <w:p w14:paraId="4324667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08C57D3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215EE0F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0.15t</w:t>
                  </w:r>
                </w:p>
              </w:tc>
              <w:tc>
                <w:tcPr>
                  <w:tcW w:w="1158" w:type="pct"/>
                  <w:shd w:val="clear" w:color="auto" w:fill="auto"/>
                  <w:vAlign w:val="center"/>
                </w:tcPr>
                <w:p w14:paraId="3C16FEC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w:t>
                  </w:r>
                  <w:r>
                    <w:rPr>
                      <w:color w:val="000000" w:themeColor="text1"/>
                      <w14:textFill>
                        <w14:solidFill>
                          <w14:schemeClr w14:val="tx1"/>
                        </w14:solidFill>
                      </w14:textFill>
                    </w:rPr>
                    <w:t>袋装</w:t>
                  </w:r>
                </w:p>
              </w:tc>
            </w:tr>
            <w:tr w14:paraId="36589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62FE912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果酒生产线</w:t>
                  </w:r>
                </w:p>
              </w:tc>
            </w:tr>
            <w:tr w14:paraId="4221A7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2782695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1C33CAC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葡萄</w:t>
                  </w:r>
                </w:p>
              </w:tc>
              <w:tc>
                <w:tcPr>
                  <w:tcW w:w="543" w:type="pct"/>
                  <w:vAlign w:val="center"/>
                </w:tcPr>
                <w:p w14:paraId="10907991">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113.96</w:t>
                  </w:r>
                </w:p>
              </w:tc>
              <w:tc>
                <w:tcPr>
                  <w:tcW w:w="475" w:type="pct"/>
                  <w:vAlign w:val="center"/>
                </w:tcPr>
                <w:p w14:paraId="4B9E881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shd w:val="clear" w:color="auto" w:fill="auto"/>
                  <w:vAlign w:val="center"/>
                </w:tcPr>
                <w:p w14:paraId="797A142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58444A5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15t</w:t>
                  </w:r>
                </w:p>
              </w:tc>
              <w:tc>
                <w:tcPr>
                  <w:tcW w:w="1158" w:type="pct"/>
                  <w:vAlign w:val="center"/>
                </w:tcPr>
                <w:p w14:paraId="300F01AD">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03838B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09B7C75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72" w:type="pct"/>
                  <w:shd w:val="clear" w:color="auto" w:fill="auto"/>
                  <w:vAlign w:val="center"/>
                </w:tcPr>
                <w:p w14:paraId="1E1755A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猕猴桃</w:t>
                  </w:r>
                </w:p>
              </w:tc>
              <w:tc>
                <w:tcPr>
                  <w:tcW w:w="543" w:type="pct"/>
                  <w:vAlign w:val="center"/>
                </w:tcPr>
                <w:p w14:paraId="6A3CDA6E">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146.52</w:t>
                  </w:r>
                </w:p>
              </w:tc>
              <w:tc>
                <w:tcPr>
                  <w:tcW w:w="475" w:type="pct"/>
                  <w:vAlign w:val="center"/>
                </w:tcPr>
                <w:p w14:paraId="4D15ED1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1F15A75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7E485F5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19t</w:t>
                  </w:r>
                </w:p>
              </w:tc>
              <w:tc>
                <w:tcPr>
                  <w:tcW w:w="1158" w:type="pct"/>
                  <w:vAlign w:val="center"/>
                </w:tcPr>
                <w:p w14:paraId="2A99CC8B">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79649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6DAA96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72" w:type="pct"/>
                  <w:shd w:val="clear" w:color="auto" w:fill="auto"/>
                  <w:vAlign w:val="center"/>
                </w:tcPr>
                <w:p w14:paraId="2974946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苹果</w:t>
                  </w:r>
                </w:p>
              </w:tc>
              <w:tc>
                <w:tcPr>
                  <w:tcW w:w="543" w:type="pct"/>
                  <w:vAlign w:val="center"/>
                </w:tcPr>
                <w:p w14:paraId="5EBA30E7">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122.1</w:t>
                  </w:r>
                </w:p>
              </w:tc>
              <w:tc>
                <w:tcPr>
                  <w:tcW w:w="475" w:type="pct"/>
                  <w:vAlign w:val="center"/>
                </w:tcPr>
                <w:p w14:paraId="37F0384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22EE43C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vAlign w:val="center"/>
                </w:tcPr>
                <w:p w14:paraId="1A834AD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15t</w:t>
                  </w:r>
                </w:p>
              </w:tc>
              <w:tc>
                <w:tcPr>
                  <w:tcW w:w="1158" w:type="pct"/>
                  <w:vAlign w:val="center"/>
                </w:tcPr>
                <w:p w14:paraId="71ED29EB">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591310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4E3287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72" w:type="pct"/>
                  <w:shd w:val="clear" w:color="auto" w:fill="auto"/>
                  <w:vAlign w:val="center"/>
                </w:tcPr>
                <w:p w14:paraId="01878C6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果胶酶</w:t>
                  </w:r>
                </w:p>
              </w:tc>
              <w:tc>
                <w:tcPr>
                  <w:tcW w:w="543" w:type="pct"/>
                  <w:vAlign w:val="center"/>
                </w:tcPr>
                <w:p w14:paraId="17A1829F">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4</w:t>
                  </w:r>
                </w:p>
              </w:tc>
              <w:tc>
                <w:tcPr>
                  <w:tcW w:w="475" w:type="pct"/>
                  <w:vAlign w:val="center"/>
                </w:tcPr>
                <w:p w14:paraId="0CDB8157">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kg</w:t>
                  </w:r>
                  <w:r>
                    <w:rPr>
                      <w:rFonts w:hint="eastAsia"/>
                      <w:color w:val="000000" w:themeColor="text1"/>
                      <w14:textFill>
                        <w14:solidFill>
                          <w14:schemeClr w14:val="tx1"/>
                        </w14:solidFill>
                      </w14:textFill>
                    </w:rPr>
                    <w:t>/a</w:t>
                  </w:r>
                </w:p>
              </w:tc>
              <w:tc>
                <w:tcPr>
                  <w:tcW w:w="1214" w:type="pct"/>
                  <w:vAlign w:val="center"/>
                </w:tcPr>
                <w:p w14:paraId="2F8ECFE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57E159F8">
                  <w:pPr>
                    <w:pStyle w:val="31"/>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4kg</w:t>
                  </w:r>
                </w:p>
              </w:tc>
              <w:tc>
                <w:tcPr>
                  <w:tcW w:w="1158" w:type="pct"/>
                  <w:vAlign w:val="center"/>
                </w:tcPr>
                <w:p w14:paraId="0AA7E1E3">
                  <w:pPr>
                    <w:jc w:val="center"/>
                    <w:rPr>
                      <w:color w:val="000000" w:themeColor="text1"/>
                      <w14:textFill>
                        <w14:solidFill>
                          <w14:schemeClr w14:val="tx1"/>
                        </w14:solidFill>
                      </w14:textFill>
                    </w:rPr>
                  </w:pPr>
                  <w:r>
                    <w:rPr>
                      <w:color w:val="000000" w:themeColor="text1"/>
                      <w14:textFill>
                        <w14:solidFill>
                          <w14:schemeClr w14:val="tx1"/>
                        </w14:solidFill>
                      </w14:textFill>
                    </w:rPr>
                    <w:t>外购，袋装，</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kg/袋</w:t>
                  </w:r>
                </w:p>
              </w:tc>
            </w:tr>
            <w:tr w14:paraId="1F7A6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20096DE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72" w:type="pct"/>
                  <w:shd w:val="clear" w:color="auto" w:fill="auto"/>
                  <w:vAlign w:val="center"/>
                </w:tcPr>
                <w:p w14:paraId="5A40B3E5">
                  <w:pPr>
                    <w:pStyle w:val="31"/>
                    <w:rPr>
                      <w:color w:val="000000" w:themeColor="text1"/>
                      <w:kern w:val="2"/>
                      <w:szCs w:val="21"/>
                      <w14:textFill>
                        <w14:solidFill>
                          <w14:schemeClr w14:val="tx1"/>
                        </w14:solidFill>
                      </w14:textFill>
                    </w:rPr>
                  </w:pPr>
                  <w:r>
                    <w:rPr>
                      <w:rFonts w:hint="eastAsia"/>
                      <w:color w:val="000000" w:themeColor="text1"/>
                      <w14:textFill>
                        <w14:solidFill>
                          <w14:schemeClr w14:val="tx1"/>
                        </w14:solidFill>
                      </w14:textFill>
                    </w:rPr>
                    <w:t>酵母</w:t>
                  </w:r>
                </w:p>
              </w:tc>
              <w:tc>
                <w:tcPr>
                  <w:tcW w:w="543" w:type="pct"/>
                  <w:vAlign w:val="center"/>
                </w:tcPr>
                <w:p w14:paraId="5691FDB3">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475" w:type="pct"/>
                  <w:vAlign w:val="center"/>
                </w:tcPr>
                <w:p w14:paraId="5AC2DA36">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kg</w:t>
                  </w:r>
                  <w:r>
                    <w:rPr>
                      <w:rFonts w:hint="eastAsia"/>
                      <w:color w:val="000000" w:themeColor="text1"/>
                      <w14:textFill>
                        <w14:solidFill>
                          <w14:schemeClr w14:val="tx1"/>
                        </w14:solidFill>
                      </w14:textFill>
                    </w:rPr>
                    <w:t>/a</w:t>
                  </w:r>
                </w:p>
              </w:tc>
              <w:tc>
                <w:tcPr>
                  <w:tcW w:w="1214" w:type="pct"/>
                  <w:vAlign w:val="center"/>
                </w:tcPr>
                <w:p w14:paraId="73090F2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711B871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25kg</w:t>
                  </w:r>
                </w:p>
              </w:tc>
              <w:tc>
                <w:tcPr>
                  <w:tcW w:w="1158" w:type="pct"/>
                  <w:vAlign w:val="center"/>
                </w:tcPr>
                <w:p w14:paraId="3779BF26">
                  <w:pPr>
                    <w:jc w:val="center"/>
                    <w:rPr>
                      <w:color w:val="000000" w:themeColor="text1"/>
                      <w14:textFill>
                        <w14:solidFill>
                          <w14:schemeClr w14:val="tx1"/>
                        </w14:solidFill>
                      </w14:textFill>
                    </w:rPr>
                  </w:pPr>
                  <w:r>
                    <w:rPr>
                      <w:color w:val="000000" w:themeColor="text1"/>
                      <w14:textFill>
                        <w14:solidFill>
                          <w14:schemeClr w14:val="tx1"/>
                        </w14:solidFill>
                      </w14:textFill>
                    </w:rPr>
                    <w:t>外购，袋装，</w:t>
                  </w:r>
                  <w:r>
                    <w:rPr>
                      <w:rFonts w:hint="eastAsia"/>
                      <w:color w:val="000000" w:themeColor="text1"/>
                      <w14:textFill>
                        <w14:solidFill>
                          <w14:schemeClr w14:val="tx1"/>
                        </w14:solidFill>
                      </w14:textFill>
                    </w:rPr>
                    <w:t>25</w:t>
                  </w:r>
                  <w:r>
                    <w:rPr>
                      <w:color w:val="000000" w:themeColor="text1"/>
                      <w14:textFill>
                        <w14:solidFill>
                          <w14:schemeClr w14:val="tx1"/>
                        </w14:solidFill>
                      </w14:textFill>
                    </w:rPr>
                    <w:t>kg/袋</w:t>
                  </w:r>
                </w:p>
              </w:tc>
            </w:tr>
            <w:tr w14:paraId="01BC9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4E12890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植物饮料</w:t>
                  </w:r>
                  <w:r>
                    <w:rPr>
                      <w:color w:val="000000" w:themeColor="text1"/>
                      <w14:textFill>
                        <w14:solidFill>
                          <w14:schemeClr w14:val="tx1"/>
                        </w14:solidFill>
                      </w14:textFill>
                    </w:rPr>
                    <w:t>生产线</w:t>
                  </w:r>
                </w:p>
              </w:tc>
            </w:tr>
            <w:tr w14:paraId="6CA77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C3F616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710F1830">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山楂</w:t>
                  </w:r>
                </w:p>
              </w:tc>
              <w:tc>
                <w:tcPr>
                  <w:tcW w:w="543" w:type="pct"/>
                  <w:vAlign w:val="center"/>
                </w:tcPr>
                <w:p w14:paraId="1B0AB7A7">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30</w:t>
                  </w:r>
                </w:p>
              </w:tc>
              <w:tc>
                <w:tcPr>
                  <w:tcW w:w="475" w:type="pct"/>
                  <w:vAlign w:val="center"/>
                </w:tcPr>
                <w:p w14:paraId="743EEA36">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001AF73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2FD91E5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4t</w:t>
                  </w:r>
                </w:p>
              </w:tc>
              <w:tc>
                <w:tcPr>
                  <w:tcW w:w="1158" w:type="pct"/>
                  <w:vAlign w:val="center"/>
                </w:tcPr>
                <w:p w14:paraId="76E249C3">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13533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61FCEB9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72" w:type="pct"/>
                  <w:shd w:val="clear" w:color="auto" w:fill="auto"/>
                  <w:vAlign w:val="center"/>
                </w:tcPr>
                <w:p w14:paraId="4F879133">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大麦</w:t>
                  </w:r>
                </w:p>
              </w:tc>
              <w:tc>
                <w:tcPr>
                  <w:tcW w:w="543" w:type="pct"/>
                  <w:vAlign w:val="center"/>
                </w:tcPr>
                <w:p w14:paraId="2B041A9D">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20</w:t>
                  </w:r>
                </w:p>
              </w:tc>
              <w:tc>
                <w:tcPr>
                  <w:tcW w:w="475" w:type="pct"/>
                  <w:vAlign w:val="center"/>
                </w:tcPr>
                <w:p w14:paraId="430C2181">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4A669E6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24A097A2">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3t</w:t>
                  </w:r>
                </w:p>
              </w:tc>
              <w:tc>
                <w:tcPr>
                  <w:tcW w:w="1158" w:type="pct"/>
                  <w:vAlign w:val="center"/>
                </w:tcPr>
                <w:p w14:paraId="4CC4919B">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449F6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22550A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72" w:type="pct"/>
                  <w:shd w:val="clear" w:color="auto" w:fill="auto"/>
                  <w:vAlign w:val="center"/>
                </w:tcPr>
                <w:p w14:paraId="520BAC3E">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茯苓</w:t>
                  </w:r>
                </w:p>
              </w:tc>
              <w:tc>
                <w:tcPr>
                  <w:tcW w:w="543" w:type="pct"/>
                  <w:vAlign w:val="center"/>
                </w:tcPr>
                <w:p w14:paraId="66E2D65F">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10</w:t>
                  </w:r>
                </w:p>
              </w:tc>
              <w:tc>
                <w:tcPr>
                  <w:tcW w:w="475" w:type="pct"/>
                  <w:vAlign w:val="center"/>
                </w:tcPr>
                <w:p w14:paraId="598ECF63">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5984EFE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6C205BE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2t</w:t>
                  </w:r>
                </w:p>
              </w:tc>
              <w:tc>
                <w:tcPr>
                  <w:tcW w:w="1158" w:type="pct"/>
                  <w:vAlign w:val="center"/>
                </w:tcPr>
                <w:p w14:paraId="77E24426">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2C851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02BE46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72" w:type="pct"/>
                  <w:shd w:val="clear" w:color="auto" w:fill="auto"/>
                  <w:vAlign w:val="center"/>
                </w:tcPr>
                <w:p w14:paraId="7B28E825">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桑葚</w:t>
                  </w:r>
                </w:p>
              </w:tc>
              <w:tc>
                <w:tcPr>
                  <w:tcW w:w="543" w:type="pct"/>
                  <w:vAlign w:val="center"/>
                </w:tcPr>
                <w:p w14:paraId="47CC6DB7">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10</w:t>
                  </w:r>
                </w:p>
              </w:tc>
              <w:tc>
                <w:tcPr>
                  <w:tcW w:w="475" w:type="pct"/>
                  <w:vAlign w:val="center"/>
                </w:tcPr>
                <w:p w14:paraId="345D5CAD">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79128D6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15D091A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2t</w:t>
                  </w:r>
                </w:p>
              </w:tc>
              <w:tc>
                <w:tcPr>
                  <w:tcW w:w="1158" w:type="pct"/>
                  <w:vAlign w:val="center"/>
                </w:tcPr>
                <w:p w14:paraId="0988CB7D">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5DC67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2262EB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72" w:type="pct"/>
                  <w:shd w:val="clear" w:color="auto" w:fill="auto"/>
                  <w:vAlign w:val="center"/>
                </w:tcPr>
                <w:p w14:paraId="108D1E6F">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枸杞子</w:t>
                  </w:r>
                </w:p>
              </w:tc>
              <w:tc>
                <w:tcPr>
                  <w:tcW w:w="543" w:type="pct"/>
                  <w:vAlign w:val="center"/>
                </w:tcPr>
                <w:p w14:paraId="4E66BD82">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10</w:t>
                  </w:r>
                </w:p>
              </w:tc>
              <w:tc>
                <w:tcPr>
                  <w:tcW w:w="475" w:type="pct"/>
                  <w:vAlign w:val="center"/>
                </w:tcPr>
                <w:p w14:paraId="6EB44106">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17145DA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7C55C2F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2t</w:t>
                  </w:r>
                </w:p>
              </w:tc>
              <w:tc>
                <w:tcPr>
                  <w:tcW w:w="1158" w:type="pct"/>
                  <w:vAlign w:val="center"/>
                </w:tcPr>
                <w:p w14:paraId="27C1948B">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29E71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4245B25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袋泡茶生产线</w:t>
                  </w:r>
                </w:p>
              </w:tc>
            </w:tr>
            <w:tr w14:paraId="58463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shd w:val="clear" w:color="auto" w:fill="auto"/>
                  <w:vAlign w:val="center"/>
                </w:tcPr>
                <w:p w14:paraId="5F0CE4F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55227CC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铁观音</w:t>
                  </w:r>
                </w:p>
              </w:tc>
              <w:tc>
                <w:tcPr>
                  <w:tcW w:w="543" w:type="pct"/>
                  <w:vAlign w:val="center"/>
                </w:tcPr>
                <w:p w14:paraId="7C88AB6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475" w:type="pct"/>
                  <w:vAlign w:val="center"/>
                </w:tcPr>
                <w:p w14:paraId="280434E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30AD1D7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2678A96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3t</w:t>
                  </w:r>
                </w:p>
              </w:tc>
              <w:tc>
                <w:tcPr>
                  <w:tcW w:w="1158" w:type="pct"/>
                  <w:vAlign w:val="center"/>
                </w:tcPr>
                <w:p w14:paraId="4E07D60D">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6E75C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shd w:val="clear" w:color="auto" w:fill="auto"/>
                  <w:vAlign w:val="center"/>
                </w:tcPr>
                <w:p w14:paraId="20FE493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72" w:type="pct"/>
                  <w:shd w:val="clear" w:color="auto" w:fill="auto"/>
                  <w:vAlign w:val="center"/>
                </w:tcPr>
                <w:p w14:paraId="26DD0BB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野山茶</w:t>
                  </w:r>
                </w:p>
              </w:tc>
              <w:tc>
                <w:tcPr>
                  <w:tcW w:w="543" w:type="pct"/>
                  <w:vAlign w:val="center"/>
                </w:tcPr>
                <w:p w14:paraId="7B37848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475" w:type="pct"/>
                  <w:vAlign w:val="center"/>
                </w:tcPr>
                <w:p w14:paraId="503F6FC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5856546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580D5F1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3t</w:t>
                  </w:r>
                </w:p>
              </w:tc>
              <w:tc>
                <w:tcPr>
                  <w:tcW w:w="1158" w:type="pct"/>
                  <w:vAlign w:val="center"/>
                </w:tcPr>
                <w:p w14:paraId="02297374">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4C078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shd w:val="clear" w:color="auto" w:fill="auto"/>
                  <w:vAlign w:val="center"/>
                </w:tcPr>
                <w:p w14:paraId="673B1B8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72" w:type="pct"/>
                  <w:shd w:val="clear" w:color="auto" w:fill="auto"/>
                  <w:vAlign w:val="center"/>
                </w:tcPr>
                <w:p w14:paraId="69B531D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荷叶</w:t>
                  </w:r>
                </w:p>
              </w:tc>
              <w:tc>
                <w:tcPr>
                  <w:tcW w:w="543" w:type="pct"/>
                  <w:vAlign w:val="center"/>
                </w:tcPr>
                <w:p w14:paraId="22CD4BB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475" w:type="pct"/>
                  <w:vAlign w:val="center"/>
                </w:tcPr>
                <w:p w14:paraId="3C51AD2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62FD3E9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082AC20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4t</w:t>
                  </w:r>
                </w:p>
              </w:tc>
              <w:tc>
                <w:tcPr>
                  <w:tcW w:w="1158" w:type="pct"/>
                  <w:vAlign w:val="center"/>
                </w:tcPr>
                <w:p w14:paraId="4E2AAADC">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4FC7D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shd w:val="clear" w:color="auto" w:fill="auto"/>
                  <w:vAlign w:val="center"/>
                </w:tcPr>
                <w:p w14:paraId="712905A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72" w:type="pct"/>
                  <w:shd w:val="clear" w:color="auto" w:fill="auto"/>
                  <w:vAlign w:val="center"/>
                </w:tcPr>
                <w:p w14:paraId="58AD02F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甘草</w:t>
                  </w:r>
                </w:p>
              </w:tc>
              <w:tc>
                <w:tcPr>
                  <w:tcW w:w="543" w:type="pct"/>
                  <w:vAlign w:val="center"/>
                </w:tcPr>
                <w:p w14:paraId="7966C4E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475" w:type="pct"/>
                  <w:vAlign w:val="center"/>
                </w:tcPr>
                <w:p w14:paraId="7758209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3DCE3E1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3D34A3F3">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2t</w:t>
                  </w:r>
                </w:p>
              </w:tc>
              <w:tc>
                <w:tcPr>
                  <w:tcW w:w="1158" w:type="pct"/>
                  <w:vAlign w:val="center"/>
                </w:tcPr>
                <w:p w14:paraId="497EAC26">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0B60A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shd w:val="clear" w:color="auto" w:fill="auto"/>
                  <w:vAlign w:val="center"/>
                </w:tcPr>
                <w:p w14:paraId="5E1F465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72" w:type="pct"/>
                  <w:shd w:val="clear" w:color="auto" w:fill="auto"/>
                  <w:vAlign w:val="center"/>
                </w:tcPr>
                <w:p w14:paraId="782FACE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菊花</w:t>
                  </w:r>
                </w:p>
              </w:tc>
              <w:tc>
                <w:tcPr>
                  <w:tcW w:w="543" w:type="pct"/>
                  <w:vAlign w:val="center"/>
                </w:tcPr>
                <w:p w14:paraId="4047408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475" w:type="pct"/>
                  <w:vAlign w:val="center"/>
                </w:tcPr>
                <w:p w14:paraId="36AF996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1F8D693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6A0411D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2t</w:t>
                  </w:r>
                </w:p>
              </w:tc>
              <w:tc>
                <w:tcPr>
                  <w:tcW w:w="1158" w:type="pct"/>
                  <w:vAlign w:val="center"/>
                </w:tcPr>
                <w:p w14:paraId="66612DD1">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01F534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25F78C1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672" w:type="pct"/>
                  <w:shd w:val="clear" w:color="auto" w:fill="auto"/>
                  <w:vAlign w:val="center"/>
                </w:tcPr>
                <w:p w14:paraId="3113E90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大枣</w:t>
                  </w:r>
                </w:p>
              </w:tc>
              <w:tc>
                <w:tcPr>
                  <w:tcW w:w="543" w:type="pct"/>
                  <w:vAlign w:val="center"/>
                </w:tcPr>
                <w:p w14:paraId="28DD90F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475" w:type="pct"/>
                  <w:vAlign w:val="center"/>
                </w:tcPr>
                <w:p w14:paraId="1238008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050F3B8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67CD196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2t</w:t>
                  </w:r>
                </w:p>
              </w:tc>
              <w:tc>
                <w:tcPr>
                  <w:tcW w:w="1158" w:type="pct"/>
                  <w:vAlign w:val="center"/>
                </w:tcPr>
                <w:p w14:paraId="412D77F7">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57E81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5A2C926C">
                  <w:pPr>
                    <w:jc w:val="center"/>
                    <w:rPr>
                      <w:color w:val="000000" w:themeColor="text1"/>
                      <w14:textFill>
                        <w14:solidFill>
                          <w14:schemeClr w14:val="tx1"/>
                        </w14:solidFill>
                      </w14:textFill>
                    </w:rPr>
                  </w:pPr>
                  <w:r>
                    <w:rPr>
                      <w:color w:val="000000" w:themeColor="text1"/>
                      <w14:textFill>
                        <w14:solidFill>
                          <w14:schemeClr w14:val="tx1"/>
                        </w14:solidFill>
                      </w14:textFill>
                    </w:rPr>
                    <w:t>医用手术衣</w:t>
                  </w:r>
                  <w:r>
                    <w:rPr>
                      <w:rFonts w:hint="eastAsia"/>
                      <w:color w:val="000000" w:themeColor="text1"/>
                      <w14:textFill>
                        <w14:solidFill>
                          <w14:schemeClr w14:val="tx1"/>
                        </w14:solidFill>
                      </w14:textFill>
                    </w:rPr>
                    <w:t>生产线</w:t>
                  </w:r>
                </w:p>
              </w:tc>
            </w:tr>
            <w:tr w14:paraId="1D3F4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2EACBF8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69F147F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SMS无纺布</w:t>
                  </w:r>
                </w:p>
              </w:tc>
              <w:tc>
                <w:tcPr>
                  <w:tcW w:w="543" w:type="pct"/>
                  <w:vAlign w:val="center"/>
                </w:tcPr>
                <w:p w14:paraId="2FAB951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50</w:t>
                  </w:r>
                </w:p>
              </w:tc>
              <w:tc>
                <w:tcPr>
                  <w:tcW w:w="475" w:type="pct"/>
                  <w:vAlign w:val="center"/>
                </w:tcPr>
                <w:p w14:paraId="1910FF4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5EF1E9B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外购，1#二类器械车间原料区</w:t>
                  </w:r>
                </w:p>
              </w:tc>
              <w:tc>
                <w:tcPr>
                  <w:tcW w:w="626" w:type="pct"/>
                  <w:vAlign w:val="center"/>
                </w:tcPr>
                <w:p w14:paraId="6739AE5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5t</w:t>
                  </w:r>
                </w:p>
              </w:tc>
              <w:tc>
                <w:tcPr>
                  <w:tcW w:w="1158" w:type="pct"/>
                  <w:vAlign w:val="center"/>
                </w:tcPr>
                <w:p w14:paraId="4FB3EF10">
                  <w:pPr>
                    <w:jc w:val="center"/>
                    <w:rPr>
                      <w:color w:val="000000" w:themeColor="text1"/>
                      <w14:textFill>
                        <w14:solidFill>
                          <w14:schemeClr w14:val="tx1"/>
                        </w14:solidFill>
                      </w14:textFill>
                    </w:rPr>
                  </w:pPr>
                  <w:r>
                    <w:rPr>
                      <w:color w:val="000000" w:themeColor="text1"/>
                      <w14:textFill>
                        <w14:solidFill>
                          <w14:schemeClr w14:val="tx1"/>
                        </w14:solidFill>
                      </w14:textFill>
                    </w:rPr>
                    <w:t>外购</w:t>
                  </w:r>
                </w:p>
              </w:tc>
            </w:tr>
            <w:tr w14:paraId="50469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0EC3EC33">
                  <w:pPr>
                    <w:jc w:val="center"/>
                    <w:rPr>
                      <w:color w:val="000000" w:themeColor="text1"/>
                      <w14:textFill>
                        <w14:solidFill>
                          <w14:schemeClr w14:val="tx1"/>
                        </w14:solidFill>
                      </w14:textFill>
                    </w:rPr>
                  </w:pPr>
                  <w:r>
                    <w:rPr>
                      <w:color w:val="000000" w:themeColor="text1"/>
                      <w14:textFill>
                        <w14:solidFill>
                          <w14:schemeClr w14:val="tx1"/>
                        </w14:solidFill>
                      </w14:textFill>
                    </w:rPr>
                    <w:t>热敷理疗产品</w:t>
                  </w:r>
                  <w:r>
                    <w:rPr>
                      <w:rFonts w:hint="eastAsia"/>
                      <w:color w:val="000000" w:themeColor="text1"/>
                      <w14:textFill>
                        <w14:solidFill>
                          <w14:schemeClr w14:val="tx1"/>
                        </w14:solidFill>
                      </w14:textFill>
                    </w:rPr>
                    <w:t>生产线</w:t>
                  </w:r>
                </w:p>
              </w:tc>
            </w:tr>
            <w:tr w14:paraId="6559C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shd w:val="clear" w:color="auto" w:fill="auto"/>
                  <w:vAlign w:val="center"/>
                </w:tcPr>
                <w:p w14:paraId="0088167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1BD7281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铁粉</w:t>
                  </w:r>
                </w:p>
              </w:tc>
              <w:tc>
                <w:tcPr>
                  <w:tcW w:w="543" w:type="pct"/>
                  <w:vAlign w:val="center"/>
                </w:tcPr>
                <w:p w14:paraId="4C3299DF">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100</w:t>
                  </w:r>
                </w:p>
              </w:tc>
              <w:tc>
                <w:tcPr>
                  <w:tcW w:w="475" w:type="pct"/>
                  <w:vAlign w:val="center"/>
                </w:tcPr>
                <w:p w14:paraId="0D255794">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3094956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外购，2#二类器械车间原料区</w:t>
                  </w:r>
                </w:p>
              </w:tc>
              <w:tc>
                <w:tcPr>
                  <w:tcW w:w="626" w:type="pct"/>
                  <w:vAlign w:val="center"/>
                </w:tcPr>
                <w:p w14:paraId="084BAC66">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10t</w:t>
                  </w:r>
                </w:p>
              </w:tc>
              <w:tc>
                <w:tcPr>
                  <w:tcW w:w="1158" w:type="pct"/>
                  <w:vAlign w:val="center"/>
                </w:tcPr>
                <w:p w14:paraId="1AB54C3D">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07494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shd w:val="clear" w:color="auto" w:fill="auto"/>
                  <w:vAlign w:val="center"/>
                </w:tcPr>
                <w:p w14:paraId="134524F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72" w:type="pct"/>
                  <w:shd w:val="clear" w:color="auto" w:fill="auto"/>
                  <w:vAlign w:val="center"/>
                </w:tcPr>
                <w:p w14:paraId="491D4F9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蛭石</w:t>
                  </w:r>
                </w:p>
              </w:tc>
              <w:tc>
                <w:tcPr>
                  <w:tcW w:w="543" w:type="pct"/>
                  <w:vAlign w:val="center"/>
                </w:tcPr>
                <w:p w14:paraId="5D47866B">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150</w:t>
                  </w:r>
                </w:p>
              </w:tc>
              <w:tc>
                <w:tcPr>
                  <w:tcW w:w="475" w:type="pct"/>
                  <w:vAlign w:val="center"/>
                </w:tcPr>
                <w:p w14:paraId="7844535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2D0A677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外购，2#二类器械车间原料区</w:t>
                  </w:r>
                </w:p>
              </w:tc>
              <w:tc>
                <w:tcPr>
                  <w:tcW w:w="626" w:type="pct"/>
                  <w:vAlign w:val="center"/>
                </w:tcPr>
                <w:p w14:paraId="22426F0E">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15t</w:t>
                  </w:r>
                </w:p>
              </w:tc>
              <w:tc>
                <w:tcPr>
                  <w:tcW w:w="1158" w:type="pct"/>
                  <w:vAlign w:val="center"/>
                </w:tcPr>
                <w:p w14:paraId="275514C0">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664B6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shd w:val="clear" w:color="auto" w:fill="auto"/>
                  <w:vAlign w:val="center"/>
                </w:tcPr>
                <w:p w14:paraId="7D11907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72" w:type="pct"/>
                  <w:shd w:val="clear" w:color="auto" w:fill="auto"/>
                  <w:vAlign w:val="center"/>
                </w:tcPr>
                <w:p w14:paraId="17BDCBE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盐</w:t>
                  </w:r>
                </w:p>
              </w:tc>
              <w:tc>
                <w:tcPr>
                  <w:tcW w:w="543" w:type="pct"/>
                  <w:vAlign w:val="center"/>
                </w:tcPr>
                <w:p w14:paraId="1A62D4CC">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150</w:t>
                  </w:r>
                </w:p>
              </w:tc>
              <w:tc>
                <w:tcPr>
                  <w:tcW w:w="475" w:type="pct"/>
                  <w:vAlign w:val="center"/>
                </w:tcPr>
                <w:p w14:paraId="6F3E754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3931E88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外购，2#二类器械车间原料区</w:t>
                  </w:r>
                </w:p>
              </w:tc>
              <w:tc>
                <w:tcPr>
                  <w:tcW w:w="626" w:type="pct"/>
                  <w:vAlign w:val="center"/>
                </w:tcPr>
                <w:p w14:paraId="1DC18C2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15t</w:t>
                  </w:r>
                </w:p>
              </w:tc>
              <w:tc>
                <w:tcPr>
                  <w:tcW w:w="1158" w:type="pct"/>
                  <w:vAlign w:val="center"/>
                </w:tcPr>
                <w:p w14:paraId="41FC4E8E">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07722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shd w:val="clear" w:color="auto" w:fill="auto"/>
                  <w:vAlign w:val="center"/>
                </w:tcPr>
                <w:p w14:paraId="284E92C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72" w:type="pct"/>
                  <w:shd w:val="clear" w:color="auto" w:fill="auto"/>
                  <w:vAlign w:val="center"/>
                </w:tcPr>
                <w:p w14:paraId="0BF64A1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碳粉</w:t>
                  </w:r>
                </w:p>
              </w:tc>
              <w:tc>
                <w:tcPr>
                  <w:tcW w:w="543" w:type="pct"/>
                  <w:vAlign w:val="center"/>
                </w:tcPr>
                <w:p w14:paraId="347E7663">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100</w:t>
                  </w:r>
                </w:p>
              </w:tc>
              <w:tc>
                <w:tcPr>
                  <w:tcW w:w="475" w:type="pct"/>
                  <w:vAlign w:val="center"/>
                </w:tcPr>
                <w:p w14:paraId="581C314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2E6A632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外购，2#二类器械车间原料区</w:t>
                  </w:r>
                </w:p>
              </w:tc>
              <w:tc>
                <w:tcPr>
                  <w:tcW w:w="626" w:type="pct"/>
                  <w:vAlign w:val="center"/>
                </w:tcPr>
                <w:p w14:paraId="1495F079">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10t</w:t>
                  </w:r>
                </w:p>
              </w:tc>
              <w:tc>
                <w:tcPr>
                  <w:tcW w:w="1158" w:type="pct"/>
                  <w:vAlign w:val="center"/>
                </w:tcPr>
                <w:p w14:paraId="52BA949D">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3AD4F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shd w:val="clear" w:color="auto" w:fill="auto"/>
                  <w:vAlign w:val="center"/>
                </w:tcPr>
                <w:p w14:paraId="47154C4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672" w:type="pct"/>
                  <w:shd w:val="clear" w:color="auto" w:fill="auto"/>
                  <w:vAlign w:val="center"/>
                </w:tcPr>
                <w:p w14:paraId="6835C0F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SMS无纺布</w:t>
                  </w:r>
                </w:p>
              </w:tc>
              <w:tc>
                <w:tcPr>
                  <w:tcW w:w="543" w:type="pct"/>
                  <w:vAlign w:val="center"/>
                </w:tcPr>
                <w:p w14:paraId="232DB59D">
                  <w:pPr>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60</w:t>
                  </w:r>
                </w:p>
              </w:tc>
              <w:tc>
                <w:tcPr>
                  <w:tcW w:w="475" w:type="pct"/>
                  <w:vAlign w:val="center"/>
                </w:tcPr>
                <w:p w14:paraId="461F875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1679B36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外购，2#二类器械车间原料区</w:t>
                  </w:r>
                </w:p>
              </w:tc>
              <w:tc>
                <w:tcPr>
                  <w:tcW w:w="626" w:type="pct"/>
                  <w:vAlign w:val="center"/>
                </w:tcPr>
                <w:p w14:paraId="540DF1B1">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6t</w:t>
                  </w:r>
                </w:p>
              </w:tc>
              <w:tc>
                <w:tcPr>
                  <w:tcW w:w="1158" w:type="pct"/>
                  <w:vAlign w:val="center"/>
                </w:tcPr>
                <w:p w14:paraId="0FA25790">
                  <w:pPr>
                    <w:jc w:val="center"/>
                    <w:rPr>
                      <w:color w:val="000000" w:themeColor="text1"/>
                      <w14:textFill>
                        <w14:solidFill>
                          <w14:schemeClr w14:val="tx1"/>
                        </w14:solidFill>
                      </w14:textFill>
                    </w:rPr>
                  </w:pPr>
                  <w:r>
                    <w:rPr>
                      <w:color w:val="000000" w:themeColor="text1"/>
                      <w14:textFill>
                        <w14:solidFill>
                          <w14:schemeClr w14:val="tx1"/>
                        </w14:solidFill>
                      </w14:textFill>
                    </w:rPr>
                    <w:t>外购</w:t>
                  </w:r>
                </w:p>
              </w:tc>
            </w:tr>
            <w:tr w14:paraId="7272C3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7518C734">
                  <w:pPr>
                    <w:jc w:val="center"/>
                    <w:rPr>
                      <w:color w:val="000000" w:themeColor="text1"/>
                      <w14:textFill>
                        <w14:solidFill>
                          <w14:schemeClr w14:val="tx1"/>
                        </w14:solidFill>
                      </w14:textFill>
                    </w:rPr>
                  </w:pPr>
                  <w:r>
                    <w:rPr>
                      <w:color w:val="000000" w:themeColor="text1"/>
                      <w14:textFill>
                        <w14:solidFill>
                          <w14:schemeClr w14:val="tx1"/>
                        </w14:solidFill>
                      </w14:textFill>
                    </w:rPr>
                    <w:t>治疗凝胶</w:t>
                  </w:r>
                  <w:r>
                    <w:rPr>
                      <w:rFonts w:hint="eastAsia"/>
                      <w:color w:val="000000" w:themeColor="text1"/>
                      <w14:textFill>
                        <w14:solidFill>
                          <w14:schemeClr w14:val="tx1"/>
                        </w14:solidFill>
                      </w14:textFill>
                    </w:rPr>
                    <w:t>生产线</w:t>
                  </w:r>
                </w:p>
              </w:tc>
            </w:tr>
            <w:tr w14:paraId="00261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08A9D33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2C82C6FB">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卡波姆</w:t>
                  </w:r>
                </w:p>
              </w:tc>
              <w:tc>
                <w:tcPr>
                  <w:tcW w:w="543" w:type="pct"/>
                  <w:shd w:val="clear" w:color="auto" w:fill="auto"/>
                  <w:vAlign w:val="center"/>
                </w:tcPr>
                <w:p w14:paraId="07FCFB52">
                  <w:pPr>
                    <w:pStyle w:val="31"/>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9.0</w:t>
                  </w:r>
                </w:p>
              </w:tc>
              <w:tc>
                <w:tcPr>
                  <w:tcW w:w="475" w:type="pct"/>
                  <w:vAlign w:val="center"/>
                </w:tcPr>
                <w:p w14:paraId="365117B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593785F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外购，1#二类器械车间原料区</w:t>
                  </w:r>
                </w:p>
              </w:tc>
              <w:tc>
                <w:tcPr>
                  <w:tcW w:w="626" w:type="pct"/>
                  <w:shd w:val="clear" w:color="auto" w:fill="auto"/>
                  <w:vAlign w:val="center"/>
                </w:tcPr>
                <w:p w14:paraId="3C3E3129">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0.5t</w:t>
                  </w:r>
                </w:p>
              </w:tc>
              <w:tc>
                <w:tcPr>
                  <w:tcW w:w="1158" w:type="pct"/>
                  <w:vAlign w:val="center"/>
                </w:tcPr>
                <w:p w14:paraId="76E56653">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3A095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62FED807">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72" w:type="pct"/>
                  <w:shd w:val="clear" w:color="auto" w:fill="auto"/>
                  <w:vAlign w:val="center"/>
                </w:tcPr>
                <w:p w14:paraId="6CB26C01">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壳聚糖</w:t>
                  </w:r>
                </w:p>
              </w:tc>
              <w:tc>
                <w:tcPr>
                  <w:tcW w:w="543" w:type="pct"/>
                  <w:shd w:val="clear" w:color="auto" w:fill="auto"/>
                  <w:vAlign w:val="center"/>
                </w:tcPr>
                <w:p w14:paraId="5E57B5D7">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40</w:t>
                  </w:r>
                </w:p>
              </w:tc>
              <w:tc>
                <w:tcPr>
                  <w:tcW w:w="475" w:type="pct"/>
                  <w:vAlign w:val="center"/>
                </w:tcPr>
                <w:p w14:paraId="4D0ACF0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04F3FF1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外购，1#二类器械车间原料区</w:t>
                  </w:r>
                </w:p>
              </w:tc>
              <w:tc>
                <w:tcPr>
                  <w:tcW w:w="626" w:type="pct"/>
                  <w:shd w:val="clear" w:color="auto" w:fill="auto"/>
                  <w:vAlign w:val="center"/>
                </w:tcPr>
                <w:p w14:paraId="5B80DA85">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4t</w:t>
                  </w:r>
                </w:p>
              </w:tc>
              <w:tc>
                <w:tcPr>
                  <w:tcW w:w="1158" w:type="pct"/>
                  <w:vAlign w:val="center"/>
                </w:tcPr>
                <w:p w14:paraId="171F4AD6">
                  <w:pPr>
                    <w:jc w:val="center"/>
                    <w:rPr>
                      <w:color w:val="000000" w:themeColor="text1"/>
                      <w14:textFill>
                        <w14:solidFill>
                          <w14:schemeClr w14:val="tx1"/>
                        </w14:solidFill>
                      </w14:textFill>
                    </w:rPr>
                  </w:pPr>
                  <w:r>
                    <w:rPr>
                      <w:color w:val="000000" w:themeColor="text1"/>
                      <w14:textFill>
                        <w14:solidFill>
                          <w14:schemeClr w14:val="tx1"/>
                        </w14:solidFill>
                      </w14:textFill>
                    </w:rPr>
                    <w:t>外购，袋装，50kg/袋</w:t>
                  </w:r>
                </w:p>
              </w:tc>
            </w:tr>
            <w:tr w14:paraId="18F94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45207F1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72" w:type="pct"/>
                  <w:shd w:val="clear" w:color="auto" w:fill="auto"/>
                  <w:vAlign w:val="center"/>
                </w:tcPr>
                <w:p w14:paraId="2234E90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薄荷醇溶液</w:t>
                  </w:r>
                </w:p>
              </w:tc>
              <w:tc>
                <w:tcPr>
                  <w:tcW w:w="543" w:type="pct"/>
                  <w:shd w:val="clear" w:color="auto" w:fill="auto"/>
                  <w:vAlign w:val="center"/>
                </w:tcPr>
                <w:p w14:paraId="1331742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28</w:t>
                  </w:r>
                </w:p>
              </w:tc>
              <w:tc>
                <w:tcPr>
                  <w:tcW w:w="475" w:type="pct"/>
                  <w:vAlign w:val="center"/>
                </w:tcPr>
                <w:p w14:paraId="07708A1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61B8FB6A">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外购，1#二类器械车间原料区</w:t>
                  </w:r>
                </w:p>
              </w:tc>
              <w:tc>
                <w:tcPr>
                  <w:tcW w:w="626" w:type="pct"/>
                  <w:shd w:val="clear" w:color="auto" w:fill="auto"/>
                  <w:vAlign w:val="center"/>
                </w:tcPr>
                <w:p w14:paraId="5A899D27">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3t</w:t>
                  </w:r>
                </w:p>
              </w:tc>
              <w:tc>
                <w:tcPr>
                  <w:tcW w:w="1158" w:type="pct"/>
                  <w:vAlign w:val="center"/>
                </w:tcPr>
                <w:p w14:paraId="4ADCD00A">
                  <w:pPr>
                    <w:jc w:val="center"/>
                    <w:rPr>
                      <w:color w:val="000000" w:themeColor="text1"/>
                      <w14:textFill>
                        <w14:solidFill>
                          <w14:schemeClr w14:val="tx1"/>
                        </w14:solidFill>
                      </w14:textFill>
                    </w:rPr>
                  </w:pPr>
                  <w:r>
                    <w:rPr>
                      <w:color w:val="000000" w:themeColor="text1"/>
                      <w14:textFill>
                        <w14:solidFill>
                          <w14:schemeClr w14:val="tx1"/>
                        </w14:solidFill>
                      </w14:textFill>
                    </w:rPr>
                    <w:t>外购，</w:t>
                  </w:r>
                  <w:r>
                    <w:rPr>
                      <w:rFonts w:hint="eastAsia"/>
                      <w:color w:val="000000" w:themeColor="text1"/>
                      <w14:textFill>
                        <w14:solidFill>
                          <w14:schemeClr w14:val="tx1"/>
                        </w14:solidFill>
                      </w14:textFill>
                    </w:rPr>
                    <w:t>桶</w:t>
                  </w:r>
                  <w:r>
                    <w:rPr>
                      <w:color w:val="000000" w:themeColor="text1"/>
                      <w14:textFill>
                        <w14:solidFill>
                          <w14:schemeClr w14:val="tx1"/>
                        </w14:solidFill>
                      </w14:textFill>
                    </w:rPr>
                    <w:t>装，50kg/</w:t>
                  </w:r>
                  <w:r>
                    <w:rPr>
                      <w:rFonts w:hint="eastAsia"/>
                      <w:color w:val="000000" w:themeColor="text1"/>
                      <w14:textFill>
                        <w14:solidFill>
                          <w14:schemeClr w14:val="tx1"/>
                        </w14:solidFill>
                      </w14:textFill>
                    </w:rPr>
                    <w:t>桶</w:t>
                  </w:r>
                </w:p>
              </w:tc>
            </w:tr>
            <w:tr w14:paraId="0AC67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2E8C885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辅料</w:t>
                  </w:r>
                </w:p>
              </w:tc>
            </w:tr>
            <w:tr w14:paraId="71320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4C034A1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3715D68A">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酸洗清洗剂</w:t>
                  </w:r>
                </w:p>
              </w:tc>
              <w:tc>
                <w:tcPr>
                  <w:tcW w:w="543" w:type="pct"/>
                  <w:shd w:val="clear" w:color="auto" w:fill="auto"/>
                  <w:vAlign w:val="center"/>
                </w:tcPr>
                <w:p w14:paraId="7CA34FC6">
                  <w:pPr>
                    <w:pStyle w:val="31"/>
                    <w:rPr>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200</w:t>
                  </w:r>
                </w:p>
              </w:tc>
              <w:tc>
                <w:tcPr>
                  <w:tcW w:w="904" w:type="dxa"/>
                  <w:vAlign w:val="center"/>
                </w:tcPr>
                <w:p w14:paraId="64E2CB1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36048A0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472D8BA1">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20t</w:t>
                  </w:r>
                </w:p>
              </w:tc>
              <w:tc>
                <w:tcPr>
                  <w:tcW w:w="1158" w:type="pct"/>
                  <w:vAlign w:val="center"/>
                </w:tcPr>
                <w:p w14:paraId="2482084A">
                  <w:pPr>
                    <w:pStyle w:val="61"/>
                    <w:spacing w:before="46"/>
                    <w:ind w:left="78" w:right="80"/>
                    <w:jc w:val="center"/>
                    <w:rPr>
                      <w:rFonts w:eastAsia="宋体"/>
                      <w:color w:val="000000" w:themeColor="text1"/>
                      <w:lang w:val="en-US"/>
                      <w14:textFill>
                        <w14:solidFill>
                          <w14:schemeClr w14:val="tx1"/>
                        </w14:solidFill>
                      </w14:textFill>
                    </w:rPr>
                  </w:pPr>
                  <w:r>
                    <w:rPr>
                      <w:rFonts w:ascii="Times New Roman" w:hAnsi="Times New Roman" w:eastAsia="宋体" w:cs="Times New Roman"/>
                      <w:color w:val="000000" w:themeColor="text1"/>
                      <w:lang w:val="en-US"/>
                      <w14:textFill>
                        <w14:solidFill>
                          <w14:schemeClr w14:val="tx1"/>
                        </w14:solidFill>
                      </w14:textFill>
                    </w:rPr>
                    <w:t>外购；</w:t>
                  </w:r>
                  <w:r>
                    <w:rPr>
                      <w:rFonts w:ascii="Times New Roman" w:hAnsi="Times New Roman" w:eastAsia="宋体" w:cs="Times New Roman"/>
                      <w:color w:val="000000" w:themeColor="text1"/>
                      <w:spacing w:val="-5"/>
                      <w14:textFill>
                        <w14:solidFill>
                          <w14:schemeClr w14:val="tx1"/>
                        </w14:solidFill>
                      </w14:textFill>
                    </w:rPr>
                    <w:t>浓度</w:t>
                  </w:r>
                  <w:r>
                    <w:rPr>
                      <w:rFonts w:ascii="Times New Roman" w:hAnsi="Times New Roman" w:eastAsia="宋体" w:cs="Times New Roman"/>
                      <w:color w:val="000000" w:themeColor="text1"/>
                      <w:spacing w:val="-2"/>
                      <w14:textFill>
                        <w14:solidFill>
                          <w14:schemeClr w14:val="tx1"/>
                        </w14:solidFill>
                      </w14:textFill>
                    </w:rPr>
                    <w:t xml:space="preserve">1%~2% </w:t>
                  </w:r>
                  <w:r>
                    <w:rPr>
                      <w:rFonts w:ascii="Times New Roman" w:hAnsi="Times New Roman" w:eastAsia="宋体" w:cs="Times New Roman"/>
                      <w:color w:val="000000" w:themeColor="text1"/>
                      <w:spacing w:val="-4"/>
                      <w14:textFill>
                        <w14:solidFill>
                          <w14:schemeClr w14:val="tx1"/>
                        </w14:solidFill>
                      </w14:textFill>
                    </w:rPr>
                    <w:t>HNO</w:t>
                  </w:r>
                  <w:r>
                    <w:rPr>
                      <w:rFonts w:ascii="Times New Roman" w:hAnsi="Times New Roman" w:eastAsia="宋体" w:cs="Times New Roman"/>
                      <w:color w:val="000000" w:themeColor="text1"/>
                      <w:spacing w:val="-4"/>
                      <w:vertAlign w:val="subscript"/>
                      <w14:textFill>
                        <w14:solidFill>
                          <w14:schemeClr w14:val="tx1"/>
                        </w14:solidFill>
                      </w14:textFill>
                    </w:rPr>
                    <w:t>3</w:t>
                  </w:r>
                  <w:r>
                    <w:rPr>
                      <w:rFonts w:hint="eastAsia" w:ascii="宋体" w:hAnsi="宋体" w:eastAsia="宋体" w:cs="宋体"/>
                      <w:color w:val="000000" w:themeColor="text1"/>
                      <w:lang w:val="en-US"/>
                      <w14:textFill>
                        <w14:solidFill>
                          <w14:schemeClr w14:val="tx1"/>
                        </w14:solidFill>
                      </w14:textFill>
                    </w:rPr>
                    <w:t>溶液</w:t>
                  </w:r>
                </w:p>
              </w:tc>
            </w:tr>
            <w:tr w14:paraId="6F454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2300192">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72" w:type="pct"/>
                  <w:shd w:val="clear" w:color="auto" w:fill="auto"/>
                  <w:vAlign w:val="center"/>
                </w:tcPr>
                <w:p w14:paraId="06579D5C">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氢氧化钠</w:t>
                  </w:r>
                </w:p>
              </w:tc>
              <w:tc>
                <w:tcPr>
                  <w:tcW w:w="543" w:type="pct"/>
                  <w:shd w:val="clear" w:color="auto" w:fill="auto"/>
                  <w:vAlign w:val="center"/>
                </w:tcPr>
                <w:p w14:paraId="4104300B">
                  <w:pPr>
                    <w:pStyle w:val="31"/>
                    <w:rPr>
                      <w:color w:val="000000" w:themeColor="text1"/>
                      <w:highlight w:val="yellow"/>
                      <w14:textFill>
                        <w14:solidFill>
                          <w14:schemeClr w14:val="tx1"/>
                        </w14:solidFill>
                      </w14:textFill>
                    </w:rPr>
                  </w:pPr>
                  <w:r>
                    <w:rPr>
                      <w:rFonts w:hint="eastAsia"/>
                      <w:color w:val="000000" w:themeColor="text1"/>
                      <w14:textFill>
                        <w14:solidFill>
                          <w14:schemeClr w14:val="tx1"/>
                        </w14:solidFill>
                      </w14:textFill>
                    </w:rPr>
                    <w:t>4.0</w:t>
                  </w:r>
                </w:p>
              </w:tc>
              <w:tc>
                <w:tcPr>
                  <w:tcW w:w="904" w:type="dxa"/>
                  <w:vAlign w:val="center"/>
                </w:tcPr>
                <w:p w14:paraId="6709375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042F2D1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外购，综合仓库</w:t>
                  </w:r>
                </w:p>
              </w:tc>
              <w:tc>
                <w:tcPr>
                  <w:tcW w:w="626" w:type="pct"/>
                  <w:shd w:val="clear" w:color="auto" w:fill="auto"/>
                  <w:vAlign w:val="center"/>
                </w:tcPr>
                <w:p w14:paraId="318884C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0.</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t</w:t>
                  </w:r>
                </w:p>
              </w:tc>
              <w:tc>
                <w:tcPr>
                  <w:tcW w:w="1158" w:type="pct"/>
                  <w:vAlign w:val="center"/>
                </w:tcPr>
                <w:p w14:paraId="5CFD7C63">
                  <w:pPr>
                    <w:jc w:val="center"/>
                    <w:rPr>
                      <w:color w:val="000000" w:themeColor="text1"/>
                      <w14:textFill>
                        <w14:solidFill>
                          <w14:schemeClr w14:val="tx1"/>
                        </w14:solidFill>
                      </w14:textFill>
                    </w:rPr>
                  </w:pPr>
                  <w:r>
                    <w:rPr>
                      <w:color w:val="000000" w:themeColor="text1"/>
                      <w14:textFill>
                        <w14:solidFill>
                          <w14:schemeClr w14:val="tx1"/>
                        </w14:solidFill>
                      </w14:textFill>
                    </w:rPr>
                    <w:t>外购；固态，20kg/袋</w:t>
                  </w:r>
                </w:p>
              </w:tc>
            </w:tr>
            <w:tr w14:paraId="0C194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4359ACC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72" w:type="pct"/>
                  <w:shd w:val="clear" w:color="auto" w:fill="auto"/>
                  <w:vAlign w:val="center"/>
                </w:tcPr>
                <w:p w14:paraId="30F39944">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乙二醇</w:t>
                  </w:r>
                </w:p>
              </w:tc>
              <w:tc>
                <w:tcPr>
                  <w:tcW w:w="543" w:type="pct"/>
                  <w:shd w:val="clear" w:color="auto" w:fill="auto"/>
                  <w:vAlign w:val="center"/>
                </w:tcPr>
                <w:p w14:paraId="6AB794E1">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0.2</w:t>
                  </w:r>
                </w:p>
              </w:tc>
              <w:tc>
                <w:tcPr>
                  <w:tcW w:w="904" w:type="dxa"/>
                  <w:vAlign w:val="center"/>
                </w:tcPr>
                <w:p w14:paraId="68D859F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35AFA26E">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直接由厂家加入，不再厂区内暂存</w:t>
                  </w:r>
                </w:p>
              </w:tc>
              <w:tc>
                <w:tcPr>
                  <w:tcW w:w="626" w:type="pct"/>
                  <w:shd w:val="clear" w:color="auto" w:fill="auto"/>
                  <w:vAlign w:val="center"/>
                </w:tcPr>
                <w:p w14:paraId="7E9C464B">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1158" w:type="pct"/>
                  <w:vAlign w:val="center"/>
                </w:tcPr>
                <w:p w14:paraId="56C825F8">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1726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5C4A741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672" w:type="pct"/>
                  <w:shd w:val="clear" w:color="auto" w:fill="auto"/>
                  <w:vAlign w:val="center"/>
                </w:tcPr>
                <w:p w14:paraId="4FBD99F3">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R507环保型制冷剂</w:t>
                  </w:r>
                </w:p>
              </w:tc>
              <w:tc>
                <w:tcPr>
                  <w:tcW w:w="543" w:type="pct"/>
                  <w:shd w:val="clear" w:color="auto" w:fill="auto"/>
                  <w:vAlign w:val="center"/>
                </w:tcPr>
                <w:p w14:paraId="6FB2E530">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0.02</w:t>
                  </w:r>
                </w:p>
              </w:tc>
              <w:tc>
                <w:tcPr>
                  <w:tcW w:w="475" w:type="pct"/>
                  <w:vAlign w:val="center"/>
                </w:tcPr>
                <w:p w14:paraId="2345262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t/a</w:t>
                  </w:r>
                </w:p>
              </w:tc>
              <w:tc>
                <w:tcPr>
                  <w:tcW w:w="1214" w:type="pct"/>
                  <w:vAlign w:val="center"/>
                </w:tcPr>
                <w:p w14:paraId="3FBD869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直接由厂家加入，不再厂区内暂存</w:t>
                  </w:r>
                </w:p>
              </w:tc>
              <w:tc>
                <w:tcPr>
                  <w:tcW w:w="1191" w:type="dxa"/>
                  <w:shd w:val="clear" w:color="auto" w:fill="auto"/>
                  <w:vAlign w:val="center"/>
                </w:tcPr>
                <w:p w14:paraId="6A399D86">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c>
                <w:tcPr>
                  <w:tcW w:w="2207" w:type="dxa"/>
                  <w:vAlign w:val="center"/>
                </w:tcPr>
                <w:p w14:paraId="06B7C48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w:t>
                  </w:r>
                </w:p>
              </w:tc>
            </w:tr>
            <w:tr w14:paraId="0C7E3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7"/>
                  <w:vAlign w:val="center"/>
                </w:tcPr>
                <w:p w14:paraId="5FA5A2ED">
                  <w:pPr>
                    <w:jc w:val="center"/>
                    <w:rPr>
                      <w:color w:val="000000" w:themeColor="text1"/>
                      <w14:textFill>
                        <w14:solidFill>
                          <w14:schemeClr w14:val="tx1"/>
                        </w14:solidFill>
                      </w14:textFill>
                    </w:rPr>
                  </w:pPr>
                  <w:r>
                    <w:rPr>
                      <w:color w:val="000000" w:themeColor="text1"/>
                      <w14:textFill>
                        <w14:solidFill>
                          <w14:schemeClr w14:val="tx1"/>
                        </w14:solidFill>
                      </w14:textFill>
                    </w:rPr>
                    <w:t>能源消耗</w:t>
                  </w:r>
                </w:p>
              </w:tc>
            </w:tr>
            <w:tr w14:paraId="46431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466981E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1</w:t>
                  </w:r>
                </w:p>
              </w:tc>
              <w:tc>
                <w:tcPr>
                  <w:tcW w:w="672" w:type="pct"/>
                  <w:shd w:val="clear" w:color="auto" w:fill="auto"/>
                  <w:vAlign w:val="center"/>
                </w:tcPr>
                <w:p w14:paraId="0B2C7DFE">
                  <w:pPr>
                    <w:pStyle w:val="31"/>
                    <w:rPr>
                      <w:color w:val="000000" w:themeColor="text1"/>
                      <w14:textFill>
                        <w14:solidFill>
                          <w14:schemeClr w14:val="tx1"/>
                        </w14:solidFill>
                      </w14:textFill>
                    </w:rPr>
                  </w:pPr>
                  <w:r>
                    <w:rPr>
                      <w:color w:val="000000" w:themeColor="text1"/>
                      <w14:textFill>
                        <w14:solidFill>
                          <w14:schemeClr w14:val="tx1"/>
                        </w14:solidFill>
                      </w14:textFill>
                    </w:rPr>
                    <w:t>水</w:t>
                  </w:r>
                </w:p>
              </w:tc>
              <w:tc>
                <w:tcPr>
                  <w:tcW w:w="2233" w:type="pct"/>
                  <w:gridSpan w:val="3"/>
                  <w:shd w:val="clear" w:color="auto" w:fill="auto"/>
                  <w:vAlign w:val="center"/>
                </w:tcPr>
                <w:p w14:paraId="62347CE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87</w:t>
                  </w:r>
                  <w:r>
                    <w:rPr>
                      <w:rFonts w:hint="eastAsia"/>
                      <w:color w:val="000000" w:themeColor="text1"/>
                      <w:lang w:val="en-US" w:eastAsia="zh-CN"/>
                      <w14:textFill>
                        <w14:solidFill>
                          <w14:schemeClr w14:val="tx1"/>
                        </w14:solidFill>
                      </w14:textFill>
                    </w:rPr>
                    <w:t>99.171</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p>
              </w:tc>
              <w:tc>
                <w:tcPr>
                  <w:tcW w:w="1784" w:type="pct"/>
                  <w:gridSpan w:val="2"/>
                  <w:shd w:val="clear" w:color="auto" w:fill="auto"/>
                  <w:vAlign w:val="center"/>
                </w:tcPr>
                <w:p w14:paraId="4B4C046B">
                  <w:pPr>
                    <w:pStyle w:val="31"/>
                    <w:rPr>
                      <w:color w:val="000000" w:themeColor="text1"/>
                      <w14:textFill>
                        <w14:solidFill>
                          <w14:schemeClr w14:val="tx1"/>
                        </w14:solidFill>
                      </w14:textFill>
                    </w:rPr>
                  </w:pPr>
                  <w:r>
                    <w:rPr>
                      <w:color w:val="000000" w:themeColor="text1"/>
                      <w14:textFill>
                        <w14:solidFill>
                          <w14:schemeClr w14:val="tx1"/>
                        </w14:solidFill>
                      </w14:textFill>
                    </w:rPr>
                    <w:t>由</w:t>
                  </w:r>
                  <w:r>
                    <w:rPr>
                      <w:rFonts w:hint="eastAsia"/>
                      <w:color w:val="000000" w:themeColor="text1"/>
                      <w14:textFill>
                        <w14:solidFill>
                          <w14:schemeClr w14:val="tx1"/>
                        </w14:solidFill>
                      </w14:textFill>
                    </w:rPr>
                    <w:t>镇平县</w:t>
                  </w:r>
                  <w:r>
                    <w:rPr>
                      <w:color w:val="000000" w:themeColor="text1"/>
                      <w14:textFill>
                        <w14:solidFill>
                          <w14:schemeClr w14:val="tx1"/>
                        </w14:solidFill>
                      </w14:textFill>
                    </w:rPr>
                    <w:t>先进制造业开发区市政供水管网供给</w:t>
                  </w:r>
                </w:p>
              </w:tc>
            </w:tr>
            <w:tr w14:paraId="18524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409775C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p>
              </w:tc>
              <w:tc>
                <w:tcPr>
                  <w:tcW w:w="672" w:type="pct"/>
                  <w:shd w:val="clear" w:color="auto" w:fill="auto"/>
                  <w:vAlign w:val="center"/>
                </w:tcPr>
                <w:p w14:paraId="1D671683">
                  <w:pPr>
                    <w:pStyle w:val="31"/>
                    <w:rPr>
                      <w:color w:val="000000" w:themeColor="text1"/>
                      <w14:textFill>
                        <w14:solidFill>
                          <w14:schemeClr w14:val="tx1"/>
                        </w14:solidFill>
                      </w14:textFill>
                    </w:rPr>
                  </w:pPr>
                  <w:r>
                    <w:rPr>
                      <w:color w:val="000000" w:themeColor="text1"/>
                      <w14:textFill>
                        <w14:solidFill>
                          <w14:schemeClr w14:val="tx1"/>
                        </w14:solidFill>
                      </w14:textFill>
                    </w:rPr>
                    <w:t>电</w:t>
                  </w:r>
                </w:p>
              </w:tc>
              <w:tc>
                <w:tcPr>
                  <w:tcW w:w="2233" w:type="pct"/>
                  <w:gridSpan w:val="3"/>
                  <w:shd w:val="clear" w:color="auto" w:fill="auto"/>
                  <w:vAlign w:val="center"/>
                </w:tcPr>
                <w:p w14:paraId="73F2DFFC">
                  <w:pPr>
                    <w:pStyle w:val="31"/>
                    <w:rPr>
                      <w:color w:val="000000" w:themeColor="text1"/>
                      <w14:textFill>
                        <w14:solidFill>
                          <w14:schemeClr w14:val="tx1"/>
                        </w14:solidFill>
                      </w14:textFill>
                    </w:rPr>
                  </w:pPr>
                  <w:r>
                    <w:rPr>
                      <w:color w:val="000000" w:themeColor="text1"/>
                      <w14:textFill>
                        <w14:solidFill>
                          <w14:schemeClr w14:val="tx1"/>
                        </w14:solidFill>
                      </w14:textFill>
                    </w:rPr>
                    <w:t>90万KW﹒h/a</w:t>
                  </w:r>
                </w:p>
              </w:tc>
              <w:tc>
                <w:tcPr>
                  <w:tcW w:w="1784" w:type="pct"/>
                  <w:gridSpan w:val="2"/>
                  <w:shd w:val="clear" w:color="auto" w:fill="auto"/>
                  <w:vAlign w:val="center"/>
                </w:tcPr>
                <w:p w14:paraId="3E624DE8">
                  <w:pPr>
                    <w:pStyle w:val="31"/>
                    <w:rPr>
                      <w:color w:val="000000" w:themeColor="text1"/>
                      <w14:textFill>
                        <w14:solidFill>
                          <w14:schemeClr w14:val="tx1"/>
                        </w14:solidFill>
                      </w14:textFill>
                    </w:rPr>
                  </w:pPr>
                  <w:r>
                    <w:rPr>
                      <w:color w:val="000000" w:themeColor="text1"/>
                      <w14:textFill>
                        <w14:solidFill>
                          <w14:schemeClr w14:val="tx1"/>
                        </w14:solidFill>
                      </w14:textFill>
                    </w:rPr>
                    <w:t>由</w:t>
                  </w:r>
                  <w:r>
                    <w:rPr>
                      <w:rFonts w:hint="eastAsia"/>
                      <w:color w:val="000000" w:themeColor="text1"/>
                      <w14:textFill>
                        <w14:solidFill>
                          <w14:schemeClr w14:val="tx1"/>
                        </w14:solidFill>
                      </w14:textFill>
                    </w:rPr>
                    <w:t>镇平县</w:t>
                  </w:r>
                  <w:r>
                    <w:rPr>
                      <w:color w:val="000000" w:themeColor="text1"/>
                      <w14:textFill>
                        <w14:solidFill>
                          <w14:schemeClr w14:val="tx1"/>
                        </w14:solidFill>
                      </w14:textFill>
                    </w:rPr>
                    <w:t>先进制造业开发区市政供电系统提供</w:t>
                  </w:r>
                </w:p>
              </w:tc>
            </w:tr>
            <w:tr w14:paraId="60CCC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9" w:type="pct"/>
                  <w:vAlign w:val="center"/>
                </w:tcPr>
                <w:p w14:paraId="6CD6BDA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672" w:type="pct"/>
                  <w:shd w:val="clear" w:color="auto" w:fill="auto"/>
                  <w:vAlign w:val="center"/>
                </w:tcPr>
                <w:p w14:paraId="6FF60A78">
                  <w:pPr>
                    <w:pStyle w:val="31"/>
                    <w:rPr>
                      <w:color w:val="000000" w:themeColor="text1"/>
                      <w14:textFill>
                        <w14:solidFill>
                          <w14:schemeClr w14:val="tx1"/>
                        </w14:solidFill>
                      </w14:textFill>
                    </w:rPr>
                  </w:pPr>
                  <w:r>
                    <w:rPr>
                      <w:color w:val="000000" w:themeColor="text1"/>
                      <w14:textFill>
                        <w14:solidFill>
                          <w14:schemeClr w14:val="tx1"/>
                        </w14:solidFill>
                      </w14:textFill>
                    </w:rPr>
                    <w:t>天然气</w:t>
                  </w:r>
                </w:p>
              </w:tc>
              <w:tc>
                <w:tcPr>
                  <w:tcW w:w="2233" w:type="pct"/>
                  <w:gridSpan w:val="3"/>
                  <w:shd w:val="clear" w:color="auto" w:fill="auto"/>
                  <w:vAlign w:val="center"/>
                </w:tcPr>
                <w:p w14:paraId="24A12A14">
                  <w:pPr>
                    <w:pStyle w:val="31"/>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161978.952m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/a</w:t>
                  </w:r>
                </w:p>
              </w:tc>
              <w:tc>
                <w:tcPr>
                  <w:tcW w:w="1784" w:type="pct"/>
                  <w:gridSpan w:val="2"/>
                  <w:shd w:val="clear" w:color="auto" w:fill="auto"/>
                  <w:vAlign w:val="center"/>
                </w:tcPr>
                <w:p w14:paraId="43EEB1E5">
                  <w:pPr>
                    <w:pStyle w:val="31"/>
                    <w:rPr>
                      <w:color w:val="000000" w:themeColor="text1"/>
                      <w14:textFill>
                        <w14:solidFill>
                          <w14:schemeClr w14:val="tx1"/>
                        </w14:solidFill>
                      </w14:textFill>
                    </w:rPr>
                  </w:pPr>
                  <w:r>
                    <w:rPr>
                      <w:bCs/>
                      <w:color w:val="000000" w:themeColor="text1"/>
                      <w:szCs w:val="21"/>
                      <w14:textFill>
                        <w14:solidFill>
                          <w14:schemeClr w14:val="tx1"/>
                        </w14:solidFill>
                      </w14:textFill>
                    </w:rPr>
                    <w:t>由</w:t>
                  </w:r>
                  <w:r>
                    <w:rPr>
                      <w:rFonts w:hint="eastAsia"/>
                      <w:color w:val="000000" w:themeColor="text1"/>
                      <w14:textFill>
                        <w14:solidFill>
                          <w14:schemeClr w14:val="tx1"/>
                        </w14:solidFill>
                      </w14:textFill>
                    </w:rPr>
                    <w:t>镇平县</w:t>
                  </w:r>
                  <w:r>
                    <w:rPr>
                      <w:color w:val="000000" w:themeColor="text1"/>
                      <w14:textFill>
                        <w14:solidFill>
                          <w14:schemeClr w14:val="tx1"/>
                        </w14:solidFill>
                      </w14:textFill>
                    </w:rPr>
                    <w:t>先进制造业开发区</w:t>
                  </w:r>
                  <w:r>
                    <w:rPr>
                      <w:bCs/>
                      <w:color w:val="000000" w:themeColor="text1"/>
                      <w:szCs w:val="21"/>
                      <w14:textFill>
                        <w14:solidFill>
                          <w14:schemeClr w14:val="tx1"/>
                        </w14:solidFill>
                      </w14:textFill>
                    </w:rPr>
                    <w:t>市政天然气管网提供</w:t>
                  </w:r>
                </w:p>
              </w:tc>
            </w:tr>
          </w:tbl>
          <w:p w14:paraId="4EE8CB3E">
            <w:pPr>
              <w:spacing w:line="360" w:lineRule="auto"/>
              <w:jc w:val="center"/>
              <w:rPr>
                <w:b/>
                <w:color w:val="000000" w:themeColor="text1"/>
                <w14:textFill>
                  <w14:solidFill>
                    <w14:schemeClr w14:val="tx1"/>
                  </w14:solidFill>
                </w14:textFill>
              </w:rPr>
            </w:pPr>
            <w:r>
              <w:rPr>
                <w:b/>
                <w:bCs/>
                <w:color w:val="000000" w:themeColor="text1"/>
                <w:sz w:val="24"/>
                <w14:textFill>
                  <w14:solidFill>
                    <w14:schemeClr w14:val="tx1"/>
                  </w14:solidFill>
                </w14:textFill>
              </w:rPr>
              <w:t>表2-</w:t>
            </w:r>
            <w:r>
              <w:rPr>
                <w:rFonts w:hint="eastAsia"/>
                <w:b/>
                <w:bCs/>
                <w:color w:val="000000" w:themeColor="text1"/>
                <w:sz w:val="24"/>
                <w14:textFill>
                  <w14:solidFill>
                    <w14:schemeClr w14:val="tx1"/>
                  </w14:solidFill>
                </w14:textFill>
              </w:rPr>
              <w:t xml:space="preserve">13  </w:t>
            </w:r>
            <w:r>
              <w:rPr>
                <w:b/>
                <w:bCs/>
                <w:color w:val="000000" w:themeColor="text1"/>
                <w:sz w:val="24"/>
                <w14:textFill>
                  <w14:solidFill>
                    <w14:schemeClr w14:val="tx1"/>
                  </w14:solidFill>
                </w14:textFill>
              </w:rPr>
              <w:t>项目主要原辅材料理化性质一览表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4"/>
              <w:gridCol w:w="8127"/>
            </w:tblGrid>
            <w:tr w14:paraId="2472B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7C138935">
                  <w:pPr>
                    <w:pStyle w:val="31"/>
                    <w:rPr>
                      <w:color w:val="000000" w:themeColor="text1"/>
                      <w14:textFill>
                        <w14:solidFill>
                          <w14:schemeClr w14:val="tx1"/>
                        </w14:solidFill>
                      </w14:textFill>
                    </w:rPr>
                  </w:pPr>
                  <w:r>
                    <w:rPr>
                      <w:color w:val="000000" w:themeColor="text1"/>
                      <w14:textFill>
                        <w14:solidFill>
                          <w14:schemeClr w14:val="tx1"/>
                        </w14:solidFill>
                      </w14:textFill>
                    </w:rPr>
                    <w:t>原辅材料</w:t>
                  </w:r>
                </w:p>
              </w:tc>
              <w:tc>
                <w:tcPr>
                  <w:tcW w:w="4326" w:type="pct"/>
                  <w:vAlign w:val="center"/>
                </w:tcPr>
                <w:p w14:paraId="21BFE741">
                  <w:pPr>
                    <w:pStyle w:val="31"/>
                    <w:rPr>
                      <w:color w:val="000000" w:themeColor="text1"/>
                      <w14:textFill>
                        <w14:solidFill>
                          <w14:schemeClr w14:val="tx1"/>
                        </w14:solidFill>
                      </w14:textFill>
                    </w:rPr>
                  </w:pPr>
                  <w:r>
                    <w:rPr>
                      <w:color w:val="000000" w:themeColor="text1"/>
                      <w14:textFill>
                        <w14:solidFill>
                          <w14:schemeClr w14:val="tx1"/>
                        </w14:solidFill>
                      </w14:textFill>
                    </w:rPr>
                    <w:t>理化性质</w:t>
                  </w:r>
                </w:p>
              </w:tc>
            </w:tr>
            <w:tr w14:paraId="5E4D6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shd w:val="clear" w:color="auto" w:fill="auto"/>
                  <w:vAlign w:val="center"/>
                </w:tcPr>
                <w:p w14:paraId="69890FB6">
                  <w:pPr>
                    <w:pStyle w:val="31"/>
                    <w:rPr>
                      <w:color w:val="000000" w:themeColor="text1"/>
                      <w14:textFill>
                        <w14:solidFill>
                          <w14:schemeClr w14:val="tx1"/>
                        </w14:solidFill>
                      </w14:textFill>
                    </w:rPr>
                  </w:pPr>
                  <w:r>
                    <w:rPr>
                      <w:color w:val="000000" w:themeColor="text1"/>
                      <w:szCs w:val="21"/>
                      <w14:textFill>
                        <w14:solidFill>
                          <w14:schemeClr w14:val="tx1"/>
                        </w14:solidFill>
                      </w14:textFill>
                    </w:rPr>
                    <w:t>硅藻土</w:t>
                  </w:r>
                </w:p>
              </w:tc>
              <w:tc>
                <w:tcPr>
                  <w:tcW w:w="4326" w:type="pct"/>
                  <w:vAlign w:val="center"/>
                </w:tcPr>
                <w:p w14:paraId="1F9D3F46">
                  <w:pPr>
                    <w:widowControl/>
                    <w:rPr>
                      <w:color w:val="000000" w:themeColor="text1"/>
                      <w14:textFill>
                        <w14:solidFill>
                          <w14:schemeClr w14:val="tx1"/>
                        </w14:solidFill>
                      </w14:textFill>
                    </w:rPr>
                  </w:pPr>
                  <w:r>
                    <w:rPr>
                      <w:color w:val="000000" w:themeColor="text1"/>
                      <w:kern w:val="0"/>
                      <w:szCs w:val="21"/>
                      <w14:textFill>
                        <w14:solidFill>
                          <w14:schemeClr w14:val="tx1"/>
                        </w14:solidFill>
                      </w14:textFill>
                    </w:rPr>
                    <w:t>化学成分主要是SiO</w:t>
                  </w:r>
                  <w:r>
                    <w:rPr>
                      <w:color w:val="000000" w:themeColor="text1"/>
                      <w:kern w:val="0"/>
                      <w:szCs w:val="21"/>
                      <w:vertAlign w:val="subscript"/>
                      <w14:textFill>
                        <w14:solidFill>
                          <w14:schemeClr w14:val="tx1"/>
                        </w14:solidFill>
                      </w14:textFill>
                    </w:rPr>
                    <w:t>2</w:t>
                  </w:r>
                  <w:r>
                    <w:rPr>
                      <w:color w:val="000000" w:themeColor="text1"/>
                      <w:kern w:val="0"/>
                      <w:szCs w:val="21"/>
                      <w14:textFill>
                        <w14:solidFill>
                          <w14:schemeClr w14:val="tx1"/>
                        </w14:solidFill>
                      </w14:textFill>
                    </w:rPr>
                    <w:t>，含有少量的Al</w:t>
                  </w:r>
                  <w:r>
                    <w:rPr>
                      <w:color w:val="000000" w:themeColor="text1"/>
                      <w:kern w:val="0"/>
                      <w:szCs w:val="21"/>
                      <w:vertAlign w:val="subscript"/>
                      <w14:textFill>
                        <w14:solidFill>
                          <w14:schemeClr w14:val="tx1"/>
                        </w14:solidFill>
                      </w14:textFill>
                    </w:rPr>
                    <w:t>2</w:t>
                  </w:r>
                  <w:r>
                    <w:rPr>
                      <w:color w:val="000000" w:themeColor="text1"/>
                      <w:kern w:val="0"/>
                      <w:szCs w:val="21"/>
                      <w14:textFill>
                        <w14:solidFill>
                          <w14:schemeClr w14:val="tx1"/>
                        </w14:solidFill>
                      </w14:textFill>
                    </w:rPr>
                    <w:t>O</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、Fe</w:t>
                  </w:r>
                  <w:r>
                    <w:rPr>
                      <w:color w:val="000000" w:themeColor="text1"/>
                      <w:kern w:val="0"/>
                      <w:szCs w:val="21"/>
                      <w:vertAlign w:val="subscript"/>
                      <w14:textFill>
                        <w14:solidFill>
                          <w14:schemeClr w14:val="tx1"/>
                        </w14:solidFill>
                      </w14:textFill>
                    </w:rPr>
                    <w:t>2</w:t>
                  </w:r>
                  <w:r>
                    <w:rPr>
                      <w:color w:val="000000" w:themeColor="text1"/>
                      <w:kern w:val="0"/>
                      <w:szCs w:val="21"/>
                      <w14:textFill>
                        <w14:solidFill>
                          <w14:schemeClr w14:val="tx1"/>
                        </w14:solidFill>
                      </w14:textFill>
                    </w:rPr>
                    <w:t>O</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、CaO、MgO等和有机质。硅藻土的密度1.9-2.3g/cm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，堆密度0.34-0.65g/cm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，比表面积40-65m/g，孔体积0.45-0.98m，吸水率是自身体积的2-4倍，熔点165℃-1750℃，在电子显微镜下可以观察到特殊多孔的构造。硅藻土在酿酒工艺中起过滤作用。</w:t>
                  </w:r>
                </w:p>
              </w:tc>
            </w:tr>
            <w:tr w14:paraId="27249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shd w:val="clear" w:color="auto" w:fill="auto"/>
                  <w:vAlign w:val="center"/>
                </w:tcPr>
                <w:p w14:paraId="30809936">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酒曲</w:t>
                  </w:r>
                </w:p>
              </w:tc>
              <w:tc>
                <w:tcPr>
                  <w:tcW w:w="4326" w:type="pct"/>
                  <w:vAlign w:val="center"/>
                </w:tcPr>
                <w:p w14:paraId="2C43F5A0">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又作</w:t>
                  </w:r>
                  <w:r>
                    <w:rPr>
                      <w:rFonts w:hint="eastAsia"/>
                      <w:color w:val="000000" w:themeColor="text1"/>
                      <w:lang w:val="en-US" w:eastAsia="zh-CN"/>
                      <w14:textFill>
                        <w14:solidFill>
                          <w14:schemeClr w14:val="tx1"/>
                        </w14:solidFill>
                      </w14:textFill>
                    </w:rPr>
                    <w:t>酒</w:t>
                  </w:r>
                  <w:r>
                    <w:rPr>
                      <w:color w:val="000000" w:themeColor="text1"/>
                      <w14:textFill>
                        <w14:solidFill>
                          <w14:schemeClr w14:val="tx1"/>
                        </w14:solidFill>
                      </w14:textFill>
                    </w:rPr>
                    <w:t>粬。在经过强烈蒸煮的白米中，移入曲霉的分生孢子，然后保温，米粒上便会茂盛地生长出菌丝，即酒曲。曲霉产生的淀粉酶会糖化米里面的淀粉，因此，自古以来就有把它和麦芽同时作为原料糖，用来制造酒、甜酒和豆酱等。用麦类代替米者称麦曲。</w:t>
                  </w:r>
                </w:p>
              </w:tc>
            </w:tr>
            <w:tr w14:paraId="2672D8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79A58026">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酵母</w:t>
                  </w:r>
                </w:p>
              </w:tc>
              <w:tc>
                <w:tcPr>
                  <w:tcW w:w="4326" w:type="pct"/>
                  <w:vAlign w:val="center"/>
                </w:tcPr>
                <w:p w14:paraId="35613B45">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是由特殊培养的鲜酵母经压榨干燥脱水后仍保持强的发酵能力的干酵母制品。将压榨酵母挤压成细条状或小球状，利用低湿度的循环空气经流化床连续干燥，使最终发酵水分达8%左右，并保持酵母的发酵能力。</w:t>
                  </w:r>
                </w:p>
              </w:tc>
            </w:tr>
            <w:tr w14:paraId="63B6D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23E89598">
                  <w:pPr>
                    <w:pStyle w:val="31"/>
                    <w:rPr>
                      <w:color w:val="000000" w:themeColor="text1"/>
                      <w14:textFill>
                        <w14:solidFill>
                          <w14:schemeClr w14:val="tx1"/>
                        </w14:solidFill>
                      </w14:textFill>
                    </w:rPr>
                  </w:pPr>
                  <w:r>
                    <w:rPr>
                      <w:color w:val="000000" w:themeColor="text1"/>
                      <w14:textFill>
                        <w14:solidFill>
                          <w14:schemeClr w14:val="tx1"/>
                        </w14:solidFill>
                      </w14:textFill>
                    </w:rPr>
                    <w:t>果胶酶</w:t>
                  </w:r>
                </w:p>
              </w:tc>
              <w:tc>
                <w:tcPr>
                  <w:tcW w:w="4326" w:type="pct"/>
                  <w:vAlign w:val="center"/>
                </w:tcPr>
                <w:p w14:paraId="458BC906">
                  <w:pPr>
                    <w:widowControl/>
                    <w:jc w:val="left"/>
                    <w:rPr>
                      <w:color w:val="000000" w:themeColor="text1"/>
                      <w14:textFill>
                        <w14:solidFill>
                          <w14:schemeClr w14:val="tx1"/>
                        </w14:solidFill>
                      </w14:textFill>
                    </w:rPr>
                  </w:pPr>
                  <w:r>
                    <w:rPr>
                      <w:color w:val="000000" w:themeColor="text1"/>
                      <w:kern w:val="0"/>
                      <w:szCs w:val="21"/>
                      <w14:textFill>
                        <w14:solidFill>
                          <w14:schemeClr w14:val="tx1"/>
                        </w14:solidFill>
                      </w14:textFill>
                    </w:rPr>
                    <w:t>分子式C</w:t>
                  </w:r>
                  <w:r>
                    <w:rPr>
                      <w:color w:val="000000" w:themeColor="text1"/>
                      <w:kern w:val="0"/>
                      <w:szCs w:val="21"/>
                      <w:vertAlign w:val="subscript"/>
                      <w14:textFill>
                        <w14:solidFill>
                          <w14:schemeClr w14:val="tx1"/>
                        </w14:solidFill>
                      </w14:textFill>
                    </w:rPr>
                    <w:t>18</w:t>
                  </w:r>
                  <w:r>
                    <w:rPr>
                      <w:color w:val="000000" w:themeColor="text1"/>
                      <w:kern w:val="0"/>
                      <w:szCs w:val="21"/>
                      <w14:textFill>
                        <w14:solidFill>
                          <w14:schemeClr w14:val="tx1"/>
                        </w14:solidFill>
                      </w14:textFill>
                    </w:rPr>
                    <w:t>H</w:t>
                  </w:r>
                  <w:r>
                    <w:rPr>
                      <w:color w:val="000000" w:themeColor="text1"/>
                      <w:kern w:val="0"/>
                      <w:szCs w:val="21"/>
                      <w:vertAlign w:val="subscript"/>
                      <w14:textFill>
                        <w14:solidFill>
                          <w14:schemeClr w14:val="tx1"/>
                        </w14:solidFill>
                      </w14:textFill>
                    </w:rPr>
                    <w:t>37</w:t>
                  </w:r>
                  <w:r>
                    <w:rPr>
                      <w:color w:val="000000" w:themeColor="text1"/>
                      <w:kern w:val="0"/>
                      <w:szCs w:val="21"/>
                      <w14:textFill>
                        <w14:solidFill>
                          <w14:schemeClr w14:val="tx1"/>
                        </w14:solidFill>
                      </w14:textFill>
                    </w:rPr>
                    <w:t>N(CH</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w:t>
                  </w:r>
                  <w:r>
                    <w:rPr>
                      <w:color w:val="000000" w:themeColor="text1"/>
                      <w:kern w:val="0"/>
                      <w:szCs w:val="21"/>
                      <w:vertAlign w:val="subscript"/>
                      <w14:textFill>
                        <w14:solidFill>
                          <w14:schemeClr w14:val="tx1"/>
                        </w14:solidFill>
                      </w14:textFill>
                    </w:rPr>
                    <w:t>2</w:t>
                  </w:r>
                  <w:r>
                    <w:rPr>
                      <w:color w:val="000000" w:themeColor="text1"/>
                      <w:kern w:val="0"/>
                      <w:szCs w:val="21"/>
                      <w14:textFill>
                        <w14:solidFill>
                          <w14:schemeClr w14:val="tx1"/>
                        </w14:solidFill>
                      </w14:textFill>
                    </w:rPr>
                    <w:t>，密度1.5±0.1g/cm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，主要用途：果胶酶可催化果胶中的甲酯水解，以及将多聚半乳糖醛酸分解成较小分子多聚物。可作为饮料的澄清剂，也用于橘子脱囊衣等。</w:t>
                  </w:r>
                </w:p>
              </w:tc>
            </w:tr>
            <w:tr w14:paraId="57A39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3F960EBD">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SMS无纺布</w:t>
                  </w:r>
                </w:p>
              </w:tc>
              <w:tc>
                <w:tcPr>
                  <w:tcW w:w="4326" w:type="pct"/>
                  <w:vAlign w:val="center"/>
                </w:tcPr>
                <w:p w14:paraId="1A661784">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属于复合无纺布，是纺粘和熔喷的复合产品，无毒无味无刺激性。质轻：以聚丙烯树脂为主要生产原料，比重仅 0.9，只有棉花的五分之三，具蓬松性，手感好。含水率零，成品拨水性佳，由100%纤维组成具多孔性，透气性佳，易保持布面干爽、易洗涤。由聚丙烯纺丝直接铺成网热粘结而成，制品强度较一般短纤产品为佳，强度无方向性，纵横向强度相近</w:t>
                  </w:r>
                  <w:r>
                    <w:rPr>
                      <w:rFonts w:hint="eastAsia"/>
                      <w:color w:val="000000" w:themeColor="text1"/>
                      <w14:textFill>
                        <w14:solidFill>
                          <w14:schemeClr w14:val="tx1"/>
                        </w14:solidFill>
                      </w14:textFill>
                    </w:rPr>
                    <w:t>。</w:t>
                  </w:r>
                </w:p>
              </w:tc>
            </w:tr>
            <w:tr w14:paraId="73D39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540BA286">
                  <w:pPr>
                    <w:pStyle w:val="31"/>
                    <w:rPr>
                      <w:color w:val="000000" w:themeColor="text1"/>
                      <w14:textFill>
                        <w14:solidFill>
                          <w14:schemeClr w14:val="tx1"/>
                        </w14:solidFill>
                      </w14:textFill>
                    </w:rPr>
                  </w:pPr>
                  <w:r>
                    <w:rPr>
                      <w:color w:val="000000" w:themeColor="text1"/>
                      <w14:textFill>
                        <w14:solidFill>
                          <w14:schemeClr w14:val="tx1"/>
                        </w14:solidFill>
                      </w14:textFill>
                    </w:rPr>
                    <w:t>铁粉</w:t>
                  </w:r>
                </w:p>
              </w:tc>
              <w:tc>
                <w:tcPr>
                  <w:tcW w:w="4326" w:type="pct"/>
                  <w:vAlign w:val="center"/>
                </w:tcPr>
                <w:p w14:paraId="28A7B910">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铁粉（iron dust），是尺寸小于 1mm 的铁的颗粒集合体，是粉末冶金的主要原料。按粒度，习惯上分为粗粉、中等粉、细粉、微细粉和超细粉五个等级。粒度为150～500μm范围内的颗粒组成的铁粉为粗粉，粒度在44～150μm为中等粉，10～44μm的为细粉，0.5～10μm的为极细粉，小于0.5μm的为超细粉</w:t>
                  </w:r>
                  <w:r>
                    <w:rPr>
                      <w:rFonts w:hint="eastAsia"/>
                      <w:color w:val="000000" w:themeColor="text1"/>
                      <w14:textFill>
                        <w14:solidFill>
                          <w14:schemeClr w14:val="tx1"/>
                        </w14:solidFill>
                      </w14:textFill>
                    </w:rPr>
                    <w:t>。</w:t>
                  </w:r>
                </w:p>
              </w:tc>
            </w:tr>
            <w:tr w14:paraId="5662A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4C3EBE1C">
                  <w:pPr>
                    <w:pStyle w:val="31"/>
                    <w:rPr>
                      <w:color w:val="000000" w:themeColor="text1"/>
                      <w14:textFill>
                        <w14:solidFill>
                          <w14:schemeClr w14:val="tx1"/>
                        </w14:solidFill>
                      </w14:textFill>
                    </w:rPr>
                  </w:pPr>
                  <w:r>
                    <w:rPr>
                      <w:color w:val="000000" w:themeColor="text1"/>
                      <w14:textFill>
                        <w14:solidFill>
                          <w14:schemeClr w14:val="tx1"/>
                        </w14:solidFill>
                      </w14:textFill>
                    </w:rPr>
                    <w:t>活性炭</w:t>
                  </w:r>
                </w:p>
              </w:tc>
              <w:tc>
                <w:tcPr>
                  <w:tcW w:w="4326" w:type="pct"/>
                  <w:vAlign w:val="center"/>
                </w:tcPr>
                <w:p w14:paraId="4945FF20">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活性炭是一种经特殊处理的炭，将有机原料（果壳、煤、木材等）在隔绝空气的条件下加热，以减少非碳成分（此过程称为炭化），然后与气体反应，表面被侵蚀，产生微孔发达的结构（此过程称为活化）。由于活化的过程是一个微观过程，即大量的分子碳化物表面侵蚀是点状侵蚀，所以造成了活性炭表面具有无数细小孔隙。活性炭表面的微孔直径大多在2～50nm之间，即使是少量的活性炭，也有巨大的表面积，每克活性炭的表面积为500~1500m</w:t>
                  </w:r>
                  <w:r>
                    <w:rPr>
                      <w:color w:val="000000" w:themeColor="text1"/>
                      <w:vertAlign w:val="superscript"/>
                      <w14:textFill>
                        <w14:solidFill>
                          <w14:schemeClr w14:val="tx1"/>
                        </w14:solidFill>
                      </w14:textFill>
                    </w:rPr>
                    <w:t>2</w:t>
                  </w:r>
                  <w:r>
                    <w:rPr>
                      <w:color w:val="000000" w:themeColor="text1"/>
                      <w14:textFill>
                        <w14:solidFill>
                          <w14:schemeClr w14:val="tx1"/>
                        </w14:solidFill>
                      </w14:textFill>
                    </w:rPr>
                    <w:t>，活性炭的一切应用，几乎都基于活性炭的这一特点</w:t>
                  </w:r>
                  <w:r>
                    <w:rPr>
                      <w:rFonts w:hint="eastAsia"/>
                      <w:color w:val="000000" w:themeColor="text1"/>
                      <w14:textFill>
                        <w14:solidFill>
                          <w14:schemeClr w14:val="tx1"/>
                        </w14:solidFill>
                      </w14:textFill>
                    </w:rPr>
                    <w:t>。</w:t>
                  </w:r>
                </w:p>
              </w:tc>
            </w:tr>
            <w:tr w14:paraId="62D6B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4C287A7A">
                  <w:pPr>
                    <w:pStyle w:val="31"/>
                    <w:rPr>
                      <w:color w:val="000000" w:themeColor="text1"/>
                      <w14:textFill>
                        <w14:solidFill>
                          <w14:schemeClr w14:val="tx1"/>
                        </w14:solidFill>
                      </w14:textFill>
                    </w:rPr>
                  </w:pPr>
                  <w:r>
                    <w:rPr>
                      <w:color w:val="000000" w:themeColor="text1"/>
                      <w14:textFill>
                        <w14:solidFill>
                          <w14:schemeClr w14:val="tx1"/>
                        </w14:solidFill>
                      </w14:textFill>
                    </w:rPr>
                    <w:t>蛭石</w:t>
                  </w:r>
                </w:p>
              </w:tc>
              <w:tc>
                <w:tcPr>
                  <w:tcW w:w="4326" w:type="pct"/>
                  <w:vAlign w:val="center"/>
                </w:tcPr>
                <w:p w14:paraId="1A36586D">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蛭石是一种水合物，呈块状、片状和粒状，是黑云母等天然矿物风化蚀变的产物。其层间水分子经高温灼烧，体积增大18-25倍。富含氮、磷、钾、铝、铁、镁、硅酸盐等成分。蛭石有较高的层电荷数，故具有较高的阳离子交换容量和较强的阳离子交换吸附能力。特点是：质轻，水肥吸附性能好，不腐烂，可使用3-5年</w:t>
                  </w:r>
                </w:p>
              </w:tc>
            </w:tr>
            <w:tr w14:paraId="22346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532780B6">
                  <w:pPr>
                    <w:pStyle w:val="31"/>
                    <w:rPr>
                      <w:color w:val="000000" w:themeColor="text1"/>
                      <w14:textFill>
                        <w14:solidFill>
                          <w14:schemeClr w14:val="tx1"/>
                        </w14:solidFill>
                      </w14:textFill>
                    </w:rPr>
                  </w:pPr>
                  <w:r>
                    <w:rPr>
                      <w:color w:val="000000" w:themeColor="text1"/>
                      <w14:textFill>
                        <w14:solidFill>
                          <w14:schemeClr w14:val="tx1"/>
                        </w14:solidFill>
                      </w14:textFill>
                    </w:rPr>
                    <w:t>卡波姆</w:t>
                  </w:r>
                </w:p>
              </w:tc>
              <w:tc>
                <w:tcPr>
                  <w:tcW w:w="4326" w:type="pct"/>
                  <w:vAlign w:val="center"/>
                </w:tcPr>
                <w:p w14:paraId="6C8BF3D4">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为丙烯酸键合烯丙基蔗糖或季戊四醇烯丙醚的高分子聚合物，固态，常温状态下不挥发。密度：1.063g/cm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熔点：12.5ºC，沸点：141ºC，闪点：61.6ºC，折射率：n20/D1.442，是一类非常重要的流变调节剂，中和后的卡波是优秀的凝胶基质，有增稠、悬浮等重要用途，工艺简单，稳定性好，广泛应用于乳液、膏霜、凝胶中。可燃，毒性毒理为LD50：1000mL/kg（大鼠经口）</w:t>
                  </w:r>
                </w:p>
              </w:tc>
            </w:tr>
            <w:tr w14:paraId="66817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732E4CCD">
                  <w:pPr>
                    <w:pStyle w:val="31"/>
                    <w:rPr>
                      <w:color w:val="000000" w:themeColor="text1"/>
                      <w14:textFill>
                        <w14:solidFill>
                          <w14:schemeClr w14:val="tx1"/>
                        </w14:solidFill>
                      </w14:textFill>
                    </w:rPr>
                  </w:pPr>
                  <w:r>
                    <w:rPr>
                      <w:color w:val="000000" w:themeColor="text1"/>
                      <w14:textFill>
                        <w14:solidFill>
                          <w14:schemeClr w14:val="tx1"/>
                        </w14:solidFill>
                      </w14:textFill>
                    </w:rPr>
                    <w:t>壳聚糖</w:t>
                  </w:r>
                </w:p>
              </w:tc>
              <w:tc>
                <w:tcPr>
                  <w:tcW w:w="4326" w:type="pct"/>
                  <w:vAlign w:val="center"/>
                </w:tcPr>
                <w:p w14:paraId="70309D02">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壳聚糖是自然界仅次于纤维素的第二大丰富的生物聚合物，分布十分广泛，主要分布于许多低等动物特别是节肢动物如虾、蟹、昆虫等外壳，也存在于低等植物如菌藻类和真菌的细胞壁中。壳聚糖可由甲壳质(chitin)脱去乙酰基而制得。在100℃和40%NaOH的条件下，对甲壳素进行作用，则产生脱乙酰基反应，从而得到壳聚糖。这是一种白色或灰白色的半透明片状固体，不溶于水和碱，而溶于大多数的稀酸，包括甲酸、乙酸和盐酸。壳聚糖的分子结构与纤维素分子结构相似，所不同的只是在C</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位上连接的是一个氨基(—NH</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故对纸中的纤维产生亲和力，发Chemicalbook展而成离子键结合和较强的氢键结合。而且壳聚糖的成膜性好，有利于提高纸的表面强度，因此成为特种纸的增强剂之一。壳聚糖呈粉末状态，无味、无臭，水溶液有些辛辣感。将壳聚糖添加于食品中，进行汤煮和一定程度的煎炸、焙烤等加热处理，结构没有发生变化。在有氮气保护下，加热至250℃也不会发生分解现象。室温下将壳聚糖粉末置于避阳光处的自然环境中保藏181d，在外观、溶解性、脱酰化程度等方面都没有发生明显的变化。添加壳聚糖的饼干，在包装状态下置于温度40℃、相对湿度75%的环境中保存80d，样品中的膳食纤维与壳聚糖含量都没有变化。</w:t>
                  </w:r>
                </w:p>
              </w:tc>
            </w:tr>
            <w:tr w14:paraId="5CF09C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538E1DC6">
                  <w:pPr>
                    <w:pStyle w:val="31"/>
                    <w:rPr>
                      <w:color w:val="000000" w:themeColor="text1"/>
                      <w14:textFill>
                        <w14:solidFill>
                          <w14:schemeClr w14:val="tx1"/>
                        </w14:solidFill>
                      </w14:textFill>
                    </w:rPr>
                  </w:pPr>
                  <w:r>
                    <w:rPr>
                      <w:color w:val="000000" w:themeColor="text1"/>
                      <w14:textFill>
                        <w14:solidFill>
                          <w14:schemeClr w14:val="tx1"/>
                        </w14:solidFill>
                      </w14:textFill>
                    </w:rPr>
                    <w:t>薄荷醇</w:t>
                  </w:r>
                </w:p>
              </w:tc>
              <w:tc>
                <w:tcPr>
                  <w:tcW w:w="4326" w:type="pct"/>
                  <w:vAlign w:val="center"/>
                </w:tcPr>
                <w:p w14:paraId="0E3832DB">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分子式：C</w:t>
                  </w:r>
                  <w:r>
                    <w:rPr>
                      <w:color w:val="000000" w:themeColor="text1"/>
                      <w:vertAlign w:val="subscript"/>
                      <w14:textFill>
                        <w14:solidFill>
                          <w14:schemeClr w14:val="tx1"/>
                        </w14:solidFill>
                      </w14:textFill>
                    </w:rPr>
                    <w:t>10</w:t>
                  </w:r>
                  <w:r>
                    <w:rPr>
                      <w:color w:val="000000" w:themeColor="text1"/>
                      <w14:textFill>
                        <w14:solidFill>
                          <w14:schemeClr w14:val="tx1"/>
                        </w14:solidFill>
                      </w14:textFill>
                    </w:rPr>
                    <w:t>H</w:t>
                  </w:r>
                  <w:r>
                    <w:rPr>
                      <w:color w:val="000000" w:themeColor="text1"/>
                      <w:vertAlign w:val="subscript"/>
                      <w14:textFill>
                        <w14:solidFill>
                          <w14:schemeClr w14:val="tx1"/>
                        </w14:solidFill>
                      </w14:textFill>
                    </w:rPr>
                    <w:t>2</w:t>
                  </w:r>
                  <w:r>
                    <w:rPr>
                      <w:color w:val="000000" w:themeColor="text1"/>
                      <w14:textFill>
                        <w14:solidFill>
                          <w14:schemeClr w14:val="tx1"/>
                        </w14:solidFill>
                      </w14:textFill>
                    </w:rPr>
                    <w:t>OO，分子量：156.27，CAS号：</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"http://www.chemicalbook.com/CAS_2216-51-5.htm"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2216-51-5</w:t>
                  </w:r>
                  <w:r>
                    <w:rPr>
                      <w:color w:val="000000" w:themeColor="text1"/>
                      <w14:textFill>
                        <w14:solidFill>
                          <w14:schemeClr w14:val="tx1"/>
                        </w14:solidFill>
                      </w14:textFill>
                    </w:rPr>
                    <w:fldChar w:fldCharType="end"/>
                  </w:r>
                  <w:r>
                    <w:rPr>
                      <w:color w:val="000000" w:themeColor="text1"/>
                      <w14:textFill>
                        <w14:solidFill>
                          <w14:schemeClr w14:val="tx1"/>
                        </w14:solidFill>
                      </w14:textFill>
                    </w:rPr>
                    <w:t>，熔点：41—43℃，相对密度：0.890(15/15℃)，沸点：210℃。微溶于水，易溶于乙醇、乙醚、氯仿。由薄荷油冷冻分离而得。比旋光度[α]D20：-45～-51°(2.5 g，乙醇，25 ml，100 mm)。薄荷醇为无色柱状或针状结晶，或为白色小薄片或结晶性粉末，有特异的爽快芳香，味在开始时为药样，然后转为清凉。</w:t>
                  </w:r>
                </w:p>
              </w:tc>
            </w:tr>
            <w:tr w14:paraId="0CB4C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2E3A78C5">
                  <w:pPr>
                    <w:pStyle w:val="31"/>
                    <w:rPr>
                      <w:color w:val="000000" w:themeColor="text1"/>
                      <w14:textFill>
                        <w14:solidFill>
                          <w14:schemeClr w14:val="tx1"/>
                        </w14:solidFill>
                      </w14:textFill>
                    </w:rPr>
                  </w:pPr>
                  <w:r>
                    <w:rPr>
                      <w:color w:val="000000" w:themeColor="text1"/>
                      <w:spacing w:val="-4"/>
                      <w14:textFill>
                        <w14:solidFill>
                          <w14:schemeClr w14:val="tx1"/>
                        </w14:solidFill>
                      </w14:textFill>
                    </w:rPr>
                    <w:t>氢氧化</w:t>
                  </w:r>
                  <w:r>
                    <w:rPr>
                      <w:color w:val="000000" w:themeColor="text1"/>
                      <w:spacing w:val="-10"/>
                      <w14:textFill>
                        <w14:solidFill>
                          <w14:schemeClr w14:val="tx1"/>
                        </w14:solidFill>
                      </w14:textFill>
                    </w:rPr>
                    <w:t>钠</w:t>
                  </w:r>
                </w:p>
              </w:tc>
              <w:tc>
                <w:tcPr>
                  <w:tcW w:w="4326" w:type="pct"/>
                  <w:vAlign w:val="center"/>
                </w:tcPr>
                <w:p w14:paraId="1D1FCFD9">
                  <w:pPr>
                    <w:pStyle w:val="31"/>
                    <w:jc w:val="both"/>
                    <w:rPr>
                      <w:color w:val="000000" w:themeColor="text1"/>
                      <w14:textFill>
                        <w14:solidFill>
                          <w14:schemeClr w14:val="tx1"/>
                        </w14:solidFill>
                      </w14:textFill>
                    </w:rPr>
                  </w:pPr>
                  <w:r>
                    <w:rPr>
                      <w:color w:val="000000" w:themeColor="text1"/>
                      <w14:textFill>
                        <w14:solidFill>
                          <w14:schemeClr w14:val="tx1"/>
                        </w14:solidFill>
                      </w14:textFill>
                    </w:rPr>
                    <w:t>无色透明晶体，易溶于水、乙醇、甘油，不溶于丙酮。熔点（℃）：318.4，沸点（℃）：1390，相对密度（水＝1）：2.12，与酸发生中和反应并放热。遇潮时对铝、锌和锡有腐蚀性，并放出易燃易爆的氢气。本品不会燃烧，遇水和水蒸气大量放热，形成腐蚀性溶液，具有强腐蚀性。本项目使用浓度为2%~4%的氢氧化钠，用于CIP清洗设备。</w:t>
                  </w:r>
                </w:p>
              </w:tc>
            </w:tr>
            <w:tr w14:paraId="3B7A4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2830D405">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硝酸</w:t>
                  </w:r>
                </w:p>
              </w:tc>
              <w:tc>
                <w:tcPr>
                  <w:tcW w:w="4326" w:type="pct"/>
                  <w:vAlign w:val="center"/>
                </w:tcPr>
                <w:p w14:paraId="3DBC1FAE">
                  <w:pPr>
                    <w:pStyle w:val="31"/>
                    <w:jc w:val="both"/>
                    <w:rPr>
                      <w:color w:val="000000" w:themeColor="text1"/>
                      <w14:textFill>
                        <w14:solidFill>
                          <w14:schemeClr w14:val="tx1"/>
                        </w14:solidFill>
                      </w14:textFill>
                    </w:rPr>
                  </w:pPr>
                  <w:r>
                    <w:rPr>
                      <w:bCs/>
                      <w:color w:val="000000" w:themeColor="text1"/>
                      <w14:textFill>
                        <w14:solidFill>
                          <w14:schemeClr w14:val="tx1"/>
                        </w14:solidFill>
                      </w14:textFill>
                    </w:rPr>
                    <w:t>硝酸是一种具有强氧化性、腐蚀性的一元无机强酸。是六大无机强酸之一，也是一种重要的化工原料，化学式为HNO</w:t>
                  </w:r>
                  <w:r>
                    <w:rPr>
                      <w:bCs/>
                      <w:color w:val="000000" w:themeColor="text1"/>
                      <w:vertAlign w:val="subscript"/>
                      <w14:textFill>
                        <w14:solidFill>
                          <w14:schemeClr w14:val="tx1"/>
                        </w14:solidFill>
                      </w14:textFill>
                    </w:rPr>
                    <w:t>3</w:t>
                  </w:r>
                  <w:r>
                    <w:rPr>
                      <w:bCs/>
                      <w:color w:val="000000" w:themeColor="text1"/>
                      <w14:textFill>
                        <w14:solidFill>
                          <w14:schemeClr w14:val="tx1"/>
                        </w14:solidFill>
                      </w14:textFill>
                    </w:rPr>
                    <w:t>，分子量为63.01。</w:t>
                  </w:r>
                  <w:r>
                    <w:rPr>
                      <w:color w:val="000000" w:themeColor="text1"/>
                      <w14:textFill>
                        <w14:solidFill>
                          <w14:schemeClr w14:val="tx1"/>
                        </w14:solidFill>
                      </w14:textFill>
                    </w:rPr>
                    <w:t>本项目使用浓度为</w:t>
                  </w:r>
                  <w:r>
                    <w:rPr>
                      <w:rFonts w:hint="eastAsia"/>
                      <w:color w:val="000000" w:themeColor="text1"/>
                      <w14:textFill>
                        <w14:solidFill>
                          <w14:schemeClr w14:val="tx1"/>
                        </w14:solidFill>
                      </w14:textFill>
                    </w:rPr>
                    <w:t>1</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2</w:t>
                  </w:r>
                  <w:r>
                    <w:rPr>
                      <w:color w:val="000000" w:themeColor="text1"/>
                      <w14:textFill>
                        <w14:solidFill>
                          <w14:schemeClr w14:val="tx1"/>
                        </w14:solidFill>
                      </w14:textFill>
                    </w:rPr>
                    <w:t>%的</w:t>
                  </w:r>
                  <w:r>
                    <w:rPr>
                      <w:rFonts w:hint="eastAsia"/>
                      <w:color w:val="000000" w:themeColor="text1"/>
                      <w14:textFill>
                        <w14:solidFill>
                          <w14:schemeClr w14:val="tx1"/>
                        </w14:solidFill>
                      </w14:textFill>
                    </w:rPr>
                    <w:t>硝酸</w:t>
                  </w:r>
                  <w:r>
                    <w:rPr>
                      <w:color w:val="000000" w:themeColor="text1"/>
                      <w14:textFill>
                        <w14:solidFill>
                          <w14:schemeClr w14:val="tx1"/>
                        </w14:solidFill>
                      </w14:textFill>
                    </w:rPr>
                    <w:t>，用于CIP清洗设备。</w:t>
                  </w:r>
                </w:p>
              </w:tc>
            </w:tr>
            <w:tr w14:paraId="341F0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5CB00F39">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乙二醇</w:t>
                  </w:r>
                </w:p>
              </w:tc>
              <w:tc>
                <w:tcPr>
                  <w:tcW w:w="4326" w:type="pct"/>
                  <w:vAlign w:val="center"/>
                </w:tcPr>
                <w:p w14:paraId="65846474">
                  <w:pPr>
                    <w:pStyle w:val="31"/>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乙二醇又名甘醇、</w:t>
                  </w:r>
                  <w:r>
                    <w:rPr>
                      <w:color w:val="000000" w:themeColor="text1"/>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2-</w:t>
                  </w:r>
                  <w:r>
                    <w:rPr>
                      <w:rFonts w:hint="eastAsia"/>
                      <w:color w:val="000000" w:themeColor="text1"/>
                      <w14:textFill>
                        <w14:solidFill>
                          <w14:schemeClr w14:val="tx1"/>
                        </w14:solidFill>
                      </w14:textFill>
                    </w:rPr>
                    <w:t>亚乙基二醇，简称</w:t>
                  </w:r>
                  <w:r>
                    <w:rPr>
                      <w:color w:val="000000" w:themeColor="text1"/>
                      <w14:textFill>
                        <w14:solidFill>
                          <w14:schemeClr w14:val="tx1"/>
                        </w14:solidFill>
                      </w14:textFill>
                    </w:rPr>
                    <w:t>EG</w:t>
                  </w:r>
                  <w:r>
                    <w:rPr>
                      <w:rFonts w:hint="eastAsia"/>
                      <w:color w:val="000000" w:themeColor="text1"/>
                      <w14:textFill>
                        <w14:solidFill>
                          <w14:schemeClr w14:val="tx1"/>
                        </w14:solidFill>
                      </w14:textFill>
                    </w:rPr>
                    <w:t>。是最简单的二元醇。乙二醇是无色无臭、有甜味液体，对动物有低毒性，乙二醇能与水、丙酮互溶，但在醚类中溶解度较小。用作溶剂、防冻剂以及合成涤纶的原料。</w:t>
                  </w:r>
                </w:p>
              </w:tc>
            </w:tr>
            <w:tr w14:paraId="04F6C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3" w:type="pct"/>
                  <w:vAlign w:val="center"/>
                </w:tcPr>
                <w:p w14:paraId="75616358">
                  <w:pPr>
                    <w:pStyle w:val="31"/>
                    <w:rPr>
                      <w:color w:val="000000" w:themeColor="text1"/>
                      <w14:textFill>
                        <w14:solidFill>
                          <w14:schemeClr w14:val="tx1"/>
                        </w14:solidFill>
                      </w14:textFill>
                    </w:rPr>
                  </w:pPr>
                  <w:r>
                    <w:rPr>
                      <w:rFonts w:hint="eastAsia"/>
                      <w:color w:val="000000" w:themeColor="text1"/>
                      <w14:textFill>
                        <w14:solidFill>
                          <w14:schemeClr w14:val="tx1"/>
                        </w14:solidFill>
                      </w14:textFill>
                    </w:rPr>
                    <w:t>R507环保型制冷剂</w:t>
                  </w:r>
                </w:p>
              </w:tc>
              <w:tc>
                <w:tcPr>
                  <w:tcW w:w="4326" w:type="pct"/>
                  <w:vAlign w:val="center"/>
                </w:tcPr>
                <w:p w14:paraId="3C4F2304">
                  <w:pPr>
                    <w:pStyle w:val="31"/>
                    <w:jc w:val="both"/>
                    <w:rPr>
                      <w:color w:val="000000" w:themeColor="text1"/>
                      <w14:textFill>
                        <w14:solidFill>
                          <w14:schemeClr w14:val="tx1"/>
                        </w14:solidFill>
                      </w14:textFill>
                    </w:rPr>
                  </w:pPr>
                  <w:r>
                    <w:rPr>
                      <w:rFonts w:hint="eastAsia"/>
                      <w:color w:val="000000" w:themeColor="text1"/>
                      <w14:textFill>
                        <w14:solidFill>
                          <w14:schemeClr w14:val="tx1"/>
                        </w14:solidFill>
                      </w14:textFill>
                    </w:rPr>
                    <w:t>分子式为CHF</w:t>
                  </w:r>
                  <w:r>
                    <w:rPr>
                      <w:rFonts w:hint="eastAsia"/>
                      <w:color w:val="000000" w:themeColor="text1"/>
                      <w:vertAlign w:val="subscript"/>
                      <w14:textFill>
                        <w14:solidFill>
                          <w14:schemeClr w14:val="tx1"/>
                        </w14:solidFill>
                      </w14:textFill>
                    </w:rPr>
                    <w:t>2</w:t>
                  </w:r>
                  <w:r>
                    <w:rPr>
                      <w:rFonts w:hint="eastAsia"/>
                      <w:color w:val="000000" w:themeColor="text1"/>
                      <w14:textFill>
                        <w14:solidFill>
                          <w14:schemeClr w14:val="tx1"/>
                        </w14:solidFill>
                      </w14:textFill>
                    </w:rPr>
                    <w:t>CF</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、CH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CF，主要成分为HFC-125、HFC-143a（50/50）。根据《中国受控消耗臭氧层物质清单》，R507不属于禁止使用或淘汰的制冷剂类型。R507臭氧消耗潜势（ODP值）为零，不含任何破坏臭氧层的物质，并且具有优异的传热性能和低毒性。适合中低温冷冻领域应用，包括中低温的新型商用制冷设备（冷冻冷藏柜、冷库、陈列展示柜、运输）、制冰设备、交通运输制冷设备、船用制冷设备等。</w:t>
                  </w:r>
                </w:p>
              </w:tc>
            </w:tr>
          </w:tbl>
          <w:p w14:paraId="07679E87">
            <w:pPr>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蒸汽发生器天然气耗量</w:t>
            </w:r>
            <w:r>
              <w:rPr>
                <w:rFonts w:hint="eastAsia"/>
                <w:b/>
                <w:bCs/>
                <w:color w:val="000000" w:themeColor="text1"/>
                <w:sz w:val="24"/>
                <w14:textFill>
                  <w14:solidFill>
                    <w14:schemeClr w14:val="tx1"/>
                  </w14:solidFill>
                </w14:textFill>
              </w:rPr>
              <w:t>：</w:t>
            </w:r>
          </w:p>
          <w:p w14:paraId="1956F6EB">
            <w:pPr>
              <w:spacing w:line="360" w:lineRule="auto"/>
              <w:ind w:firstLine="480" w:firstLineChars="200"/>
              <w:rPr>
                <w:color w:val="000000" w:themeColor="text1"/>
                <w:sz w:val="24"/>
                <w14:textFill>
                  <w14:solidFill>
                    <w14:schemeClr w14:val="tx1"/>
                  </w14:solidFill>
                </w14:textFill>
              </w:rPr>
            </w:pP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天然气消耗量计算公式如下：</w:t>
            </w:r>
          </w:p>
          <w:p w14:paraId="5EC57F9C">
            <w:pPr>
              <w:spacing w:line="360" w:lineRule="auto"/>
              <w:ind w:firstLine="480" w:firstLineChars="200"/>
              <w:jc w:val="center"/>
              <w:rPr>
                <w:color w:val="000000" w:themeColor="text1"/>
                <w:sz w:val="24"/>
                <w14:textFill>
                  <w14:solidFill>
                    <w14:schemeClr w14:val="tx1"/>
                  </w14:solidFill>
                </w14:textFill>
              </w:rPr>
            </w:pPr>
            <w:r>
              <w:rPr>
                <w:color w:val="000000" w:themeColor="text1"/>
                <w:position w:val="-30"/>
                <w:sz w:val="24"/>
                <w14:textFill>
                  <w14:solidFill>
                    <w14:schemeClr w14:val="tx1"/>
                  </w14:solidFill>
                </w14:textFill>
              </w:rPr>
              <w:object>
                <v:shape id="_x0000_i1025" o:spt="75" type="#_x0000_t75" style="height:31.5pt;width:82.5pt;" o:ole="t" filled="f" o:preferrelative="t" stroked="f" coordsize="21600,21600">
                  <v:path/>
                  <v:fill on="f" focussize="0,0"/>
                  <v:stroke on="f" joinstyle="miter"/>
                  <v:imagedata r:id="rId26" embosscolor="#FFFFFF" o:title=""/>
                  <o:lock v:ext="edit" aspectratio="t"/>
                  <w10:wrap type="none"/>
                  <w10:anchorlock/>
                </v:shape>
                <o:OLEObject Type="Embed" ProgID="Equation.DSMT4" ShapeID="_x0000_i1025" DrawAspect="Content" ObjectID="_1468075725" r:id="rId25">
                  <o:LockedField>false</o:LockedField>
                </o:OLEObject>
              </w:object>
            </w:r>
          </w:p>
          <w:p w14:paraId="43E153A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式中：B—</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耗气量，</w:t>
            </w:r>
            <w:r>
              <w:rPr>
                <w:rFonts w:hint="eastAsia"/>
                <w:color w:val="000000" w:themeColor="text1"/>
                <w:sz w:val="24"/>
                <w14:textFill>
                  <w14:solidFill>
                    <w14:schemeClr w14:val="tx1"/>
                  </w14:solidFill>
                </w14:textFill>
              </w:rPr>
              <w:t>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p>
          <w:p w14:paraId="250BC7E9">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D—</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每小时的产汽量，kg/h；</w:t>
            </w:r>
            <w:r>
              <w:rPr>
                <w:rFonts w:hint="eastAsia"/>
                <w:color w:val="000000" w:themeColor="text1"/>
                <w:sz w:val="24"/>
                <w14:textFill>
                  <w14:solidFill>
                    <w14:schemeClr w14:val="tx1"/>
                  </w14:solidFill>
                </w14:textFill>
              </w:rPr>
              <w:t>项目设置1台0.3t/h、1台0.5t/h以及1台1.0t/h的</w:t>
            </w:r>
            <w:r>
              <w:rPr>
                <w:rFonts w:hint="eastAsia"/>
                <w:color w:val="000000" w:themeColor="text1"/>
                <w:kern w:val="0"/>
                <w:sz w:val="24"/>
                <w14:textFill>
                  <w14:solidFill>
                    <w14:schemeClr w14:val="tx1"/>
                  </w14:solidFill>
                </w14:textFill>
              </w:rPr>
              <w:t>蒸汽发生器；</w:t>
            </w:r>
          </w:p>
          <w:p w14:paraId="49218B3E">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Q</w:t>
            </w:r>
            <w:r>
              <w:rPr>
                <w:color w:val="000000" w:themeColor="text1"/>
                <w:sz w:val="24"/>
                <w:vertAlign w:val="subscript"/>
                <w14:textFill>
                  <w14:solidFill>
                    <w14:schemeClr w14:val="tx1"/>
                  </w14:solidFill>
                </w14:textFill>
              </w:rPr>
              <w:t>L</w:t>
            </w:r>
            <w:r>
              <w:rPr>
                <w:color w:val="000000" w:themeColor="text1"/>
                <w:sz w:val="24"/>
                <w14:textFill>
                  <w14:solidFill>
                    <w14:schemeClr w14:val="tx1"/>
                  </w14:solidFill>
                </w14:textFill>
              </w:rPr>
              <w:t>—燃料的低位发热值，kJ/</w:t>
            </w:r>
            <w:r>
              <w:rPr>
                <w:rFonts w:hint="eastAsia"/>
                <w:color w:val="000000" w:themeColor="text1"/>
                <w:sz w:val="24"/>
                <w14:textFill>
                  <w14:solidFill>
                    <w14:schemeClr w14:val="tx1"/>
                  </w14:solidFill>
                </w14:textFill>
              </w:rPr>
              <w:t>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，项目用气</w:t>
            </w:r>
            <w:r>
              <w:rPr>
                <w:rFonts w:hint="eastAsia"/>
                <w:color w:val="000000" w:themeColor="text1"/>
                <w:sz w:val="24"/>
                <w14:textFill>
                  <w14:solidFill>
                    <w14:schemeClr w14:val="tx1"/>
                  </w14:solidFill>
                </w14:textFill>
              </w:rPr>
              <w:t>态</w:t>
            </w:r>
            <w:r>
              <w:rPr>
                <w:color w:val="000000" w:themeColor="text1"/>
                <w:sz w:val="24"/>
                <w14:textFill>
                  <w14:solidFill>
                    <w14:schemeClr w14:val="tx1"/>
                  </w14:solidFill>
                </w14:textFill>
              </w:rPr>
              <w:t>天然气的低位发热值为35544kJ/</w:t>
            </w:r>
            <w:r>
              <w:rPr>
                <w:rFonts w:hint="eastAsia"/>
                <w:color w:val="000000" w:themeColor="text1"/>
                <w:sz w:val="24"/>
                <w14:textFill>
                  <w14:solidFill>
                    <w14:schemeClr w14:val="tx1"/>
                  </w14:solidFill>
                </w14:textFill>
              </w:rPr>
              <w:t>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p>
          <w:p w14:paraId="2FDD01DF">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η—蒸汽发生器的热效率，%，取98%；</w:t>
            </w:r>
          </w:p>
          <w:p w14:paraId="0EEE12CA">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i″—</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在某绝对工作压力下的饱和蒸汽热焓值，kJ/kg。查饱和蒸汽表；</w:t>
            </w:r>
          </w:p>
          <w:p w14:paraId="5F93003D">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i′—</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给水热焓值，kJ/kg。一般来说，给水温度为20℃时，给水热焓值i′=20kCal/kg=83.74kJ/kg。</w:t>
            </w:r>
          </w:p>
          <w:p w14:paraId="5AF4EB52">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项目</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工作压力为</w:t>
            </w:r>
            <w:r>
              <w:rPr>
                <w:rFonts w:hint="eastAsia"/>
                <w:color w:val="000000" w:themeColor="text1"/>
                <w:sz w:val="24"/>
                <w14:textFill>
                  <w14:solidFill>
                    <w14:schemeClr w14:val="tx1"/>
                  </w14:solidFill>
                </w14:textFill>
              </w:rPr>
              <w:t>0.9</w:t>
            </w:r>
            <w:r>
              <w:rPr>
                <w:color w:val="000000" w:themeColor="text1"/>
                <w:sz w:val="24"/>
                <w14:textFill>
                  <w14:solidFill>
                    <w14:schemeClr w14:val="tx1"/>
                  </w14:solidFill>
                </w14:textFill>
              </w:rPr>
              <w:t>MPa（1MPa=10.19kgf/c</w:t>
            </w:r>
            <w:r>
              <w:rPr>
                <w:rFonts w:hint="eastAsia"/>
                <w:color w:val="000000" w:themeColor="text1"/>
                <w:sz w:val="24"/>
                <w14:textFill>
                  <w14:solidFill>
                    <w14:schemeClr w14:val="tx1"/>
                  </w14:solidFill>
                </w14:textFill>
              </w:rPr>
              <w:t>m</w:t>
            </w:r>
            <w:r>
              <w:rPr>
                <w:rFonts w:hint="eastAsia"/>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），通过饱和蒸汽表查得i″=27</w:t>
            </w:r>
            <w:r>
              <w:rPr>
                <w:rFonts w:hint="eastAsia"/>
                <w:color w:val="000000" w:themeColor="text1"/>
                <w:sz w:val="24"/>
                <w14:textFill>
                  <w14:solidFill>
                    <w14:schemeClr w14:val="tx1"/>
                  </w14:solidFill>
                </w14:textFill>
              </w:rPr>
              <w:t>73.59</w:t>
            </w:r>
            <w:r>
              <w:rPr>
                <w:color w:val="000000" w:themeColor="text1"/>
                <w:sz w:val="24"/>
                <w14:textFill>
                  <w14:solidFill>
                    <w14:schemeClr w14:val="tx1"/>
                  </w14:solidFill>
                </w14:textFill>
              </w:rPr>
              <w:t>kJ/kg；D（</w:t>
            </w:r>
            <w:r>
              <w:rPr>
                <w:rFonts w:hint="eastAsia"/>
                <w:color w:val="000000" w:themeColor="text1"/>
                <w:sz w:val="24"/>
                <w14:textFill>
                  <w14:solidFill>
                    <w14:schemeClr w14:val="tx1"/>
                  </w14:solidFill>
                </w14:textFill>
              </w:rPr>
              <w:t>0.3</w:t>
            </w:r>
            <w:r>
              <w:rPr>
                <w:color w:val="000000" w:themeColor="text1"/>
                <w:sz w:val="24"/>
                <w14:textFill>
                  <w14:solidFill>
                    <w14:schemeClr w14:val="tx1"/>
                  </w14:solidFill>
                </w14:textFill>
              </w:rPr>
              <w:t>t/h）=</w:t>
            </w:r>
            <w:r>
              <w:rPr>
                <w:rFonts w:hint="eastAsia"/>
                <w:color w:val="000000" w:themeColor="text1"/>
                <w:sz w:val="24"/>
                <w14:textFill>
                  <w14:solidFill>
                    <w14:schemeClr w14:val="tx1"/>
                  </w14:solidFill>
                </w14:textFill>
              </w:rPr>
              <w:t>30</w:t>
            </w:r>
            <w:r>
              <w:rPr>
                <w:color w:val="000000" w:themeColor="text1"/>
                <w:sz w:val="24"/>
                <w14:textFill>
                  <w14:solidFill>
                    <w14:schemeClr w14:val="tx1"/>
                  </w14:solidFill>
                </w14:textFill>
              </w:rPr>
              <w:t>0kg/h</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D（</w:t>
            </w:r>
            <w:r>
              <w:rPr>
                <w:rFonts w:hint="eastAsia"/>
                <w:color w:val="000000" w:themeColor="text1"/>
                <w:sz w:val="24"/>
                <w14:textFill>
                  <w14:solidFill>
                    <w14:schemeClr w14:val="tx1"/>
                  </w14:solidFill>
                </w14:textFill>
              </w:rPr>
              <w:t>0.5</w:t>
            </w:r>
            <w:r>
              <w:rPr>
                <w:color w:val="000000" w:themeColor="text1"/>
                <w:sz w:val="24"/>
                <w14:textFill>
                  <w14:solidFill>
                    <w14:schemeClr w14:val="tx1"/>
                  </w14:solidFill>
                </w14:textFill>
              </w:rPr>
              <w:t>t/h）=</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00kg/h</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D（</w:t>
            </w:r>
            <w:r>
              <w:rPr>
                <w:rFonts w:hint="eastAsia"/>
                <w:color w:val="000000" w:themeColor="text1"/>
                <w:sz w:val="24"/>
                <w14:textFill>
                  <w14:solidFill>
                    <w14:schemeClr w14:val="tx1"/>
                  </w14:solidFill>
                </w14:textFill>
              </w:rPr>
              <w:t>1.0</w:t>
            </w:r>
            <w:r>
              <w:rPr>
                <w:color w:val="000000" w:themeColor="text1"/>
                <w:sz w:val="24"/>
                <w14:textFill>
                  <w14:solidFill>
                    <w14:schemeClr w14:val="tx1"/>
                  </w14:solidFill>
                </w14:textFill>
              </w:rPr>
              <w:t>t/h）=</w:t>
            </w:r>
            <w:r>
              <w:rPr>
                <w:rFonts w:hint="eastAsia"/>
                <w:color w:val="000000" w:themeColor="text1"/>
                <w:sz w:val="24"/>
                <w14:textFill>
                  <w14:solidFill>
                    <w14:schemeClr w14:val="tx1"/>
                  </w14:solidFill>
                </w14:textFill>
              </w:rPr>
              <w:t>10</w:t>
            </w:r>
            <w:r>
              <w:rPr>
                <w:color w:val="000000" w:themeColor="text1"/>
                <w:sz w:val="24"/>
                <w14:textFill>
                  <w14:solidFill>
                    <w14:schemeClr w14:val="tx1"/>
                  </w14:solidFill>
                </w14:textFill>
              </w:rPr>
              <w:t>00kg/h。</w:t>
            </w:r>
          </w:p>
          <w:p w14:paraId="2E13DAC8">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综上</w:t>
            </w:r>
            <w:r>
              <w:rPr>
                <w:color w:val="000000" w:themeColor="text1"/>
                <w:sz w:val="24"/>
                <w14:textFill>
                  <w14:solidFill>
                    <w14:schemeClr w14:val="tx1"/>
                  </w14:solidFill>
                </w14:textFill>
              </w:rPr>
              <w:t>，单台</w:t>
            </w:r>
            <w:r>
              <w:rPr>
                <w:rFonts w:hint="eastAsia"/>
                <w:color w:val="000000" w:themeColor="text1"/>
                <w:sz w:val="24"/>
                <w14:textFill>
                  <w14:solidFill>
                    <w14:schemeClr w14:val="tx1"/>
                  </w14:solidFill>
                </w14:textFill>
              </w:rPr>
              <w:t>0.3t/h</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耗气量为</w:t>
            </w:r>
            <w:r>
              <w:rPr>
                <w:rFonts w:hint="eastAsia"/>
                <w:color w:val="000000" w:themeColor="text1"/>
                <w:sz w:val="24"/>
                <w14:textFill>
                  <w14:solidFill>
                    <w14:schemeClr w14:val="tx1"/>
                  </w14:solidFill>
                </w14:textFill>
              </w:rPr>
              <w:t>23.166m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单台</w:t>
            </w:r>
            <w:r>
              <w:rPr>
                <w:rFonts w:hint="eastAsia"/>
                <w:color w:val="000000" w:themeColor="text1"/>
                <w:sz w:val="24"/>
                <w14:textFill>
                  <w14:solidFill>
                    <w14:schemeClr w14:val="tx1"/>
                  </w14:solidFill>
                </w14:textFill>
              </w:rPr>
              <w:t>0.5t/h</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耗气量为</w:t>
            </w:r>
            <w:r>
              <w:rPr>
                <w:rFonts w:hint="eastAsia"/>
                <w:color w:val="000000" w:themeColor="text1"/>
                <w:sz w:val="24"/>
                <w14:textFill>
                  <w14:solidFill>
                    <w14:schemeClr w14:val="tx1"/>
                  </w14:solidFill>
                </w14:textFill>
              </w:rPr>
              <w:t>38.611m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单台</w:t>
            </w:r>
            <w:r>
              <w:rPr>
                <w:rFonts w:hint="eastAsia"/>
                <w:color w:val="000000" w:themeColor="text1"/>
                <w:sz w:val="24"/>
                <w14:textFill>
                  <w14:solidFill>
                    <w14:schemeClr w14:val="tx1"/>
                  </w14:solidFill>
                </w14:textFill>
              </w:rPr>
              <w:t>1.0t/h</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耗气量为</w:t>
            </w:r>
            <w:r>
              <w:rPr>
                <w:rFonts w:hint="eastAsia"/>
                <w:color w:val="000000" w:themeColor="text1"/>
                <w:sz w:val="24"/>
                <w14:textFill>
                  <w14:solidFill>
                    <w14:schemeClr w14:val="tx1"/>
                  </w14:solidFill>
                </w14:textFill>
              </w:rPr>
              <w:t>77.221m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rFonts w:hint="eastAsia"/>
                <w:color w:val="000000" w:themeColor="text1"/>
                <w:sz w:val="24"/>
                <w14:textFill>
                  <w14:solidFill>
                    <w14:schemeClr w14:val="tx1"/>
                  </w14:solidFill>
                </w14:textFill>
              </w:rPr>
              <w:t>，则本项目0.3t/h蒸汽发生器</w:t>
            </w:r>
            <w:r>
              <w:rPr>
                <w:rFonts w:hint="eastAsia"/>
                <w:color w:val="000000" w:themeColor="text1"/>
                <w:kern w:val="0"/>
                <w:sz w:val="24"/>
                <w14:textFill>
                  <w14:solidFill>
                    <w14:schemeClr w14:val="tx1"/>
                  </w14:solidFill>
                </w14:textFill>
              </w:rPr>
              <w:t>天然气</w:t>
            </w:r>
            <w:r>
              <w:rPr>
                <w:rFonts w:hint="eastAsia"/>
                <w:color w:val="000000" w:themeColor="text1"/>
                <w:sz w:val="24"/>
                <w14:textFill>
                  <w14:solidFill>
                    <w14:schemeClr w14:val="tx1"/>
                  </w14:solidFill>
                </w14:textFill>
              </w:rPr>
              <w:t>用气量为23.166m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rFonts w:hint="eastAsia"/>
                <w:color w:val="000000" w:themeColor="text1"/>
                <w:sz w:val="24"/>
                <w14:textFill>
                  <w14:solidFill>
                    <w14:schemeClr w14:val="tx1"/>
                  </w14:solidFill>
                </w14:textFill>
              </w:rPr>
              <w:t>*4h*228d=21127.392m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w:t>
            </w:r>
            <w:r>
              <w:rPr>
                <w:rFonts w:hint="eastAsia"/>
                <w:color w:val="000000" w:themeColor="text1"/>
                <w:kern w:val="0"/>
                <w:sz w:val="24"/>
                <w14:textFill>
                  <w14:solidFill>
                    <w14:schemeClr w14:val="tx1"/>
                  </w14:solidFill>
                </w14:textFill>
              </w:rPr>
              <w:t>0.5</w:t>
            </w:r>
            <w:r>
              <w:rPr>
                <w:color w:val="000000" w:themeColor="text1"/>
                <w:kern w:val="0"/>
                <w:sz w:val="24"/>
                <w14:textFill>
                  <w14:solidFill>
                    <w14:schemeClr w14:val="tx1"/>
                  </w14:solidFill>
                </w14:textFill>
              </w:rPr>
              <w:t>t/h</w:t>
            </w:r>
            <w:r>
              <w:rPr>
                <w:rFonts w:hint="eastAsia"/>
                <w:color w:val="000000" w:themeColor="text1"/>
                <w:kern w:val="0"/>
                <w:sz w:val="24"/>
                <w14:textFill>
                  <w14:solidFill>
                    <w14:schemeClr w14:val="tx1"/>
                  </w14:solidFill>
                </w14:textFill>
              </w:rPr>
              <w:t>蒸汽发生器天然气</w:t>
            </w:r>
            <w:r>
              <w:rPr>
                <w:rFonts w:hint="eastAsia"/>
                <w:color w:val="000000" w:themeColor="text1"/>
                <w:sz w:val="24"/>
                <w14:textFill>
                  <w14:solidFill>
                    <w14:schemeClr w14:val="tx1"/>
                  </w14:solidFill>
                </w14:textFill>
              </w:rPr>
              <w:t>用气量为38.611m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rFonts w:hint="eastAsia"/>
                <w:color w:val="000000" w:themeColor="text1"/>
                <w:sz w:val="24"/>
                <w14:textFill>
                  <w14:solidFill>
                    <w14:schemeClr w14:val="tx1"/>
                  </w14:solidFill>
                </w14:textFill>
              </w:rPr>
              <w:t>*4h*228d=35213.232m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w:t>
            </w:r>
            <w:r>
              <w:rPr>
                <w:rFonts w:hint="eastAsia"/>
                <w:color w:val="000000" w:themeColor="text1"/>
                <w:kern w:val="0"/>
                <w:sz w:val="24"/>
                <w14:textFill>
                  <w14:solidFill>
                    <w14:schemeClr w14:val="tx1"/>
                  </w14:solidFill>
                </w14:textFill>
              </w:rPr>
              <w:t>1.0</w:t>
            </w:r>
            <w:r>
              <w:rPr>
                <w:color w:val="000000" w:themeColor="text1"/>
                <w:kern w:val="0"/>
                <w:sz w:val="24"/>
                <w14:textFill>
                  <w14:solidFill>
                    <w14:schemeClr w14:val="tx1"/>
                  </w14:solidFill>
                </w14:textFill>
              </w:rPr>
              <w:t>t/h</w:t>
            </w:r>
            <w:r>
              <w:rPr>
                <w:rFonts w:hint="eastAsia"/>
                <w:color w:val="000000" w:themeColor="text1"/>
                <w:kern w:val="0"/>
                <w:sz w:val="24"/>
                <w14:textFill>
                  <w14:solidFill>
                    <w14:schemeClr w14:val="tx1"/>
                  </w14:solidFill>
                </w14:textFill>
              </w:rPr>
              <w:t>蒸汽发生器天然气</w:t>
            </w:r>
            <w:r>
              <w:rPr>
                <w:rFonts w:hint="eastAsia"/>
                <w:color w:val="000000" w:themeColor="text1"/>
                <w:sz w:val="24"/>
                <w14:textFill>
                  <w14:solidFill>
                    <w14:schemeClr w14:val="tx1"/>
                  </w14:solidFill>
                </w14:textFill>
              </w:rPr>
              <w:t>用气量为77.221m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rFonts w:hint="eastAsia"/>
                <w:color w:val="000000" w:themeColor="text1"/>
                <w:sz w:val="24"/>
                <w14:textFill>
                  <w14:solidFill>
                    <w14:schemeClr w14:val="tx1"/>
                  </w14:solidFill>
                </w14:textFill>
              </w:rPr>
              <w:t>*6h*228d=105638.328m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w:t>
            </w:r>
          </w:p>
          <w:p w14:paraId="47AF788C">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6、公用工程</w:t>
            </w:r>
          </w:p>
          <w:p w14:paraId="2C080F7C">
            <w:pPr>
              <w:adjustRightInd w:val="0"/>
              <w:snapToGrid w:val="0"/>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6.1给水</w:t>
            </w:r>
          </w:p>
          <w:p w14:paraId="07A211AB">
            <w:pPr>
              <w:widowControl/>
              <w:kinsoku w:val="0"/>
              <w:autoSpaceDE w:val="0"/>
              <w:autoSpaceDN w:val="0"/>
              <w:adjustRightInd w:val="0"/>
              <w:snapToGrid w:val="0"/>
              <w:spacing w:line="360" w:lineRule="auto"/>
              <w:ind w:firstLine="480" w:firstLineChars="200"/>
              <w:textAlignment w:val="baseline"/>
              <w:rPr>
                <w:color w:val="000000" w:themeColor="text1"/>
                <w:sz w:val="24"/>
                <w:highlight w:val="yellow"/>
                <w14:textFill>
                  <w14:solidFill>
                    <w14:schemeClr w14:val="tx1"/>
                  </w14:solidFill>
                </w14:textFill>
              </w:rPr>
            </w:pPr>
            <w:r>
              <w:rPr>
                <w:color w:val="000000" w:themeColor="text1"/>
                <w:sz w:val="24"/>
                <w14:textFill>
                  <w14:solidFill>
                    <w14:schemeClr w14:val="tx1"/>
                  </w14:solidFill>
                </w14:textFill>
              </w:rPr>
              <w:t>项目完成后全厂</w:t>
            </w:r>
            <w:r>
              <w:rPr>
                <w:rFonts w:hint="eastAsia"/>
                <w:color w:val="000000" w:themeColor="text1"/>
                <w:sz w:val="24"/>
                <w14:textFill>
                  <w14:solidFill>
                    <w14:schemeClr w14:val="tx1"/>
                  </w14:solidFill>
                </w14:textFill>
              </w:rPr>
              <w:t>新鲜水</w:t>
            </w:r>
            <w:r>
              <w:rPr>
                <w:color w:val="000000" w:themeColor="text1"/>
                <w:sz w:val="24"/>
                <w14:textFill>
                  <w14:solidFill>
                    <w14:schemeClr w14:val="tx1"/>
                  </w14:solidFill>
                </w14:textFill>
              </w:rPr>
              <w:t>用水量</w:t>
            </w:r>
            <w:r>
              <w:rPr>
                <w:rFonts w:hint="eastAsia"/>
                <w:color w:val="000000" w:themeColor="text1"/>
                <w:sz w:val="24"/>
                <w:lang w:val="en-US" w:eastAsia="zh-CN"/>
                <w14:textFill>
                  <w14:solidFill>
                    <w14:schemeClr w14:val="tx1"/>
                  </w14:solidFill>
                </w14:textFill>
              </w:rPr>
              <w:t>8799.171</w:t>
            </w:r>
            <w:r>
              <w:rPr>
                <w:color w:val="000000" w:themeColor="text1"/>
                <w:sz w:val="24"/>
                <w:szCs w:val="24"/>
                <w14:textFill>
                  <w14:solidFill>
                    <w14:schemeClr w14:val="tx1"/>
                  </w14:solidFill>
                </w14:textFill>
              </w:rPr>
              <w:t>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/a</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38.</w:t>
            </w:r>
            <w:r>
              <w:rPr>
                <w:rFonts w:hint="eastAsia"/>
                <w:color w:val="000000" w:themeColor="text1"/>
                <w:sz w:val="24"/>
                <w:lang w:val="en-US" w:eastAsia="zh-CN"/>
                <w14:textFill>
                  <w14:solidFill>
                    <w14:schemeClr w14:val="tx1"/>
                  </w14:solidFill>
                </w14:textFill>
              </w:rPr>
              <w:t>593</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项目全厂</w:t>
            </w:r>
            <w:r>
              <w:rPr>
                <w:color w:val="000000" w:themeColor="text1"/>
                <w:sz w:val="24"/>
                <w14:textFill>
                  <w14:solidFill>
                    <w14:schemeClr w14:val="tx1"/>
                  </w14:solidFill>
                </w14:textFill>
              </w:rPr>
              <w:t>用水主要分为三个部分：工艺用水、非酿造用水以及其他用水</w:t>
            </w:r>
            <w:r>
              <w:rPr>
                <w:rFonts w:hint="eastAsia"/>
                <w:color w:val="000000" w:themeColor="text1"/>
                <w:sz w:val="24"/>
                <w14:textFill>
                  <w14:solidFill>
                    <w14:schemeClr w14:val="tx1"/>
                  </w14:solidFill>
                </w14:textFill>
              </w:rPr>
              <w:t>。</w:t>
            </w:r>
          </w:p>
          <w:p w14:paraId="50B3411D">
            <w:pPr>
              <w:widowControl/>
              <w:kinsoku w:val="0"/>
              <w:autoSpaceDE w:val="0"/>
              <w:autoSpaceDN w:val="0"/>
              <w:adjustRightInd w:val="0"/>
              <w:snapToGrid w:val="0"/>
              <w:spacing w:line="360" w:lineRule="auto"/>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（1）工艺用水：项目工艺用水主要包括酿造用水（主要为拌料、原料浸泡等工艺过程用水）、洗涤用水（主要为酿造车间地坪、</w:t>
            </w:r>
            <w:r>
              <w:rPr>
                <w:rFonts w:hint="eastAsia"/>
                <w:color w:val="000000" w:themeColor="text1"/>
                <w:sz w:val="24"/>
                <w14:textFill>
                  <w14:solidFill>
                    <w14:schemeClr w14:val="tx1"/>
                  </w14:solidFill>
                </w14:textFill>
              </w:rPr>
              <w:t>甑锅</w:t>
            </w:r>
            <w:r>
              <w:rPr>
                <w:color w:val="000000" w:themeColor="text1"/>
                <w:sz w:val="24"/>
                <w14:textFill>
                  <w14:solidFill>
                    <w14:schemeClr w14:val="tx1"/>
                  </w14:solidFill>
                </w14:textFill>
              </w:rPr>
              <w:t>以及其他设备</w:t>
            </w:r>
            <w:r>
              <w:rPr>
                <w:rFonts w:hint="eastAsia"/>
                <w:color w:val="000000" w:themeColor="text1"/>
                <w:sz w:val="24"/>
                <w14:textFill>
                  <w14:solidFill>
                    <w14:schemeClr w14:val="tx1"/>
                  </w14:solidFill>
                </w14:textFill>
              </w:rPr>
              <w:t>清</w:t>
            </w:r>
            <w:r>
              <w:rPr>
                <w:color w:val="000000" w:themeColor="text1"/>
                <w:sz w:val="24"/>
                <w14:textFill>
                  <w14:solidFill>
                    <w14:schemeClr w14:val="tx1"/>
                  </w14:solidFill>
                </w14:textFill>
              </w:rPr>
              <w:t>洗用水）、勾兑用水（主要为项目生产的基酒降度为成品酒过程用水）；</w:t>
            </w:r>
          </w:p>
          <w:p w14:paraId="5E86FBAA">
            <w:pPr>
              <w:widowControl/>
              <w:kinsoku w:val="0"/>
              <w:autoSpaceDE w:val="0"/>
              <w:autoSpaceDN w:val="0"/>
              <w:adjustRightInd w:val="0"/>
              <w:snapToGrid w:val="0"/>
              <w:spacing w:line="360" w:lineRule="auto"/>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（2）非酿造用水：项目非酿造用水主要是指在生产过程中不直接与原料接触的用水，主要包括</w:t>
            </w:r>
            <w:r>
              <w:rPr>
                <w:rFonts w:hint="eastAsia"/>
                <w:color w:val="000000" w:themeColor="text1"/>
                <w:sz w:val="24"/>
                <w14:textFill>
                  <w14:solidFill>
                    <w14:schemeClr w14:val="tx1"/>
                  </w14:solidFill>
                </w14:textFill>
              </w:rPr>
              <w:t>蒸汽发生器</w:t>
            </w:r>
            <w:r>
              <w:rPr>
                <w:color w:val="000000" w:themeColor="text1"/>
                <w:sz w:val="24"/>
                <w14:textFill>
                  <w14:solidFill>
                    <w14:schemeClr w14:val="tx1"/>
                  </w14:solidFill>
                </w14:textFill>
              </w:rPr>
              <w:t>用水、冷却用水、</w:t>
            </w:r>
            <w:r>
              <w:rPr>
                <w:rFonts w:hint="eastAsia"/>
                <w:color w:val="000000" w:themeColor="text1"/>
                <w:sz w:val="24"/>
                <w14:textFill>
                  <w14:solidFill>
                    <w14:schemeClr w14:val="tx1"/>
                  </w14:solidFill>
                </w14:textFill>
              </w:rPr>
              <w:t>纯</w:t>
            </w:r>
            <w:r>
              <w:rPr>
                <w:color w:val="000000" w:themeColor="text1"/>
                <w:sz w:val="24"/>
                <w14:textFill>
                  <w14:solidFill>
                    <w14:schemeClr w14:val="tx1"/>
                  </w14:solidFill>
                </w14:textFill>
              </w:rPr>
              <w:t>水</w:t>
            </w:r>
            <w:r>
              <w:rPr>
                <w:rFonts w:hint="eastAsia"/>
                <w:color w:val="000000" w:themeColor="text1"/>
                <w:sz w:val="24"/>
                <w14:textFill>
                  <w14:solidFill>
                    <w14:schemeClr w14:val="tx1"/>
                  </w14:solidFill>
                </w14:textFill>
              </w:rPr>
              <w:t>制备设备</w:t>
            </w:r>
            <w:r>
              <w:rPr>
                <w:color w:val="000000" w:themeColor="text1"/>
                <w:sz w:val="24"/>
                <w14:textFill>
                  <w14:solidFill>
                    <w14:schemeClr w14:val="tx1"/>
                  </w14:solidFill>
                </w14:textFill>
              </w:rPr>
              <w:t>再生耗水与包装生产线洗瓶用水。项目使用</w:t>
            </w:r>
            <w:r>
              <w:rPr>
                <w:rFonts w:hint="eastAsia"/>
                <w:color w:val="000000" w:themeColor="text1"/>
                <w:sz w:val="24"/>
                <w14:textFill>
                  <w14:solidFill>
                    <w14:schemeClr w14:val="tx1"/>
                  </w14:solidFill>
                </w14:textFill>
              </w:rPr>
              <w:t>纯</w:t>
            </w:r>
            <w:r>
              <w:rPr>
                <w:color w:val="000000" w:themeColor="text1"/>
                <w:sz w:val="24"/>
                <w14:textFill>
                  <w14:solidFill>
                    <w14:schemeClr w14:val="tx1"/>
                  </w14:solidFill>
                </w14:textFill>
              </w:rPr>
              <w:t>水，由配备的</w:t>
            </w:r>
            <w:r>
              <w:rPr>
                <w:rFonts w:hint="eastAsia"/>
                <w:color w:val="000000" w:themeColor="text1"/>
                <w:sz w:val="24"/>
                <w14:textFill>
                  <w14:solidFill>
                    <w14:schemeClr w14:val="tx1"/>
                  </w14:solidFill>
                </w14:textFill>
              </w:rPr>
              <w:t>纯</w:t>
            </w:r>
            <w:r>
              <w:rPr>
                <w:color w:val="000000" w:themeColor="text1"/>
                <w:sz w:val="24"/>
                <w14:textFill>
                  <w14:solidFill>
                    <w14:schemeClr w14:val="tx1"/>
                  </w14:solidFill>
                </w14:textFill>
              </w:rPr>
              <w:t>水制备设备制备（RO二级反渗透），</w:t>
            </w:r>
            <w:r>
              <w:rPr>
                <w:rFonts w:hint="eastAsia"/>
                <w:color w:val="000000" w:themeColor="text1"/>
                <w:sz w:val="24"/>
                <w14:textFill>
                  <w14:solidFill>
                    <w14:schemeClr w14:val="tx1"/>
                  </w14:solidFill>
                </w14:textFill>
              </w:rPr>
              <w:t>纯</w:t>
            </w:r>
            <w:r>
              <w:rPr>
                <w:color w:val="000000" w:themeColor="text1"/>
                <w:sz w:val="24"/>
                <w14:textFill>
                  <w14:solidFill>
                    <w14:schemeClr w14:val="tx1"/>
                  </w14:solidFill>
                </w14:textFill>
              </w:rPr>
              <w:t>水制备率约为</w:t>
            </w:r>
            <w:r>
              <w:rPr>
                <w:rFonts w:hint="eastAsia"/>
                <w:color w:val="000000" w:themeColor="text1"/>
                <w:sz w:val="24"/>
                <w14:textFill>
                  <w14:solidFill>
                    <w14:schemeClr w14:val="tx1"/>
                  </w14:solidFill>
                </w14:textFill>
              </w:rPr>
              <w:t>70</w:t>
            </w:r>
            <w:r>
              <w:rPr>
                <w:color w:val="000000" w:themeColor="text1"/>
                <w:sz w:val="24"/>
                <w14:textFill>
                  <w14:solidFill>
                    <w14:schemeClr w14:val="tx1"/>
                  </w14:solidFill>
                </w14:textFill>
              </w:rPr>
              <w:t>%，则浓水排污为原水的</w:t>
            </w:r>
            <w:r>
              <w:rPr>
                <w:rFonts w:hint="eastAsia"/>
                <w:color w:val="000000" w:themeColor="text1"/>
                <w:sz w:val="24"/>
                <w14:textFill>
                  <w14:solidFill>
                    <w14:schemeClr w14:val="tx1"/>
                  </w14:solidFill>
                </w14:textFill>
              </w:rPr>
              <w:t>30</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p>
          <w:p w14:paraId="721FFE5E">
            <w:pPr>
              <w:widowControl/>
              <w:kinsoku w:val="0"/>
              <w:autoSpaceDE w:val="0"/>
              <w:autoSpaceDN w:val="0"/>
              <w:adjustRightInd w:val="0"/>
              <w:snapToGrid w:val="0"/>
              <w:spacing w:line="360" w:lineRule="auto"/>
              <w:ind w:firstLine="480" w:firstLineChars="200"/>
              <w:textAlignment w:val="baseline"/>
              <w:rPr>
                <w:color w:val="000000" w:themeColor="text1"/>
                <w:sz w:val="24"/>
                <w14:textFill>
                  <w14:solidFill>
                    <w14:schemeClr w14:val="tx1"/>
                  </w14:solidFill>
                </w14:textFill>
              </w:rPr>
            </w:pPr>
            <w:r>
              <w:rPr>
                <w:color w:val="000000" w:themeColor="text1"/>
                <w:sz w:val="24"/>
                <w14:textFill>
                  <w14:solidFill>
                    <w14:schemeClr w14:val="tx1"/>
                  </w14:solidFill>
                </w14:textFill>
              </w:rPr>
              <w:t>（3）其他用水：主要是指项目营运期间由于职工生活办公产生的用水。项目各单元</w:t>
            </w:r>
            <w:r>
              <w:rPr>
                <w:rFonts w:hint="eastAsia"/>
                <w:color w:val="000000" w:themeColor="text1"/>
                <w:sz w:val="24"/>
                <w14:textFill>
                  <w14:solidFill>
                    <w14:schemeClr w14:val="tx1"/>
                  </w14:solidFill>
                </w14:textFill>
              </w:rPr>
              <w:t>用水</w:t>
            </w:r>
            <w:r>
              <w:rPr>
                <w:color w:val="000000" w:themeColor="text1"/>
                <w:sz w:val="24"/>
                <w14:textFill>
                  <w14:solidFill>
                    <w14:schemeClr w14:val="tx1"/>
                  </w14:solidFill>
                </w14:textFill>
              </w:rPr>
              <w:t>情况见下表：</w:t>
            </w:r>
          </w:p>
          <w:p w14:paraId="275EA50F">
            <w:pPr>
              <w:spacing w:line="360" w:lineRule="auto"/>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表2-14  各用水单元用水情况</w:t>
            </w:r>
          </w:p>
          <w:tbl>
            <w:tblPr>
              <w:tblStyle w:val="54"/>
              <w:tblW w:w="4939" w:type="pct"/>
              <w:jc w:val="center"/>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728"/>
              <w:gridCol w:w="605"/>
              <w:gridCol w:w="817"/>
              <w:gridCol w:w="826"/>
              <w:gridCol w:w="1070"/>
              <w:gridCol w:w="1678"/>
              <w:gridCol w:w="1169"/>
              <w:gridCol w:w="1228"/>
              <w:gridCol w:w="1163"/>
            </w:tblGrid>
            <w:tr w14:paraId="7EE3385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PrEx>
              <w:trPr>
                <w:trHeight w:val="454" w:hRule="atLeast"/>
                <w:jc w:val="center"/>
              </w:trPr>
              <w:tc>
                <w:tcPr>
                  <w:tcW w:w="392" w:type="pct"/>
                  <w:vMerge w:val="restart"/>
                  <w:tcBorders>
                    <w:bottom w:val="nil"/>
                  </w:tcBorders>
                  <w:vAlign w:val="center"/>
                </w:tcPr>
                <w:p w14:paraId="1706993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210" w:type="pct"/>
                  <w:gridSpan w:val="3"/>
                  <w:vMerge w:val="restart"/>
                  <w:tcBorders>
                    <w:bottom w:val="nil"/>
                  </w:tcBorders>
                  <w:vAlign w:val="center"/>
                </w:tcPr>
                <w:p w14:paraId="273A41A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用水项</w:t>
                  </w:r>
                </w:p>
              </w:tc>
              <w:tc>
                <w:tcPr>
                  <w:tcW w:w="576" w:type="pct"/>
                  <w:vMerge w:val="restart"/>
                  <w:tcBorders>
                    <w:bottom w:val="nil"/>
                  </w:tcBorders>
                  <w:vAlign w:val="center"/>
                </w:tcPr>
                <w:p w14:paraId="49AF59B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用水规模</w:t>
                  </w:r>
                </w:p>
              </w:tc>
              <w:tc>
                <w:tcPr>
                  <w:tcW w:w="1533" w:type="pct"/>
                  <w:gridSpan w:val="2"/>
                  <w:vMerge w:val="restart"/>
                  <w:tcBorders>
                    <w:bottom w:val="nil"/>
                  </w:tcBorders>
                  <w:vAlign w:val="center"/>
                </w:tcPr>
                <w:p w14:paraId="2D6BCC9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用水定额</w:t>
                  </w:r>
                </w:p>
              </w:tc>
              <w:tc>
                <w:tcPr>
                  <w:tcW w:w="1287" w:type="pct"/>
                  <w:gridSpan w:val="2"/>
                  <w:vAlign w:val="center"/>
                </w:tcPr>
                <w:p w14:paraId="29D6642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用水量</w:t>
                  </w:r>
                </w:p>
              </w:tc>
            </w:tr>
            <w:tr w14:paraId="1BDEC8F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tcBorders>
                  <w:vAlign w:val="center"/>
                </w:tcPr>
                <w:p w14:paraId="1CDAE574">
                  <w:pPr>
                    <w:jc w:val="center"/>
                    <w:rPr>
                      <w:color w:val="000000" w:themeColor="text1"/>
                      <w:szCs w:val="21"/>
                      <w14:textFill>
                        <w14:solidFill>
                          <w14:schemeClr w14:val="tx1"/>
                        </w14:solidFill>
                      </w14:textFill>
                    </w:rPr>
                  </w:pPr>
                </w:p>
              </w:tc>
              <w:tc>
                <w:tcPr>
                  <w:tcW w:w="1210" w:type="pct"/>
                  <w:gridSpan w:val="3"/>
                  <w:vMerge w:val="continue"/>
                  <w:tcBorders>
                    <w:top w:val="nil"/>
                  </w:tcBorders>
                  <w:vAlign w:val="center"/>
                </w:tcPr>
                <w:p w14:paraId="5F8A1C63">
                  <w:pPr>
                    <w:jc w:val="center"/>
                    <w:rPr>
                      <w:color w:val="000000" w:themeColor="text1"/>
                      <w:szCs w:val="21"/>
                      <w14:textFill>
                        <w14:solidFill>
                          <w14:schemeClr w14:val="tx1"/>
                        </w14:solidFill>
                      </w14:textFill>
                    </w:rPr>
                  </w:pPr>
                </w:p>
              </w:tc>
              <w:tc>
                <w:tcPr>
                  <w:tcW w:w="576" w:type="pct"/>
                  <w:vMerge w:val="continue"/>
                  <w:tcBorders>
                    <w:top w:val="nil"/>
                  </w:tcBorders>
                  <w:vAlign w:val="center"/>
                </w:tcPr>
                <w:p w14:paraId="5CB9180F">
                  <w:pPr>
                    <w:jc w:val="center"/>
                    <w:rPr>
                      <w:color w:val="000000" w:themeColor="text1"/>
                      <w:szCs w:val="21"/>
                      <w14:textFill>
                        <w14:solidFill>
                          <w14:schemeClr w14:val="tx1"/>
                        </w14:solidFill>
                      </w14:textFill>
                    </w:rPr>
                  </w:pPr>
                </w:p>
              </w:tc>
              <w:tc>
                <w:tcPr>
                  <w:tcW w:w="1533" w:type="pct"/>
                  <w:gridSpan w:val="2"/>
                  <w:vMerge w:val="continue"/>
                  <w:tcBorders>
                    <w:top w:val="nil"/>
                  </w:tcBorders>
                  <w:vAlign w:val="center"/>
                </w:tcPr>
                <w:p w14:paraId="4D6B2F25">
                  <w:pPr>
                    <w:jc w:val="center"/>
                    <w:rPr>
                      <w:color w:val="000000" w:themeColor="text1"/>
                      <w:szCs w:val="21"/>
                      <w14:textFill>
                        <w14:solidFill>
                          <w14:schemeClr w14:val="tx1"/>
                        </w14:solidFill>
                      </w14:textFill>
                    </w:rPr>
                  </w:pPr>
                </w:p>
              </w:tc>
              <w:tc>
                <w:tcPr>
                  <w:tcW w:w="661" w:type="pct"/>
                  <w:vAlign w:val="center"/>
                </w:tcPr>
                <w:p w14:paraId="54B05EE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626" w:type="pct"/>
                  <w:vAlign w:val="center"/>
                </w:tcPr>
                <w:p w14:paraId="70E5305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/a</w:t>
                  </w:r>
                </w:p>
              </w:tc>
            </w:tr>
            <w:tr w14:paraId="180C887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restart"/>
                  <w:tcBorders>
                    <w:bottom w:val="nil"/>
                  </w:tcBorders>
                  <w:vAlign w:val="center"/>
                </w:tcPr>
                <w:p w14:paraId="10098B4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4607" w:type="pct"/>
                  <w:gridSpan w:val="8"/>
                  <w:vAlign w:val="center"/>
                </w:tcPr>
                <w:p w14:paraId="35A393A1">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工艺用水</w:t>
                  </w:r>
                </w:p>
              </w:tc>
            </w:tr>
            <w:tr w14:paraId="482AC50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PrEx>
              <w:trPr>
                <w:trHeight w:val="454" w:hRule="atLeast"/>
                <w:jc w:val="center"/>
              </w:trPr>
              <w:tc>
                <w:tcPr>
                  <w:tcW w:w="392" w:type="pct"/>
                  <w:vMerge w:val="continue"/>
                  <w:tcBorders>
                    <w:top w:val="nil"/>
                    <w:bottom w:val="nil"/>
                  </w:tcBorders>
                  <w:vAlign w:val="center"/>
                </w:tcPr>
                <w:p w14:paraId="22BFA786">
                  <w:pPr>
                    <w:jc w:val="center"/>
                    <w:rPr>
                      <w:color w:val="000000" w:themeColor="text1"/>
                      <w:szCs w:val="21"/>
                      <w14:textFill>
                        <w14:solidFill>
                          <w14:schemeClr w14:val="tx1"/>
                        </w14:solidFill>
                      </w14:textFill>
                    </w:rPr>
                  </w:pPr>
                </w:p>
              </w:tc>
              <w:tc>
                <w:tcPr>
                  <w:tcW w:w="325" w:type="pct"/>
                  <w:vMerge w:val="restart"/>
                  <w:vAlign w:val="center"/>
                </w:tcPr>
                <w:p w14:paraId="30A9692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①</w:t>
                  </w:r>
                </w:p>
              </w:tc>
              <w:tc>
                <w:tcPr>
                  <w:tcW w:w="440" w:type="pct"/>
                  <w:vMerge w:val="restart"/>
                  <w:vAlign w:val="center"/>
                </w:tcPr>
                <w:p w14:paraId="0A600CB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原料清洗用水</w:t>
                  </w:r>
                </w:p>
              </w:tc>
              <w:tc>
                <w:tcPr>
                  <w:tcW w:w="444" w:type="pct"/>
                  <w:vAlign w:val="center"/>
                </w:tcPr>
                <w:p w14:paraId="5BE0229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果酒</w:t>
                  </w:r>
                </w:p>
              </w:tc>
              <w:tc>
                <w:tcPr>
                  <w:tcW w:w="576" w:type="pct"/>
                  <w:vAlign w:val="center"/>
                </w:tcPr>
                <w:p w14:paraId="72E1B0A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200t</w:t>
                  </w:r>
                </w:p>
              </w:tc>
              <w:tc>
                <w:tcPr>
                  <w:tcW w:w="1533" w:type="pct"/>
                  <w:gridSpan w:val="2"/>
                  <w:vAlign w:val="center"/>
                </w:tcPr>
                <w:p w14:paraId="0229A18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0.6m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-清洗槽</w:t>
                  </w:r>
                  <w:r>
                    <w:rPr>
                      <w:color w:val="000000" w:themeColor="text1"/>
                      <w:szCs w:val="21"/>
                      <w14:textFill>
                        <w14:solidFill>
                          <w14:schemeClr w14:val="tx1"/>
                        </w14:solidFill>
                      </w14:textFill>
                    </w:rPr>
                    <w:t>·</w:t>
                  </w:r>
                  <w:r>
                    <w:rPr>
                      <w:rFonts w:hint="eastAsia"/>
                      <w:color w:val="000000" w:themeColor="text1"/>
                      <w14:textFill>
                        <w14:solidFill>
                          <w14:schemeClr w14:val="tx1"/>
                        </w14:solidFill>
                      </w14:textFill>
                    </w:rPr>
                    <w:t>d</w:t>
                  </w:r>
                </w:p>
              </w:tc>
              <w:tc>
                <w:tcPr>
                  <w:tcW w:w="661" w:type="pct"/>
                  <w:vAlign w:val="center"/>
                </w:tcPr>
                <w:p w14:paraId="452F6F6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1.8</w:t>
                  </w:r>
                </w:p>
              </w:tc>
              <w:tc>
                <w:tcPr>
                  <w:tcW w:w="626" w:type="pct"/>
                  <w:vAlign w:val="center"/>
                </w:tcPr>
                <w:p w14:paraId="0D44508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410.4</w:t>
                  </w:r>
                </w:p>
              </w:tc>
            </w:tr>
            <w:tr w14:paraId="70BB20C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143C115C">
                  <w:pPr>
                    <w:jc w:val="center"/>
                    <w:rPr>
                      <w:color w:val="000000" w:themeColor="text1"/>
                      <w:szCs w:val="21"/>
                      <w14:textFill>
                        <w14:solidFill>
                          <w14:schemeClr w14:val="tx1"/>
                        </w14:solidFill>
                      </w14:textFill>
                    </w:rPr>
                  </w:pPr>
                </w:p>
              </w:tc>
              <w:tc>
                <w:tcPr>
                  <w:tcW w:w="325" w:type="pct"/>
                  <w:vMerge w:val="continue"/>
                  <w:vAlign w:val="center"/>
                </w:tcPr>
                <w:p w14:paraId="4C3F8B1D">
                  <w:pPr>
                    <w:jc w:val="center"/>
                    <w:rPr>
                      <w:color w:val="000000" w:themeColor="text1"/>
                      <w:szCs w:val="21"/>
                      <w14:textFill>
                        <w14:solidFill>
                          <w14:schemeClr w14:val="tx1"/>
                        </w14:solidFill>
                      </w14:textFill>
                    </w:rPr>
                  </w:pPr>
                </w:p>
              </w:tc>
              <w:tc>
                <w:tcPr>
                  <w:tcW w:w="440" w:type="pct"/>
                  <w:vMerge w:val="continue"/>
                  <w:vAlign w:val="center"/>
                </w:tcPr>
                <w:p w14:paraId="7DD8B0DF">
                  <w:pPr>
                    <w:jc w:val="center"/>
                    <w:rPr>
                      <w:color w:val="000000" w:themeColor="text1"/>
                      <w:szCs w:val="21"/>
                      <w14:textFill>
                        <w14:solidFill>
                          <w14:schemeClr w14:val="tx1"/>
                        </w14:solidFill>
                      </w14:textFill>
                    </w:rPr>
                  </w:pPr>
                </w:p>
              </w:tc>
              <w:tc>
                <w:tcPr>
                  <w:tcW w:w="444" w:type="pct"/>
                  <w:vAlign w:val="center"/>
                </w:tcPr>
                <w:p w14:paraId="3CAEE1D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植物饮料</w:t>
                  </w:r>
                </w:p>
              </w:tc>
              <w:tc>
                <w:tcPr>
                  <w:tcW w:w="576" w:type="pct"/>
                  <w:vAlign w:val="center"/>
                </w:tcPr>
                <w:p w14:paraId="1B6F02F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200t</w:t>
                  </w:r>
                </w:p>
              </w:tc>
              <w:tc>
                <w:tcPr>
                  <w:tcW w:w="1533" w:type="pct"/>
                  <w:gridSpan w:val="2"/>
                  <w:vAlign w:val="center"/>
                </w:tcPr>
                <w:p w14:paraId="0751AD3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0.6m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-清洗槽</w:t>
                  </w:r>
                  <w:r>
                    <w:rPr>
                      <w:color w:val="000000" w:themeColor="text1"/>
                      <w:szCs w:val="21"/>
                      <w14:textFill>
                        <w14:solidFill>
                          <w14:schemeClr w14:val="tx1"/>
                        </w14:solidFill>
                      </w14:textFill>
                    </w:rPr>
                    <w:t>·</w:t>
                  </w:r>
                  <w:r>
                    <w:rPr>
                      <w:rFonts w:hint="eastAsia"/>
                      <w:color w:val="000000" w:themeColor="text1"/>
                      <w14:textFill>
                        <w14:solidFill>
                          <w14:schemeClr w14:val="tx1"/>
                        </w14:solidFill>
                      </w14:textFill>
                    </w:rPr>
                    <w:t>d</w:t>
                  </w:r>
                </w:p>
              </w:tc>
              <w:tc>
                <w:tcPr>
                  <w:tcW w:w="661" w:type="pct"/>
                  <w:vAlign w:val="center"/>
                </w:tcPr>
                <w:p w14:paraId="033D083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626" w:type="pct"/>
                  <w:vAlign w:val="center"/>
                </w:tcPr>
                <w:p w14:paraId="0E5E20C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273.6</w:t>
                  </w:r>
                </w:p>
              </w:tc>
            </w:tr>
            <w:tr w14:paraId="20A0997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75B0E62D">
                  <w:pPr>
                    <w:jc w:val="center"/>
                    <w:rPr>
                      <w:color w:val="000000" w:themeColor="text1"/>
                      <w:szCs w:val="21"/>
                      <w14:textFill>
                        <w14:solidFill>
                          <w14:schemeClr w14:val="tx1"/>
                        </w14:solidFill>
                      </w14:textFill>
                    </w:rPr>
                  </w:pPr>
                </w:p>
              </w:tc>
              <w:tc>
                <w:tcPr>
                  <w:tcW w:w="325" w:type="pct"/>
                  <w:vMerge w:val="continue"/>
                  <w:vAlign w:val="center"/>
                </w:tcPr>
                <w:p w14:paraId="18F7D45E">
                  <w:pPr>
                    <w:jc w:val="center"/>
                    <w:rPr>
                      <w:color w:val="000000" w:themeColor="text1"/>
                      <w:szCs w:val="21"/>
                      <w14:textFill>
                        <w14:solidFill>
                          <w14:schemeClr w14:val="tx1"/>
                        </w14:solidFill>
                      </w14:textFill>
                    </w:rPr>
                  </w:pPr>
                </w:p>
              </w:tc>
              <w:tc>
                <w:tcPr>
                  <w:tcW w:w="440" w:type="pct"/>
                  <w:vMerge w:val="continue"/>
                  <w:vAlign w:val="center"/>
                </w:tcPr>
                <w:p w14:paraId="7CB1E7B7">
                  <w:pPr>
                    <w:jc w:val="center"/>
                    <w:rPr>
                      <w:color w:val="000000" w:themeColor="text1"/>
                      <w:szCs w:val="21"/>
                      <w14:textFill>
                        <w14:solidFill>
                          <w14:schemeClr w14:val="tx1"/>
                        </w14:solidFill>
                      </w14:textFill>
                    </w:rPr>
                  </w:pPr>
                </w:p>
              </w:tc>
              <w:tc>
                <w:tcPr>
                  <w:tcW w:w="444" w:type="pct"/>
                  <w:vAlign w:val="center"/>
                </w:tcPr>
                <w:p w14:paraId="04FFD35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袋泡茶</w:t>
                  </w:r>
                </w:p>
              </w:tc>
              <w:tc>
                <w:tcPr>
                  <w:tcW w:w="576" w:type="pct"/>
                  <w:vAlign w:val="center"/>
                </w:tcPr>
                <w:p w14:paraId="2C6D1E2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100t</w:t>
                  </w:r>
                </w:p>
              </w:tc>
              <w:tc>
                <w:tcPr>
                  <w:tcW w:w="1533" w:type="pct"/>
                  <w:gridSpan w:val="2"/>
                  <w:vAlign w:val="center"/>
                </w:tcPr>
                <w:p w14:paraId="24DC545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0.6m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-清洗槽</w:t>
                  </w:r>
                  <w:r>
                    <w:rPr>
                      <w:color w:val="000000" w:themeColor="text1"/>
                      <w:szCs w:val="21"/>
                      <w14:textFill>
                        <w14:solidFill>
                          <w14:schemeClr w14:val="tx1"/>
                        </w14:solidFill>
                      </w14:textFill>
                    </w:rPr>
                    <w:t>·</w:t>
                  </w:r>
                  <w:r>
                    <w:rPr>
                      <w:rFonts w:hint="eastAsia"/>
                      <w:color w:val="000000" w:themeColor="text1"/>
                      <w14:textFill>
                        <w14:solidFill>
                          <w14:schemeClr w14:val="tx1"/>
                        </w14:solidFill>
                      </w14:textFill>
                    </w:rPr>
                    <w:t>d</w:t>
                  </w:r>
                </w:p>
              </w:tc>
              <w:tc>
                <w:tcPr>
                  <w:tcW w:w="661" w:type="pct"/>
                  <w:vAlign w:val="center"/>
                </w:tcPr>
                <w:p w14:paraId="06D14DB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w:t>
                  </w:r>
                </w:p>
              </w:tc>
              <w:tc>
                <w:tcPr>
                  <w:tcW w:w="626" w:type="pct"/>
                  <w:vAlign w:val="center"/>
                </w:tcPr>
                <w:p w14:paraId="05CF993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273.6</w:t>
                  </w:r>
                </w:p>
              </w:tc>
            </w:tr>
            <w:tr w14:paraId="5640277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4A172275">
                  <w:pPr>
                    <w:jc w:val="center"/>
                    <w:rPr>
                      <w:color w:val="000000" w:themeColor="text1"/>
                      <w:szCs w:val="21"/>
                      <w14:textFill>
                        <w14:solidFill>
                          <w14:schemeClr w14:val="tx1"/>
                        </w14:solidFill>
                      </w14:textFill>
                    </w:rPr>
                  </w:pPr>
                </w:p>
              </w:tc>
              <w:tc>
                <w:tcPr>
                  <w:tcW w:w="325" w:type="pct"/>
                  <w:vMerge w:val="restart"/>
                  <w:vAlign w:val="center"/>
                </w:tcPr>
                <w:p w14:paraId="0081C6A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②</w:t>
                  </w:r>
                </w:p>
              </w:tc>
              <w:tc>
                <w:tcPr>
                  <w:tcW w:w="440" w:type="pct"/>
                  <w:vMerge w:val="restart"/>
                  <w:vAlign w:val="center"/>
                </w:tcPr>
                <w:p w14:paraId="298DD6C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酿造用水</w:t>
                  </w:r>
                </w:p>
              </w:tc>
              <w:tc>
                <w:tcPr>
                  <w:tcW w:w="444" w:type="pct"/>
                  <w:vMerge w:val="restart"/>
                  <w:vAlign w:val="center"/>
                </w:tcPr>
                <w:p w14:paraId="5C253EC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白酒</w:t>
                  </w:r>
                </w:p>
              </w:tc>
              <w:tc>
                <w:tcPr>
                  <w:tcW w:w="576" w:type="pct"/>
                  <w:vMerge w:val="restart"/>
                  <w:vAlign w:val="center"/>
                </w:tcPr>
                <w:p w14:paraId="44AC809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77.532t</w:t>
                  </w:r>
                </w:p>
              </w:tc>
              <w:tc>
                <w:tcPr>
                  <w:tcW w:w="1533" w:type="pct"/>
                  <w:gridSpan w:val="2"/>
                  <w:vAlign w:val="center"/>
                </w:tcPr>
                <w:p w14:paraId="33978BF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/t-浓香型基酒</w:t>
                  </w:r>
                </w:p>
              </w:tc>
              <w:tc>
                <w:tcPr>
                  <w:tcW w:w="661" w:type="pct"/>
                  <w:vAlign w:val="center"/>
                </w:tcPr>
                <w:p w14:paraId="6266950B">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3.401</w:t>
                  </w:r>
                </w:p>
              </w:tc>
              <w:tc>
                <w:tcPr>
                  <w:tcW w:w="626" w:type="pct"/>
                  <w:vAlign w:val="center"/>
                </w:tcPr>
                <w:p w14:paraId="4018590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775.32</w:t>
                  </w:r>
                </w:p>
              </w:tc>
            </w:tr>
            <w:tr w14:paraId="0FA8ED9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43DF3DA4">
                  <w:pPr>
                    <w:jc w:val="center"/>
                    <w:rPr>
                      <w:color w:val="000000" w:themeColor="text1"/>
                      <w:szCs w:val="21"/>
                      <w14:textFill>
                        <w14:solidFill>
                          <w14:schemeClr w14:val="tx1"/>
                        </w14:solidFill>
                      </w14:textFill>
                    </w:rPr>
                  </w:pPr>
                </w:p>
              </w:tc>
              <w:tc>
                <w:tcPr>
                  <w:tcW w:w="325" w:type="pct"/>
                  <w:vMerge w:val="continue"/>
                  <w:vAlign w:val="center"/>
                </w:tcPr>
                <w:p w14:paraId="286765A0">
                  <w:pPr>
                    <w:jc w:val="center"/>
                    <w:rPr>
                      <w:color w:val="000000" w:themeColor="text1"/>
                      <w:szCs w:val="21"/>
                      <w14:textFill>
                        <w14:solidFill>
                          <w14:schemeClr w14:val="tx1"/>
                        </w14:solidFill>
                      </w14:textFill>
                    </w:rPr>
                  </w:pPr>
                </w:p>
              </w:tc>
              <w:tc>
                <w:tcPr>
                  <w:tcW w:w="440" w:type="pct"/>
                  <w:vMerge w:val="continue"/>
                  <w:vAlign w:val="center"/>
                </w:tcPr>
                <w:p w14:paraId="178A37B8">
                  <w:pPr>
                    <w:jc w:val="center"/>
                    <w:rPr>
                      <w:color w:val="000000" w:themeColor="text1"/>
                      <w:szCs w:val="21"/>
                      <w14:textFill>
                        <w14:solidFill>
                          <w14:schemeClr w14:val="tx1"/>
                        </w14:solidFill>
                      </w14:textFill>
                    </w:rPr>
                  </w:pPr>
                </w:p>
              </w:tc>
              <w:tc>
                <w:tcPr>
                  <w:tcW w:w="444" w:type="pct"/>
                  <w:vMerge w:val="continue"/>
                  <w:vAlign w:val="center"/>
                </w:tcPr>
                <w:p w14:paraId="0C1EB1A8">
                  <w:pPr>
                    <w:jc w:val="center"/>
                    <w:rPr>
                      <w:color w:val="000000" w:themeColor="text1"/>
                      <w:szCs w:val="21"/>
                      <w14:textFill>
                        <w14:solidFill>
                          <w14:schemeClr w14:val="tx1"/>
                        </w14:solidFill>
                      </w14:textFill>
                    </w:rPr>
                  </w:pPr>
                </w:p>
              </w:tc>
              <w:tc>
                <w:tcPr>
                  <w:tcW w:w="576" w:type="pct"/>
                  <w:vMerge w:val="continue"/>
                  <w:vAlign w:val="center"/>
                </w:tcPr>
                <w:p w14:paraId="7BCCA593">
                  <w:pPr>
                    <w:jc w:val="center"/>
                    <w:rPr>
                      <w:color w:val="000000" w:themeColor="text1"/>
                      <w:szCs w:val="21"/>
                      <w14:textFill>
                        <w14:solidFill>
                          <w14:schemeClr w14:val="tx1"/>
                        </w14:solidFill>
                      </w14:textFill>
                    </w:rPr>
                  </w:pPr>
                </w:p>
              </w:tc>
              <w:tc>
                <w:tcPr>
                  <w:tcW w:w="1533" w:type="pct"/>
                  <w:gridSpan w:val="2"/>
                  <w:vAlign w:val="center"/>
                </w:tcPr>
                <w:p w14:paraId="078965F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打量水</w:t>
                  </w:r>
                </w:p>
              </w:tc>
              <w:tc>
                <w:tcPr>
                  <w:tcW w:w="661" w:type="pct"/>
                  <w:vAlign w:val="center"/>
                </w:tcPr>
                <w:p w14:paraId="5110C2D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0.316</w:t>
                  </w:r>
                </w:p>
              </w:tc>
              <w:tc>
                <w:tcPr>
                  <w:tcW w:w="626" w:type="pct"/>
                  <w:vAlign w:val="center"/>
                </w:tcPr>
                <w:p w14:paraId="7CC66A1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72.105</w:t>
                  </w:r>
                </w:p>
              </w:tc>
            </w:tr>
            <w:tr w14:paraId="498E13C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45BF06A3">
                  <w:pPr>
                    <w:jc w:val="center"/>
                    <w:rPr>
                      <w:color w:val="000000" w:themeColor="text1"/>
                      <w:szCs w:val="21"/>
                      <w14:textFill>
                        <w14:solidFill>
                          <w14:schemeClr w14:val="tx1"/>
                        </w14:solidFill>
                      </w14:textFill>
                    </w:rPr>
                  </w:pPr>
                </w:p>
              </w:tc>
              <w:tc>
                <w:tcPr>
                  <w:tcW w:w="325" w:type="pct"/>
                  <w:vMerge w:val="continue"/>
                  <w:vAlign w:val="center"/>
                </w:tcPr>
                <w:p w14:paraId="7DA20AC2">
                  <w:pPr>
                    <w:jc w:val="center"/>
                    <w:rPr>
                      <w:color w:val="000000" w:themeColor="text1"/>
                      <w:szCs w:val="21"/>
                      <w14:textFill>
                        <w14:solidFill>
                          <w14:schemeClr w14:val="tx1"/>
                        </w14:solidFill>
                      </w14:textFill>
                    </w:rPr>
                  </w:pPr>
                </w:p>
              </w:tc>
              <w:tc>
                <w:tcPr>
                  <w:tcW w:w="440" w:type="pct"/>
                  <w:vMerge w:val="continue"/>
                  <w:vAlign w:val="center"/>
                </w:tcPr>
                <w:p w14:paraId="6640D5F1">
                  <w:pPr>
                    <w:jc w:val="center"/>
                    <w:rPr>
                      <w:color w:val="000000" w:themeColor="text1"/>
                      <w:szCs w:val="21"/>
                      <w14:textFill>
                        <w14:solidFill>
                          <w14:schemeClr w14:val="tx1"/>
                        </w14:solidFill>
                      </w14:textFill>
                    </w:rPr>
                  </w:pPr>
                </w:p>
              </w:tc>
              <w:tc>
                <w:tcPr>
                  <w:tcW w:w="444" w:type="pct"/>
                  <w:vMerge w:val="restart"/>
                  <w:vAlign w:val="center"/>
                </w:tcPr>
                <w:p w14:paraId="11408AC0">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黄酒</w:t>
                  </w:r>
                </w:p>
              </w:tc>
              <w:tc>
                <w:tcPr>
                  <w:tcW w:w="576" w:type="pct"/>
                  <w:vMerge w:val="restart"/>
                  <w:vAlign w:val="center"/>
                </w:tcPr>
                <w:p w14:paraId="76B9AA29">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1"/>
                      <w:lang w:eastAsia="zh-CN"/>
                      <w14:textFill>
                        <w14:solidFill>
                          <w14:schemeClr w14:val="tx1"/>
                        </w14:solidFill>
                      </w14:textFill>
                    </w:rPr>
                    <w:t>159.302t</w:t>
                  </w:r>
                </w:p>
              </w:tc>
              <w:tc>
                <w:tcPr>
                  <w:tcW w:w="903" w:type="pct"/>
                  <w:vAlign w:val="center"/>
                </w:tcPr>
                <w:p w14:paraId="431E8A25">
                  <w:pPr>
                    <w:pStyle w:val="40"/>
                    <w:widowControl/>
                    <w:kinsoku w:val="0"/>
                    <w:autoSpaceDE w:val="0"/>
                    <w:autoSpaceDN w:val="0"/>
                    <w:adjustRightInd w:val="0"/>
                    <w:snapToGrid w:val="0"/>
                    <w:jc w:val="center"/>
                    <w:textAlignment w:val="baseline"/>
                    <w:rPr>
                      <w:rFonts w:hint="default" w:ascii="Times New Roman" w:hAnsi="Times New Roman" w:cs="Times New Roman"/>
                      <w:color w:val="000000" w:themeColor="text1"/>
                      <w:lang w:val="en-US"/>
                      <w14:textFill>
                        <w14:solidFill>
                          <w14:schemeClr w14:val="tx1"/>
                        </w14:solidFill>
                      </w14:textFill>
                    </w:rPr>
                  </w:pPr>
                  <w:r>
                    <w:rPr>
                      <w:rFonts w:ascii="Times New Roman" w:hAnsi="Times New Roman" w:cs="Times New Roman"/>
                      <w:color w:val="000000" w:themeColor="text1"/>
                      <w:spacing w:val="4"/>
                      <w14:textFill>
                        <w14:solidFill>
                          <w14:schemeClr w14:val="tx1"/>
                        </w14:solidFill>
                      </w14:textFill>
                    </w:rPr>
                    <w:t>1m</w:t>
                  </w:r>
                  <w:r>
                    <w:rPr>
                      <w:rFonts w:hint="eastAsia" w:ascii="Times New Roman" w:hAnsi="Times New Roman" w:cs="Times New Roman"/>
                      <w:color w:val="000000" w:themeColor="text1"/>
                      <w:spacing w:val="4"/>
                      <w:vertAlign w:val="superscript"/>
                      <w:lang w:eastAsia="zh-CN"/>
                      <w14:textFill>
                        <w14:solidFill>
                          <w14:schemeClr w14:val="tx1"/>
                        </w14:solidFill>
                      </w14:textFill>
                    </w:rPr>
                    <w:t>3</w:t>
                  </w:r>
                  <w:r>
                    <w:rPr>
                      <w:rFonts w:ascii="Times New Roman" w:hAnsi="Times New Roman" w:cs="Times New Roman"/>
                      <w:color w:val="000000" w:themeColor="text1"/>
                      <w:spacing w:val="4"/>
                      <w14:textFill>
                        <w14:solidFill>
                          <w14:schemeClr w14:val="tx1"/>
                        </w14:solidFill>
                      </w14:textFill>
                    </w:rPr>
                    <w:t>/t-</w:t>
                  </w:r>
                  <w:r>
                    <w:rPr>
                      <w:rFonts w:hint="eastAsia" w:ascii="Times New Roman" w:hAnsi="Times New Roman" w:cs="Times New Roman"/>
                      <w:color w:val="000000" w:themeColor="text1"/>
                      <w:spacing w:val="4"/>
                      <w:lang w:eastAsia="zh-CN"/>
                      <w14:textFill>
                        <w14:solidFill>
                          <w14:schemeClr w14:val="tx1"/>
                        </w14:solidFill>
                      </w14:textFill>
                    </w:rPr>
                    <w:t>原料</w:t>
                  </w:r>
                  <w:r>
                    <w:rPr>
                      <w:rFonts w:hint="eastAsia" w:ascii="Times New Roman" w:hAnsi="Times New Roman" w:cs="Times New Roman"/>
                      <w:color w:val="000000" w:themeColor="text1"/>
                      <w:spacing w:val="4"/>
                      <w:vertAlign w:val="superscript"/>
                      <w:lang w:eastAsia="zh-CN"/>
                      <w14:textFill>
                        <w14:solidFill>
                          <w14:schemeClr w14:val="tx1"/>
                        </w14:solidFill>
                      </w14:textFill>
                    </w:rPr>
                    <w:t>【</w:t>
                  </w:r>
                  <w:r>
                    <w:rPr>
                      <w:rFonts w:hint="eastAsia" w:ascii="Times New Roman" w:hAnsi="Times New Roman" w:cs="Times New Roman"/>
                      <w:color w:val="000000" w:themeColor="text1"/>
                      <w:spacing w:val="4"/>
                      <w:vertAlign w:val="superscript"/>
                      <w:lang w:val="en-US" w:eastAsia="zh-CN"/>
                      <w14:textFill>
                        <w14:solidFill>
                          <w14:schemeClr w14:val="tx1"/>
                        </w14:solidFill>
                      </w14:textFill>
                    </w:rPr>
                    <w:t>1</w:t>
                  </w:r>
                  <w:r>
                    <w:rPr>
                      <w:rFonts w:hint="eastAsia" w:ascii="Times New Roman" w:hAnsi="Times New Roman" w:cs="Times New Roman"/>
                      <w:color w:val="000000" w:themeColor="text1"/>
                      <w:spacing w:val="4"/>
                      <w:vertAlign w:val="superscript"/>
                      <w:lang w:eastAsia="zh-CN"/>
                      <w14:textFill>
                        <w14:solidFill>
                          <w14:schemeClr w14:val="tx1"/>
                        </w14:solidFill>
                      </w14:textFill>
                    </w:rPr>
                    <w:t>】</w:t>
                  </w:r>
                </w:p>
              </w:tc>
              <w:tc>
                <w:tcPr>
                  <w:tcW w:w="629" w:type="pct"/>
                  <w:vAlign w:val="center"/>
                </w:tcPr>
                <w:p w14:paraId="578B17EA">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spacing w:val="4"/>
                      <w14:textFill>
                        <w14:solidFill>
                          <w14:schemeClr w14:val="tx1"/>
                        </w14:solidFill>
                      </w14:textFill>
                    </w:rPr>
                  </w:pPr>
                  <w:r>
                    <w:rPr>
                      <w:rFonts w:hint="default" w:ascii="Times New Roman" w:hAnsi="Times New Roman" w:eastAsia="宋体" w:cs="Times New Roman"/>
                      <w:color w:val="000000" w:themeColor="text1"/>
                      <w:spacing w:val="4"/>
                      <w:lang w:eastAsia="zh-CN"/>
                      <w14:textFill>
                        <w14:solidFill>
                          <w14:schemeClr w14:val="tx1"/>
                        </w14:solidFill>
                      </w14:textFill>
                    </w:rPr>
                    <w:t>浸米工序</w:t>
                  </w:r>
                </w:p>
              </w:tc>
              <w:tc>
                <w:tcPr>
                  <w:tcW w:w="661" w:type="pct"/>
                  <w:vAlign w:val="center"/>
                </w:tcPr>
                <w:p w14:paraId="4CE4EDD9">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0.349</w:t>
                  </w:r>
                </w:p>
              </w:tc>
              <w:tc>
                <w:tcPr>
                  <w:tcW w:w="626" w:type="pct"/>
                  <w:vAlign w:val="center"/>
                </w:tcPr>
                <w:p w14:paraId="00A04F8B">
                  <w:pPr>
                    <w:jc w:val="center"/>
                    <w:rPr>
                      <w:color w:val="000000" w:themeColor="text1"/>
                      <w:szCs w:val="21"/>
                      <w14:textFill>
                        <w14:solidFill>
                          <w14:schemeClr w14:val="tx1"/>
                        </w14:solidFill>
                      </w14:textFill>
                    </w:rPr>
                  </w:pPr>
                  <w:r>
                    <w:rPr>
                      <w:rFonts w:hint="eastAsia"/>
                      <w:color w:val="000000" w:themeColor="text1"/>
                      <w:spacing w:val="2"/>
                      <w:szCs w:val="21"/>
                      <w14:textFill>
                        <w14:solidFill>
                          <w14:schemeClr w14:val="tx1"/>
                        </w14:solidFill>
                      </w14:textFill>
                    </w:rPr>
                    <w:t>79.642</w:t>
                  </w:r>
                </w:p>
              </w:tc>
            </w:tr>
            <w:tr w14:paraId="51EAAFF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428ABB14">
                  <w:pPr>
                    <w:jc w:val="center"/>
                    <w:rPr>
                      <w:color w:val="000000" w:themeColor="text1"/>
                      <w:szCs w:val="21"/>
                      <w14:textFill>
                        <w14:solidFill>
                          <w14:schemeClr w14:val="tx1"/>
                        </w14:solidFill>
                      </w14:textFill>
                    </w:rPr>
                  </w:pPr>
                </w:p>
              </w:tc>
              <w:tc>
                <w:tcPr>
                  <w:tcW w:w="325" w:type="pct"/>
                  <w:vMerge w:val="continue"/>
                  <w:vAlign w:val="center"/>
                </w:tcPr>
                <w:p w14:paraId="0E88EA7D">
                  <w:pPr>
                    <w:jc w:val="center"/>
                    <w:rPr>
                      <w:color w:val="000000" w:themeColor="text1"/>
                      <w:szCs w:val="21"/>
                      <w14:textFill>
                        <w14:solidFill>
                          <w14:schemeClr w14:val="tx1"/>
                        </w14:solidFill>
                      </w14:textFill>
                    </w:rPr>
                  </w:pPr>
                </w:p>
              </w:tc>
              <w:tc>
                <w:tcPr>
                  <w:tcW w:w="440" w:type="pct"/>
                  <w:vMerge w:val="continue"/>
                  <w:vAlign w:val="center"/>
                </w:tcPr>
                <w:p w14:paraId="18E4AA22">
                  <w:pPr>
                    <w:jc w:val="center"/>
                    <w:rPr>
                      <w:color w:val="000000" w:themeColor="text1"/>
                      <w:szCs w:val="21"/>
                      <w14:textFill>
                        <w14:solidFill>
                          <w14:schemeClr w14:val="tx1"/>
                        </w14:solidFill>
                      </w14:textFill>
                    </w:rPr>
                  </w:pPr>
                </w:p>
              </w:tc>
              <w:tc>
                <w:tcPr>
                  <w:tcW w:w="444" w:type="pct"/>
                  <w:vMerge w:val="continue"/>
                  <w:vAlign w:val="center"/>
                </w:tcPr>
                <w:p w14:paraId="2FADB8F2">
                  <w:pPr>
                    <w:jc w:val="center"/>
                    <w:rPr>
                      <w:color w:val="000000" w:themeColor="text1"/>
                      <w:szCs w:val="21"/>
                      <w14:textFill>
                        <w14:solidFill>
                          <w14:schemeClr w14:val="tx1"/>
                        </w14:solidFill>
                      </w14:textFill>
                    </w:rPr>
                  </w:pPr>
                </w:p>
              </w:tc>
              <w:tc>
                <w:tcPr>
                  <w:tcW w:w="576" w:type="pct"/>
                  <w:vMerge w:val="continue"/>
                  <w:vAlign w:val="center"/>
                </w:tcPr>
                <w:p w14:paraId="17DC0F59">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p>
              </w:tc>
              <w:tc>
                <w:tcPr>
                  <w:tcW w:w="903" w:type="pct"/>
                  <w:vAlign w:val="center"/>
                </w:tcPr>
                <w:p w14:paraId="0D843188">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14:textFill>
                        <w14:solidFill>
                          <w14:schemeClr w14:val="tx1"/>
                        </w14:solidFill>
                      </w14:textFill>
                    </w:rPr>
                  </w:pPr>
                  <w:r>
                    <w:rPr>
                      <w:rFonts w:hint="eastAsia" w:ascii="Times New Roman" w:hAnsi="Times New Roman" w:cs="Times New Roman"/>
                      <w:color w:val="000000" w:themeColor="text1"/>
                      <w:spacing w:val="4"/>
                      <w:lang w:val="en-US" w:eastAsia="zh-CN"/>
                      <w14:textFill>
                        <w14:solidFill>
                          <w14:schemeClr w14:val="tx1"/>
                        </w14:solidFill>
                      </w14:textFill>
                    </w:rPr>
                    <w:t>0.8</w:t>
                  </w:r>
                  <w:r>
                    <w:rPr>
                      <w:rFonts w:ascii="Times New Roman" w:hAnsi="Times New Roman" w:cs="Times New Roman"/>
                      <w:color w:val="000000" w:themeColor="text1"/>
                      <w:spacing w:val="4"/>
                      <w14:textFill>
                        <w14:solidFill>
                          <w14:schemeClr w14:val="tx1"/>
                        </w14:solidFill>
                      </w14:textFill>
                    </w:rPr>
                    <w:t>m</w:t>
                  </w:r>
                  <w:r>
                    <w:rPr>
                      <w:rFonts w:hint="eastAsia" w:ascii="Times New Roman" w:hAnsi="Times New Roman" w:cs="Times New Roman"/>
                      <w:color w:val="000000" w:themeColor="text1"/>
                      <w:spacing w:val="4"/>
                      <w:vertAlign w:val="superscript"/>
                      <w:lang w:eastAsia="zh-CN"/>
                      <w14:textFill>
                        <w14:solidFill>
                          <w14:schemeClr w14:val="tx1"/>
                        </w14:solidFill>
                      </w14:textFill>
                    </w:rPr>
                    <w:t>3</w:t>
                  </w:r>
                  <w:r>
                    <w:rPr>
                      <w:rFonts w:ascii="Times New Roman" w:hAnsi="Times New Roman" w:cs="Times New Roman"/>
                      <w:color w:val="000000" w:themeColor="text1"/>
                      <w:spacing w:val="4"/>
                      <w14:textFill>
                        <w14:solidFill>
                          <w14:schemeClr w14:val="tx1"/>
                        </w14:solidFill>
                      </w14:textFill>
                    </w:rPr>
                    <w:t>/t-</w:t>
                  </w:r>
                  <w:r>
                    <w:rPr>
                      <w:rFonts w:hint="eastAsia" w:ascii="Times New Roman" w:hAnsi="Times New Roman" w:cs="Times New Roman"/>
                      <w:color w:val="000000" w:themeColor="text1"/>
                      <w:spacing w:val="4"/>
                      <w:lang w:eastAsia="zh-CN"/>
                      <w14:textFill>
                        <w14:solidFill>
                          <w14:schemeClr w14:val="tx1"/>
                        </w14:solidFill>
                      </w14:textFill>
                    </w:rPr>
                    <w:t>原料</w:t>
                  </w:r>
                  <w:r>
                    <w:rPr>
                      <w:rFonts w:hint="eastAsia" w:ascii="Times New Roman" w:hAnsi="Times New Roman" w:cs="Times New Roman"/>
                      <w:color w:val="000000" w:themeColor="text1"/>
                      <w:spacing w:val="4"/>
                      <w:vertAlign w:val="superscript"/>
                      <w:lang w:val="en-US" w:eastAsia="zh-CN"/>
                      <w14:textFill>
                        <w14:solidFill>
                          <w14:schemeClr w14:val="tx1"/>
                        </w14:solidFill>
                      </w14:textFill>
                    </w:rPr>
                    <w:t>【2】</w:t>
                  </w:r>
                </w:p>
              </w:tc>
              <w:tc>
                <w:tcPr>
                  <w:tcW w:w="629" w:type="pct"/>
                  <w:vAlign w:val="center"/>
                </w:tcPr>
                <w:p w14:paraId="60ABC69E">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spacing w:val="4"/>
                      <w14:textFill>
                        <w14:solidFill>
                          <w14:schemeClr w14:val="tx1"/>
                        </w14:solidFill>
                      </w14:textFill>
                    </w:rPr>
                  </w:pPr>
                  <w:r>
                    <w:rPr>
                      <w:rFonts w:hint="eastAsia" w:ascii="Times New Roman" w:hAnsi="Times New Roman" w:cs="Times New Roman"/>
                      <w:color w:val="000000" w:themeColor="text1"/>
                      <w:spacing w:val="4"/>
                      <w:lang w:eastAsia="zh-CN"/>
                      <w14:textFill>
                        <w14:solidFill>
                          <w14:schemeClr w14:val="tx1"/>
                        </w14:solidFill>
                      </w14:textFill>
                    </w:rPr>
                    <w:t>发酵工序</w:t>
                  </w:r>
                </w:p>
              </w:tc>
              <w:tc>
                <w:tcPr>
                  <w:tcW w:w="661" w:type="pct"/>
                  <w:vAlign w:val="center"/>
                </w:tcPr>
                <w:p w14:paraId="28278F5F">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0.462</w:t>
                  </w:r>
                </w:p>
              </w:tc>
              <w:tc>
                <w:tcPr>
                  <w:tcW w:w="626" w:type="pct"/>
                  <w:vAlign w:val="center"/>
                </w:tcPr>
                <w:p w14:paraId="03762668">
                  <w:pPr>
                    <w:jc w:val="center"/>
                    <w:rPr>
                      <w:color w:val="000000" w:themeColor="text1"/>
                      <w:szCs w:val="21"/>
                      <w14:textFill>
                        <w14:solidFill>
                          <w14:schemeClr w14:val="tx1"/>
                        </w14:solidFill>
                      </w14:textFill>
                    </w:rPr>
                  </w:pPr>
                  <w:r>
                    <w:rPr>
                      <w:rFonts w:hint="eastAsia"/>
                      <w:color w:val="000000" w:themeColor="text1"/>
                      <w:spacing w:val="2"/>
                      <w:szCs w:val="21"/>
                      <w14:textFill>
                        <w14:solidFill>
                          <w14:schemeClr w14:val="tx1"/>
                        </w14:solidFill>
                      </w14:textFill>
                    </w:rPr>
                    <w:t>105.402</w:t>
                  </w:r>
                </w:p>
              </w:tc>
            </w:tr>
            <w:tr w14:paraId="2263265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0CDB5A96">
                  <w:pPr>
                    <w:jc w:val="center"/>
                    <w:rPr>
                      <w:color w:val="000000" w:themeColor="text1"/>
                      <w:szCs w:val="21"/>
                      <w14:textFill>
                        <w14:solidFill>
                          <w14:schemeClr w14:val="tx1"/>
                        </w14:solidFill>
                      </w14:textFill>
                    </w:rPr>
                  </w:pPr>
                </w:p>
              </w:tc>
              <w:tc>
                <w:tcPr>
                  <w:tcW w:w="325" w:type="pct"/>
                  <w:vMerge w:val="continue"/>
                  <w:vAlign w:val="center"/>
                </w:tcPr>
                <w:p w14:paraId="02912A54">
                  <w:pPr>
                    <w:jc w:val="center"/>
                    <w:rPr>
                      <w:color w:val="000000" w:themeColor="text1"/>
                      <w:szCs w:val="21"/>
                      <w14:textFill>
                        <w14:solidFill>
                          <w14:schemeClr w14:val="tx1"/>
                        </w14:solidFill>
                      </w14:textFill>
                    </w:rPr>
                  </w:pPr>
                </w:p>
              </w:tc>
              <w:tc>
                <w:tcPr>
                  <w:tcW w:w="440" w:type="pct"/>
                  <w:vMerge w:val="continue"/>
                  <w:vAlign w:val="center"/>
                </w:tcPr>
                <w:p w14:paraId="6B8F63FE">
                  <w:pPr>
                    <w:jc w:val="center"/>
                    <w:rPr>
                      <w:color w:val="000000" w:themeColor="text1"/>
                      <w:szCs w:val="21"/>
                      <w14:textFill>
                        <w14:solidFill>
                          <w14:schemeClr w14:val="tx1"/>
                        </w14:solidFill>
                      </w14:textFill>
                    </w:rPr>
                  </w:pPr>
                </w:p>
              </w:tc>
              <w:tc>
                <w:tcPr>
                  <w:tcW w:w="444" w:type="pct"/>
                  <w:vMerge w:val="restart"/>
                  <w:vAlign w:val="center"/>
                </w:tcPr>
                <w:p w14:paraId="0A6AB69B">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啤酒</w:t>
                  </w:r>
                </w:p>
              </w:tc>
              <w:tc>
                <w:tcPr>
                  <w:tcW w:w="576" w:type="pct"/>
                  <w:vMerge w:val="restart"/>
                  <w:vAlign w:val="center"/>
                </w:tcPr>
                <w:p w14:paraId="4F32599F">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spacing w:val="1"/>
                      <w:lang w:eastAsia="zh-CN"/>
                      <w14:textFill>
                        <w14:solidFill>
                          <w14:schemeClr w14:val="tx1"/>
                        </w14:solidFill>
                      </w14:textFill>
                    </w:rPr>
                    <w:t>200t</w:t>
                  </w:r>
                </w:p>
              </w:tc>
              <w:tc>
                <w:tcPr>
                  <w:tcW w:w="903" w:type="pct"/>
                  <w:vAlign w:val="center"/>
                </w:tcPr>
                <w:p w14:paraId="7B847102">
                  <w:pPr>
                    <w:widowControl/>
                    <w:kinsoku w:val="0"/>
                    <w:autoSpaceDE w:val="0"/>
                    <w:autoSpaceDN w:val="0"/>
                    <w:adjustRightInd w:val="0"/>
                    <w:snapToGrid w:val="0"/>
                    <w:jc w:val="center"/>
                    <w:textAlignment w:val="baseline"/>
                    <w:rPr>
                      <w:color w:val="000000" w:themeColor="text1"/>
                      <w:spacing w:val="4"/>
                      <w:szCs w:val="21"/>
                      <w14:textFill>
                        <w14:solidFill>
                          <w14:schemeClr w14:val="tx1"/>
                        </w14:solidFill>
                      </w14:textFill>
                    </w:rPr>
                  </w:pPr>
                  <w:r>
                    <w:rPr>
                      <w:rFonts w:hint="eastAsia"/>
                      <w:bCs/>
                      <w:color w:val="000000" w:themeColor="text1"/>
                      <w:szCs w:val="21"/>
                      <w14:textFill>
                        <w14:solidFill>
                          <w14:schemeClr w14:val="tx1"/>
                        </w14:solidFill>
                      </w14:textFill>
                    </w:rPr>
                    <w:t>0.1</w:t>
                  </w:r>
                  <w:r>
                    <w:rPr>
                      <w:color w:val="000000" w:themeColor="text1"/>
                      <w:spacing w:val="4"/>
                      <w:szCs w:val="21"/>
                      <w14:textFill>
                        <w14:solidFill>
                          <w14:schemeClr w14:val="tx1"/>
                        </w14:solidFill>
                      </w14:textFill>
                    </w:rPr>
                    <w:t>m</w:t>
                  </w:r>
                  <w:r>
                    <w:rPr>
                      <w:rFonts w:hint="eastAsia"/>
                      <w:color w:val="000000" w:themeColor="text1"/>
                      <w:spacing w:val="4"/>
                      <w:szCs w:val="21"/>
                      <w:vertAlign w:val="superscript"/>
                      <w14:textFill>
                        <w14:solidFill>
                          <w14:schemeClr w14:val="tx1"/>
                        </w14:solidFill>
                      </w14:textFill>
                    </w:rPr>
                    <w:t>3</w:t>
                  </w:r>
                  <w:r>
                    <w:rPr>
                      <w:color w:val="000000" w:themeColor="text1"/>
                      <w:spacing w:val="4"/>
                      <w:szCs w:val="21"/>
                      <w14:textFill>
                        <w14:solidFill>
                          <w14:schemeClr w14:val="tx1"/>
                        </w14:solidFill>
                      </w14:textFill>
                    </w:rPr>
                    <w:t>/t-</w:t>
                  </w:r>
                  <w:r>
                    <w:rPr>
                      <w:rFonts w:hint="eastAsia"/>
                      <w:color w:val="000000" w:themeColor="text1"/>
                      <w:spacing w:val="4"/>
                      <w:szCs w:val="21"/>
                      <w14:textFill>
                        <w14:solidFill>
                          <w14:schemeClr w14:val="tx1"/>
                        </w14:solidFill>
                      </w14:textFill>
                    </w:rPr>
                    <w:t>原料（麦芽）</w:t>
                  </w:r>
                </w:p>
              </w:tc>
              <w:tc>
                <w:tcPr>
                  <w:tcW w:w="629" w:type="pct"/>
                  <w:vMerge w:val="restart"/>
                  <w:vAlign w:val="center"/>
                </w:tcPr>
                <w:p w14:paraId="5FA88D3B">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spacing w:val="4"/>
                      <w:lang w:eastAsia="zh-CN"/>
                      <w14:textFill>
                        <w14:solidFill>
                          <w14:schemeClr w14:val="tx1"/>
                        </w14:solidFill>
                      </w14:textFill>
                    </w:rPr>
                  </w:pPr>
                  <w:r>
                    <w:rPr>
                      <w:rFonts w:hint="eastAsia" w:cs="Times New Roman"/>
                      <w:color w:val="000000" w:themeColor="text1"/>
                      <w:spacing w:val="4"/>
                      <w:lang w:eastAsia="zh-CN"/>
                      <w14:textFill>
                        <w14:solidFill>
                          <w14:schemeClr w14:val="tx1"/>
                        </w14:solidFill>
                      </w14:textFill>
                    </w:rPr>
                    <w:t>润粮工序（纯水）</w:t>
                  </w:r>
                </w:p>
              </w:tc>
              <w:tc>
                <w:tcPr>
                  <w:tcW w:w="661" w:type="pct"/>
                  <w:vAlign w:val="center"/>
                </w:tcPr>
                <w:p w14:paraId="1E2D339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0.009</w:t>
                  </w:r>
                </w:p>
              </w:tc>
              <w:tc>
                <w:tcPr>
                  <w:tcW w:w="626" w:type="pct"/>
                  <w:vAlign w:val="center"/>
                </w:tcPr>
                <w:p w14:paraId="2B8DCCAA">
                  <w:pPr>
                    <w:jc w:val="center"/>
                    <w:rPr>
                      <w:color w:val="000000" w:themeColor="text1"/>
                      <w:spacing w:val="2"/>
                      <w:szCs w:val="21"/>
                      <w14:textFill>
                        <w14:solidFill>
                          <w14:schemeClr w14:val="tx1"/>
                        </w14:solidFill>
                      </w14:textFill>
                    </w:rPr>
                  </w:pPr>
                  <w:r>
                    <w:rPr>
                      <w:rFonts w:hint="eastAsia"/>
                      <w:color w:val="000000" w:themeColor="text1"/>
                      <w:spacing w:val="2"/>
                      <w:szCs w:val="21"/>
                      <w14:textFill>
                        <w14:solidFill>
                          <w14:schemeClr w14:val="tx1"/>
                        </w14:solidFill>
                      </w14:textFill>
                    </w:rPr>
                    <w:t>2.0</w:t>
                  </w:r>
                </w:p>
              </w:tc>
            </w:tr>
            <w:tr w14:paraId="25CB8A5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52001A74">
                  <w:pPr>
                    <w:jc w:val="center"/>
                    <w:rPr>
                      <w:color w:val="000000" w:themeColor="text1"/>
                      <w:szCs w:val="21"/>
                      <w14:textFill>
                        <w14:solidFill>
                          <w14:schemeClr w14:val="tx1"/>
                        </w14:solidFill>
                      </w14:textFill>
                    </w:rPr>
                  </w:pPr>
                </w:p>
              </w:tc>
              <w:tc>
                <w:tcPr>
                  <w:tcW w:w="325" w:type="pct"/>
                  <w:vMerge w:val="continue"/>
                  <w:vAlign w:val="center"/>
                </w:tcPr>
                <w:p w14:paraId="03DF5631">
                  <w:pPr>
                    <w:jc w:val="center"/>
                    <w:rPr>
                      <w:color w:val="000000" w:themeColor="text1"/>
                      <w:szCs w:val="21"/>
                      <w14:textFill>
                        <w14:solidFill>
                          <w14:schemeClr w14:val="tx1"/>
                        </w14:solidFill>
                      </w14:textFill>
                    </w:rPr>
                  </w:pPr>
                </w:p>
              </w:tc>
              <w:tc>
                <w:tcPr>
                  <w:tcW w:w="440" w:type="pct"/>
                  <w:vMerge w:val="continue"/>
                  <w:vAlign w:val="center"/>
                </w:tcPr>
                <w:p w14:paraId="7A126333">
                  <w:pPr>
                    <w:jc w:val="center"/>
                    <w:rPr>
                      <w:color w:val="000000" w:themeColor="text1"/>
                      <w:szCs w:val="21"/>
                      <w14:textFill>
                        <w14:solidFill>
                          <w14:schemeClr w14:val="tx1"/>
                        </w14:solidFill>
                      </w14:textFill>
                    </w:rPr>
                  </w:pPr>
                </w:p>
              </w:tc>
              <w:tc>
                <w:tcPr>
                  <w:tcW w:w="444" w:type="pct"/>
                  <w:vMerge w:val="continue"/>
                  <w:vAlign w:val="center"/>
                </w:tcPr>
                <w:p w14:paraId="4B2E4243">
                  <w:pPr>
                    <w:jc w:val="center"/>
                    <w:rPr>
                      <w:color w:val="000000" w:themeColor="text1"/>
                      <w:szCs w:val="21"/>
                      <w14:textFill>
                        <w14:solidFill>
                          <w14:schemeClr w14:val="tx1"/>
                        </w14:solidFill>
                      </w14:textFill>
                    </w:rPr>
                  </w:pPr>
                </w:p>
              </w:tc>
              <w:tc>
                <w:tcPr>
                  <w:tcW w:w="576" w:type="pct"/>
                  <w:vMerge w:val="continue"/>
                  <w:vAlign w:val="center"/>
                </w:tcPr>
                <w:p w14:paraId="09C81CEC">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p>
              </w:tc>
              <w:tc>
                <w:tcPr>
                  <w:tcW w:w="903" w:type="pct"/>
                  <w:vAlign w:val="center"/>
                </w:tcPr>
                <w:p w14:paraId="6DD4C904">
                  <w:pPr>
                    <w:widowControl/>
                    <w:kinsoku w:val="0"/>
                    <w:autoSpaceDE w:val="0"/>
                    <w:autoSpaceDN w:val="0"/>
                    <w:adjustRightInd w:val="0"/>
                    <w:snapToGrid w:val="0"/>
                    <w:jc w:val="center"/>
                    <w:textAlignment w:val="baseline"/>
                    <w:rPr>
                      <w:color w:val="000000" w:themeColor="text1"/>
                      <w:spacing w:val="4"/>
                      <w:szCs w:val="21"/>
                      <w14:textFill>
                        <w14:solidFill>
                          <w14:schemeClr w14:val="tx1"/>
                        </w14:solidFill>
                      </w14:textFill>
                    </w:rPr>
                  </w:pPr>
                  <w:r>
                    <w:rPr>
                      <w:rFonts w:hint="eastAsia"/>
                      <w:bCs/>
                      <w:color w:val="000000" w:themeColor="text1"/>
                      <w:szCs w:val="21"/>
                      <w14:textFill>
                        <w14:solidFill>
                          <w14:schemeClr w14:val="tx1"/>
                        </w14:solidFill>
                      </w14:textFill>
                    </w:rPr>
                    <w:t>0.1</w:t>
                  </w:r>
                  <w:r>
                    <w:rPr>
                      <w:color w:val="000000" w:themeColor="text1"/>
                      <w:spacing w:val="4"/>
                      <w:szCs w:val="21"/>
                      <w14:textFill>
                        <w14:solidFill>
                          <w14:schemeClr w14:val="tx1"/>
                        </w14:solidFill>
                      </w14:textFill>
                    </w:rPr>
                    <w:t>m</w:t>
                  </w:r>
                  <w:r>
                    <w:rPr>
                      <w:rFonts w:hint="eastAsia"/>
                      <w:color w:val="000000" w:themeColor="text1"/>
                      <w:spacing w:val="4"/>
                      <w:szCs w:val="21"/>
                      <w:vertAlign w:val="superscript"/>
                      <w14:textFill>
                        <w14:solidFill>
                          <w14:schemeClr w14:val="tx1"/>
                        </w14:solidFill>
                      </w14:textFill>
                    </w:rPr>
                    <w:t>3</w:t>
                  </w:r>
                  <w:r>
                    <w:rPr>
                      <w:color w:val="000000" w:themeColor="text1"/>
                      <w:spacing w:val="4"/>
                      <w:szCs w:val="21"/>
                      <w14:textFill>
                        <w14:solidFill>
                          <w14:schemeClr w14:val="tx1"/>
                        </w14:solidFill>
                      </w14:textFill>
                    </w:rPr>
                    <w:t>/t-</w:t>
                  </w:r>
                  <w:r>
                    <w:rPr>
                      <w:rFonts w:hint="eastAsia"/>
                      <w:color w:val="000000" w:themeColor="text1"/>
                      <w:spacing w:val="4"/>
                      <w:szCs w:val="21"/>
                      <w14:textFill>
                        <w14:solidFill>
                          <w14:schemeClr w14:val="tx1"/>
                        </w14:solidFill>
                      </w14:textFill>
                    </w:rPr>
                    <w:t>原料（大米）</w:t>
                  </w:r>
                </w:p>
              </w:tc>
              <w:tc>
                <w:tcPr>
                  <w:tcW w:w="629" w:type="pct"/>
                  <w:vMerge w:val="continue"/>
                  <w:vAlign w:val="center"/>
                </w:tcPr>
                <w:p w14:paraId="27E55D2C">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spacing w:val="4"/>
                      <w:lang w:eastAsia="zh-CN"/>
                      <w14:textFill>
                        <w14:solidFill>
                          <w14:schemeClr w14:val="tx1"/>
                        </w14:solidFill>
                      </w14:textFill>
                    </w:rPr>
                  </w:pPr>
                </w:p>
              </w:tc>
              <w:tc>
                <w:tcPr>
                  <w:tcW w:w="661" w:type="pct"/>
                  <w:vAlign w:val="center"/>
                </w:tcPr>
                <w:p w14:paraId="5171B51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0.009</w:t>
                  </w:r>
                </w:p>
              </w:tc>
              <w:tc>
                <w:tcPr>
                  <w:tcW w:w="626" w:type="pct"/>
                  <w:vAlign w:val="center"/>
                </w:tcPr>
                <w:p w14:paraId="1E8741CF">
                  <w:pPr>
                    <w:jc w:val="center"/>
                    <w:rPr>
                      <w:color w:val="000000" w:themeColor="text1"/>
                      <w:spacing w:val="2"/>
                      <w:szCs w:val="21"/>
                      <w14:textFill>
                        <w14:solidFill>
                          <w14:schemeClr w14:val="tx1"/>
                        </w14:solidFill>
                      </w14:textFill>
                    </w:rPr>
                  </w:pPr>
                  <w:r>
                    <w:rPr>
                      <w:rFonts w:hint="eastAsia"/>
                      <w:color w:val="000000" w:themeColor="text1"/>
                      <w:spacing w:val="2"/>
                      <w:szCs w:val="21"/>
                      <w14:textFill>
                        <w14:solidFill>
                          <w14:schemeClr w14:val="tx1"/>
                        </w14:solidFill>
                      </w14:textFill>
                    </w:rPr>
                    <w:t>2.0</w:t>
                  </w:r>
                </w:p>
              </w:tc>
            </w:tr>
            <w:tr w14:paraId="5D3DBAC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54DA3AEF">
                  <w:pPr>
                    <w:jc w:val="center"/>
                    <w:rPr>
                      <w:color w:val="000000" w:themeColor="text1"/>
                      <w:szCs w:val="21"/>
                      <w14:textFill>
                        <w14:solidFill>
                          <w14:schemeClr w14:val="tx1"/>
                        </w14:solidFill>
                      </w14:textFill>
                    </w:rPr>
                  </w:pPr>
                </w:p>
              </w:tc>
              <w:tc>
                <w:tcPr>
                  <w:tcW w:w="325" w:type="pct"/>
                  <w:vMerge w:val="continue"/>
                  <w:vAlign w:val="center"/>
                </w:tcPr>
                <w:p w14:paraId="4C3A181A">
                  <w:pPr>
                    <w:jc w:val="center"/>
                    <w:rPr>
                      <w:color w:val="000000" w:themeColor="text1"/>
                      <w:szCs w:val="21"/>
                      <w14:textFill>
                        <w14:solidFill>
                          <w14:schemeClr w14:val="tx1"/>
                        </w14:solidFill>
                      </w14:textFill>
                    </w:rPr>
                  </w:pPr>
                </w:p>
              </w:tc>
              <w:tc>
                <w:tcPr>
                  <w:tcW w:w="440" w:type="pct"/>
                  <w:vMerge w:val="continue"/>
                  <w:vAlign w:val="center"/>
                </w:tcPr>
                <w:p w14:paraId="00228ECC">
                  <w:pPr>
                    <w:jc w:val="center"/>
                    <w:rPr>
                      <w:color w:val="000000" w:themeColor="text1"/>
                      <w:szCs w:val="21"/>
                      <w14:textFill>
                        <w14:solidFill>
                          <w14:schemeClr w14:val="tx1"/>
                        </w14:solidFill>
                      </w14:textFill>
                    </w:rPr>
                  </w:pPr>
                </w:p>
              </w:tc>
              <w:tc>
                <w:tcPr>
                  <w:tcW w:w="444" w:type="pct"/>
                  <w:vMerge w:val="continue"/>
                  <w:vAlign w:val="center"/>
                </w:tcPr>
                <w:p w14:paraId="050AB5AC">
                  <w:pPr>
                    <w:jc w:val="center"/>
                    <w:rPr>
                      <w:color w:val="000000" w:themeColor="text1"/>
                      <w:szCs w:val="21"/>
                      <w14:textFill>
                        <w14:solidFill>
                          <w14:schemeClr w14:val="tx1"/>
                        </w14:solidFill>
                      </w14:textFill>
                    </w:rPr>
                  </w:pPr>
                </w:p>
              </w:tc>
              <w:tc>
                <w:tcPr>
                  <w:tcW w:w="576" w:type="pct"/>
                  <w:vMerge w:val="continue"/>
                  <w:vAlign w:val="center"/>
                </w:tcPr>
                <w:p w14:paraId="5E332299">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p>
              </w:tc>
              <w:tc>
                <w:tcPr>
                  <w:tcW w:w="1533" w:type="pct"/>
                  <w:gridSpan w:val="2"/>
                  <w:vAlign w:val="center"/>
                </w:tcPr>
                <w:p w14:paraId="2AC7DA62">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spacing w:val="4"/>
                      <w:lang w:eastAsia="zh-CN"/>
                      <w14:textFill>
                        <w14:solidFill>
                          <w14:schemeClr w14:val="tx1"/>
                        </w14:solidFill>
                      </w14:textFill>
                    </w:rPr>
                  </w:pPr>
                  <w:r>
                    <w:rPr>
                      <w:rFonts w:hint="eastAsia" w:ascii="Times New Roman" w:hAnsi="Times New Roman" w:cs="Times New Roman"/>
                      <w:color w:val="000000" w:themeColor="text1"/>
                      <w:spacing w:val="4"/>
                      <w:lang w:eastAsia="zh-CN"/>
                      <w14:textFill>
                        <w14:solidFill>
                          <w14:schemeClr w14:val="tx1"/>
                        </w14:solidFill>
                      </w14:textFill>
                    </w:rPr>
                    <w:t>糊化、糖化工序</w:t>
                  </w:r>
                  <w:r>
                    <w:rPr>
                      <w:rFonts w:hint="eastAsia" w:cs="Times New Roman"/>
                      <w:color w:val="000000" w:themeColor="text1"/>
                      <w:spacing w:val="4"/>
                      <w:lang w:eastAsia="zh-CN"/>
                      <w14:textFill>
                        <w14:solidFill>
                          <w14:schemeClr w14:val="tx1"/>
                        </w14:solidFill>
                      </w14:textFill>
                    </w:rPr>
                    <w:t>（纯水）</w:t>
                  </w:r>
                </w:p>
              </w:tc>
              <w:tc>
                <w:tcPr>
                  <w:tcW w:w="661" w:type="pct"/>
                  <w:vAlign w:val="center"/>
                </w:tcPr>
                <w:p w14:paraId="477FB9F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0.476</w:t>
                  </w:r>
                </w:p>
              </w:tc>
              <w:tc>
                <w:tcPr>
                  <w:tcW w:w="626" w:type="pct"/>
                  <w:vAlign w:val="center"/>
                </w:tcPr>
                <w:p w14:paraId="3095023C">
                  <w:pPr>
                    <w:jc w:val="center"/>
                    <w:rPr>
                      <w:rFonts w:hint="eastAsia" w:eastAsia="宋体"/>
                      <w:color w:val="000000" w:themeColor="text1"/>
                      <w:spacing w:val="2"/>
                      <w:szCs w:val="21"/>
                      <w:lang w:val="en-US" w:eastAsia="zh-CN"/>
                      <w14:textFill>
                        <w14:solidFill>
                          <w14:schemeClr w14:val="tx1"/>
                        </w14:solidFill>
                      </w14:textFill>
                    </w:rPr>
                  </w:pPr>
                  <w:r>
                    <w:rPr>
                      <w:rFonts w:hint="eastAsia"/>
                      <w:color w:val="000000" w:themeColor="text1"/>
                      <w:spacing w:val="2"/>
                      <w:szCs w:val="21"/>
                      <w14:textFill>
                        <w14:solidFill>
                          <w14:schemeClr w14:val="tx1"/>
                        </w14:solidFill>
                      </w14:textFill>
                    </w:rPr>
                    <w:t>108.64</w:t>
                  </w:r>
                </w:p>
              </w:tc>
            </w:tr>
            <w:tr w14:paraId="3E07347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0A96C1E8">
                  <w:pPr>
                    <w:jc w:val="center"/>
                    <w:rPr>
                      <w:color w:val="000000" w:themeColor="text1"/>
                      <w:szCs w:val="21"/>
                      <w14:textFill>
                        <w14:solidFill>
                          <w14:schemeClr w14:val="tx1"/>
                        </w14:solidFill>
                      </w14:textFill>
                    </w:rPr>
                  </w:pPr>
                </w:p>
              </w:tc>
              <w:tc>
                <w:tcPr>
                  <w:tcW w:w="325" w:type="pct"/>
                  <w:vMerge w:val="continue"/>
                  <w:vAlign w:val="center"/>
                </w:tcPr>
                <w:p w14:paraId="70DFE0C8">
                  <w:pPr>
                    <w:jc w:val="center"/>
                    <w:rPr>
                      <w:color w:val="000000" w:themeColor="text1"/>
                      <w:szCs w:val="21"/>
                      <w14:textFill>
                        <w14:solidFill>
                          <w14:schemeClr w14:val="tx1"/>
                        </w14:solidFill>
                      </w14:textFill>
                    </w:rPr>
                  </w:pPr>
                </w:p>
              </w:tc>
              <w:tc>
                <w:tcPr>
                  <w:tcW w:w="440" w:type="pct"/>
                  <w:vMerge w:val="continue"/>
                  <w:vAlign w:val="center"/>
                </w:tcPr>
                <w:p w14:paraId="7EBB4DDF">
                  <w:pPr>
                    <w:jc w:val="center"/>
                    <w:rPr>
                      <w:color w:val="000000" w:themeColor="text1"/>
                      <w:szCs w:val="21"/>
                      <w14:textFill>
                        <w14:solidFill>
                          <w14:schemeClr w14:val="tx1"/>
                        </w14:solidFill>
                      </w14:textFill>
                    </w:rPr>
                  </w:pPr>
                </w:p>
              </w:tc>
              <w:tc>
                <w:tcPr>
                  <w:tcW w:w="444" w:type="pct"/>
                  <w:vMerge w:val="continue"/>
                  <w:vAlign w:val="center"/>
                </w:tcPr>
                <w:p w14:paraId="10120FED">
                  <w:pPr>
                    <w:jc w:val="center"/>
                    <w:rPr>
                      <w:color w:val="000000" w:themeColor="text1"/>
                      <w:szCs w:val="21"/>
                      <w14:textFill>
                        <w14:solidFill>
                          <w14:schemeClr w14:val="tx1"/>
                        </w14:solidFill>
                      </w14:textFill>
                    </w:rPr>
                  </w:pPr>
                </w:p>
              </w:tc>
              <w:tc>
                <w:tcPr>
                  <w:tcW w:w="576" w:type="pct"/>
                  <w:vMerge w:val="continue"/>
                  <w:vAlign w:val="center"/>
                </w:tcPr>
                <w:p w14:paraId="73AF972A">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p>
              </w:tc>
              <w:tc>
                <w:tcPr>
                  <w:tcW w:w="1533" w:type="pct"/>
                  <w:gridSpan w:val="2"/>
                  <w:vAlign w:val="center"/>
                </w:tcPr>
                <w:p w14:paraId="012D0563">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spacing w:val="4"/>
                      <w:lang w:eastAsia="zh-CN"/>
                      <w14:textFill>
                        <w14:solidFill>
                          <w14:schemeClr w14:val="tx1"/>
                        </w14:solidFill>
                      </w14:textFill>
                    </w:rPr>
                  </w:pPr>
                  <w:r>
                    <w:rPr>
                      <w:rFonts w:hint="eastAsia" w:ascii="Times New Roman" w:hAnsi="Times New Roman" w:cs="Times New Roman"/>
                      <w:color w:val="000000" w:themeColor="text1"/>
                      <w:spacing w:val="4"/>
                      <w:lang w:eastAsia="zh-CN"/>
                      <w14:textFill>
                        <w14:solidFill>
                          <w14:schemeClr w14:val="tx1"/>
                        </w14:solidFill>
                      </w14:textFill>
                    </w:rPr>
                    <w:t>过滤工序</w:t>
                  </w:r>
                  <w:r>
                    <w:rPr>
                      <w:rFonts w:hint="eastAsia" w:cs="Times New Roman"/>
                      <w:color w:val="000000" w:themeColor="text1"/>
                      <w:spacing w:val="4"/>
                      <w:lang w:eastAsia="zh-CN"/>
                      <w14:textFill>
                        <w14:solidFill>
                          <w14:schemeClr w14:val="tx1"/>
                        </w14:solidFill>
                      </w14:textFill>
                    </w:rPr>
                    <w:t>（纯水）</w:t>
                  </w:r>
                </w:p>
              </w:tc>
              <w:tc>
                <w:tcPr>
                  <w:tcW w:w="661" w:type="pct"/>
                  <w:vAlign w:val="center"/>
                </w:tcPr>
                <w:p w14:paraId="2541A71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1.058</w:t>
                  </w:r>
                </w:p>
              </w:tc>
              <w:tc>
                <w:tcPr>
                  <w:tcW w:w="626" w:type="pct"/>
                  <w:vAlign w:val="center"/>
                </w:tcPr>
                <w:p w14:paraId="0E2BF671">
                  <w:pPr>
                    <w:jc w:val="center"/>
                    <w:rPr>
                      <w:rFonts w:hint="default" w:eastAsia="宋体"/>
                      <w:color w:val="000000" w:themeColor="text1"/>
                      <w:spacing w:val="2"/>
                      <w:szCs w:val="21"/>
                      <w:lang w:val="en-US" w:eastAsia="zh-CN"/>
                      <w14:textFill>
                        <w14:solidFill>
                          <w14:schemeClr w14:val="tx1"/>
                        </w14:solidFill>
                      </w14:textFill>
                    </w:rPr>
                  </w:pPr>
                  <w:r>
                    <w:rPr>
                      <w:rFonts w:hint="eastAsia"/>
                      <w:color w:val="000000" w:themeColor="text1"/>
                      <w:spacing w:val="2"/>
                      <w:szCs w:val="21"/>
                      <w14:textFill>
                        <w14:solidFill>
                          <w14:schemeClr w14:val="tx1"/>
                        </w14:solidFill>
                      </w14:textFill>
                    </w:rPr>
                    <w:t>241.1</w:t>
                  </w:r>
                  <w:r>
                    <w:rPr>
                      <w:rFonts w:hint="eastAsia"/>
                      <w:color w:val="000000" w:themeColor="text1"/>
                      <w:spacing w:val="2"/>
                      <w:szCs w:val="21"/>
                      <w:lang w:val="en-US" w:eastAsia="zh-CN"/>
                      <w14:textFill>
                        <w14:solidFill>
                          <w14:schemeClr w14:val="tx1"/>
                        </w14:solidFill>
                      </w14:textFill>
                    </w:rPr>
                    <w:t>52</w:t>
                  </w:r>
                </w:p>
              </w:tc>
            </w:tr>
            <w:tr w14:paraId="4D212A5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5207418F">
                  <w:pPr>
                    <w:jc w:val="center"/>
                    <w:rPr>
                      <w:color w:val="000000" w:themeColor="text1"/>
                      <w:szCs w:val="21"/>
                      <w14:textFill>
                        <w14:solidFill>
                          <w14:schemeClr w14:val="tx1"/>
                        </w14:solidFill>
                      </w14:textFill>
                    </w:rPr>
                  </w:pPr>
                </w:p>
              </w:tc>
              <w:tc>
                <w:tcPr>
                  <w:tcW w:w="325" w:type="pct"/>
                  <w:vMerge w:val="restart"/>
                  <w:vAlign w:val="center"/>
                </w:tcPr>
                <w:p w14:paraId="7EEC630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③</w:t>
                  </w:r>
                </w:p>
              </w:tc>
              <w:tc>
                <w:tcPr>
                  <w:tcW w:w="440" w:type="pct"/>
                  <w:vMerge w:val="restart"/>
                  <w:vAlign w:val="center"/>
                </w:tcPr>
                <w:p w14:paraId="1C36C28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配料用水</w:t>
                  </w:r>
                </w:p>
              </w:tc>
              <w:tc>
                <w:tcPr>
                  <w:tcW w:w="444" w:type="pct"/>
                  <w:vAlign w:val="center"/>
                </w:tcPr>
                <w:p w14:paraId="1FE6C71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植物饮料</w:t>
                  </w:r>
                </w:p>
              </w:tc>
              <w:tc>
                <w:tcPr>
                  <w:tcW w:w="576" w:type="pct"/>
                  <w:vAlign w:val="center"/>
                </w:tcPr>
                <w:p w14:paraId="71C622F6">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p>
              </w:tc>
              <w:tc>
                <w:tcPr>
                  <w:tcW w:w="903" w:type="pct"/>
                  <w:vAlign w:val="center"/>
                </w:tcPr>
                <w:p w14:paraId="4A1923F6">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spacing w:val="4"/>
                      <w:lang w:eastAsia="zh-CN"/>
                      <w14:textFill>
                        <w14:solidFill>
                          <w14:schemeClr w14:val="tx1"/>
                        </w14:solidFill>
                      </w14:textFill>
                    </w:rPr>
                  </w:pPr>
                  <w:r>
                    <w:rPr>
                      <w:rFonts w:hint="eastAsia" w:ascii="Times New Roman" w:hAnsi="Times New Roman" w:cs="Times New Roman"/>
                      <w:color w:val="000000" w:themeColor="text1"/>
                      <w:spacing w:val="4"/>
                      <w:lang w:eastAsia="zh-CN"/>
                      <w14:textFill>
                        <w14:solidFill>
                          <w14:schemeClr w14:val="tx1"/>
                        </w14:solidFill>
                      </w14:textFill>
                    </w:rPr>
                    <w:t>8m</w:t>
                  </w:r>
                  <w:r>
                    <w:rPr>
                      <w:rFonts w:hint="eastAsia" w:ascii="Times New Roman" w:hAnsi="Times New Roman" w:cs="Times New Roman"/>
                      <w:color w:val="000000" w:themeColor="text1"/>
                      <w:spacing w:val="4"/>
                      <w:vertAlign w:val="superscript"/>
                      <w:lang w:eastAsia="zh-CN"/>
                      <w14:textFill>
                        <w14:solidFill>
                          <w14:schemeClr w14:val="tx1"/>
                        </w14:solidFill>
                      </w14:textFill>
                    </w:rPr>
                    <w:t>3</w:t>
                  </w:r>
                  <w:r>
                    <w:rPr>
                      <w:rFonts w:hint="eastAsia" w:ascii="Times New Roman" w:hAnsi="Times New Roman" w:cs="Times New Roman"/>
                      <w:color w:val="000000" w:themeColor="text1"/>
                      <w:spacing w:val="4"/>
                      <w:lang w:eastAsia="zh-CN"/>
                      <w14:textFill>
                        <w14:solidFill>
                          <w14:schemeClr w14:val="tx1"/>
                        </w14:solidFill>
                      </w14:textFill>
                    </w:rPr>
                    <w:t>/t-原料（</w:t>
                  </w:r>
                  <w:r>
                    <w:rPr>
                      <w:rFonts w:hint="eastAsia" w:ascii="Times New Roman" w:hAnsi="Times New Roman" w:cs="Times New Roman"/>
                      <w:color w:val="000000" w:themeColor="text1"/>
                      <w:spacing w:val="4"/>
                      <w:lang w:val="en-US" w:eastAsia="zh-CN"/>
                      <w14:textFill>
                        <w14:solidFill>
                          <w14:schemeClr w14:val="tx1"/>
                        </w14:solidFill>
                      </w14:textFill>
                    </w:rPr>
                    <w:t>烘干后重量）</w:t>
                  </w:r>
                  <w:r>
                    <w:rPr>
                      <w:rFonts w:hint="eastAsia" w:cs="Times New Roman"/>
                      <w:color w:val="000000" w:themeColor="text1"/>
                      <w:spacing w:val="4"/>
                      <w:lang w:eastAsia="zh-CN"/>
                      <w14:textFill>
                        <w14:solidFill>
                          <w14:schemeClr w14:val="tx1"/>
                        </w14:solidFill>
                      </w14:textFill>
                    </w:rPr>
                    <w:t>（纯水）</w:t>
                  </w:r>
                </w:p>
              </w:tc>
              <w:tc>
                <w:tcPr>
                  <w:tcW w:w="629" w:type="pct"/>
                  <w:vAlign w:val="center"/>
                </w:tcPr>
                <w:p w14:paraId="15CC6907">
                  <w:pPr>
                    <w:pStyle w:val="40"/>
                    <w:widowControl/>
                    <w:kinsoku w:val="0"/>
                    <w:autoSpaceDE w:val="0"/>
                    <w:autoSpaceDN w:val="0"/>
                    <w:adjustRightInd w:val="0"/>
                    <w:snapToGrid w:val="0"/>
                    <w:jc w:val="center"/>
                    <w:textAlignment w:val="baseline"/>
                    <w:rPr>
                      <w:rFonts w:hint="default" w:ascii="Times New Roman" w:hAnsi="Times New Roman" w:cs="Times New Roman"/>
                      <w:color w:val="000000" w:themeColor="text1"/>
                      <w:spacing w:val="4"/>
                      <w:lang w:val="en-US" w:eastAsia="zh-CN"/>
                      <w14:textFill>
                        <w14:solidFill>
                          <w14:schemeClr w14:val="tx1"/>
                        </w14:solidFill>
                      </w14:textFill>
                    </w:rPr>
                  </w:pPr>
                  <w:r>
                    <w:rPr>
                      <w:rFonts w:hint="eastAsia" w:ascii="Times New Roman" w:hAnsi="Times New Roman" w:cs="Times New Roman"/>
                      <w:color w:val="000000" w:themeColor="text1"/>
                      <w:spacing w:val="4"/>
                      <w:lang w:val="en-US" w:eastAsia="zh-CN"/>
                      <w14:textFill>
                        <w14:solidFill>
                          <w14:schemeClr w14:val="tx1"/>
                        </w14:solidFill>
                      </w14:textFill>
                    </w:rPr>
                    <w:t>提取工序</w:t>
                  </w:r>
                </w:p>
              </w:tc>
              <w:tc>
                <w:tcPr>
                  <w:tcW w:w="661" w:type="pct"/>
                  <w:vAlign w:val="center"/>
                </w:tcPr>
                <w:p w14:paraId="58A302D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1.265</w:t>
                  </w:r>
                </w:p>
              </w:tc>
              <w:tc>
                <w:tcPr>
                  <w:tcW w:w="626" w:type="pct"/>
                  <w:vAlign w:val="center"/>
                </w:tcPr>
                <w:p w14:paraId="16447CC8">
                  <w:pPr>
                    <w:jc w:val="center"/>
                    <w:rPr>
                      <w:color w:val="000000" w:themeColor="text1"/>
                      <w:spacing w:val="2"/>
                      <w:szCs w:val="21"/>
                      <w14:textFill>
                        <w14:solidFill>
                          <w14:schemeClr w14:val="tx1"/>
                        </w14:solidFill>
                      </w14:textFill>
                    </w:rPr>
                  </w:pPr>
                  <w:r>
                    <w:rPr>
                      <w:rFonts w:hint="eastAsia"/>
                      <w:color w:val="000000" w:themeColor="text1"/>
                      <w:spacing w:val="2"/>
                      <w:szCs w:val="21"/>
                      <w14:textFill>
                        <w14:solidFill>
                          <w14:schemeClr w14:val="tx1"/>
                        </w14:solidFill>
                      </w14:textFill>
                    </w:rPr>
                    <w:t>288.672</w:t>
                  </w:r>
                </w:p>
              </w:tc>
            </w:tr>
            <w:tr w14:paraId="7A1243C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614" w:hRule="atLeast"/>
                <w:jc w:val="center"/>
              </w:trPr>
              <w:tc>
                <w:tcPr>
                  <w:tcW w:w="392" w:type="pct"/>
                  <w:vMerge w:val="continue"/>
                  <w:tcBorders>
                    <w:top w:val="nil"/>
                    <w:bottom w:val="nil"/>
                  </w:tcBorders>
                  <w:vAlign w:val="center"/>
                </w:tcPr>
                <w:p w14:paraId="25CB195E">
                  <w:pPr>
                    <w:jc w:val="center"/>
                    <w:rPr>
                      <w:color w:val="000000" w:themeColor="text1"/>
                      <w:szCs w:val="21"/>
                      <w14:textFill>
                        <w14:solidFill>
                          <w14:schemeClr w14:val="tx1"/>
                        </w14:solidFill>
                      </w14:textFill>
                    </w:rPr>
                  </w:pPr>
                </w:p>
              </w:tc>
              <w:tc>
                <w:tcPr>
                  <w:tcW w:w="325" w:type="pct"/>
                  <w:vMerge w:val="continue"/>
                  <w:vAlign w:val="center"/>
                </w:tcPr>
                <w:p w14:paraId="4A079265">
                  <w:pPr>
                    <w:jc w:val="center"/>
                    <w:rPr>
                      <w:color w:val="000000" w:themeColor="text1"/>
                      <w:szCs w:val="21"/>
                      <w14:textFill>
                        <w14:solidFill>
                          <w14:schemeClr w14:val="tx1"/>
                        </w14:solidFill>
                      </w14:textFill>
                    </w:rPr>
                  </w:pPr>
                </w:p>
              </w:tc>
              <w:tc>
                <w:tcPr>
                  <w:tcW w:w="440" w:type="pct"/>
                  <w:vMerge w:val="continue"/>
                  <w:vAlign w:val="center"/>
                </w:tcPr>
                <w:p w14:paraId="5A95B6FB">
                  <w:pPr>
                    <w:jc w:val="center"/>
                    <w:rPr>
                      <w:color w:val="000000" w:themeColor="text1"/>
                      <w:szCs w:val="21"/>
                      <w14:textFill>
                        <w14:solidFill>
                          <w14:schemeClr w14:val="tx1"/>
                        </w14:solidFill>
                      </w14:textFill>
                    </w:rPr>
                  </w:pPr>
                </w:p>
              </w:tc>
              <w:tc>
                <w:tcPr>
                  <w:tcW w:w="444" w:type="pct"/>
                  <w:vAlign w:val="center"/>
                </w:tcPr>
                <w:p w14:paraId="35CB77A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热敷理疗产品</w:t>
                  </w:r>
                </w:p>
              </w:tc>
              <w:tc>
                <w:tcPr>
                  <w:tcW w:w="576" w:type="pct"/>
                  <w:vAlign w:val="center"/>
                </w:tcPr>
                <w:p w14:paraId="1C6B9378">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p>
              </w:tc>
              <w:tc>
                <w:tcPr>
                  <w:tcW w:w="1533" w:type="pct"/>
                  <w:gridSpan w:val="2"/>
                  <w:vAlign w:val="center"/>
                </w:tcPr>
                <w:p w14:paraId="3796DD91">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spacing w:val="4"/>
                      <w:lang w:eastAsia="zh-CN"/>
                      <w14:textFill>
                        <w14:solidFill>
                          <w14:schemeClr w14:val="tx1"/>
                        </w14:solidFill>
                      </w14:textFill>
                    </w:rPr>
                  </w:pPr>
                  <w:r>
                    <w:rPr>
                      <w:rFonts w:hint="eastAsia" w:ascii="Times New Roman" w:hAnsi="Times New Roman" w:cs="Times New Roman"/>
                      <w:color w:val="000000" w:themeColor="text1"/>
                      <w:spacing w:val="4"/>
                      <w:lang w:eastAsia="zh-CN"/>
                      <w14:textFill>
                        <w14:solidFill>
                          <w14:schemeClr w14:val="tx1"/>
                        </w14:solidFill>
                      </w14:textFill>
                    </w:rPr>
                    <w:t>1m</w:t>
                  </w:r>
                  <w:r>
                    <w:rPr>
                      <w:rFonts w:hint="eastAsia" w:ascii="Times New Roman" w:hAnsi="Times New Roman" w:cs="Times New Roman"/>
                      <w:color w:val="000000" w:themeColor="text1"/>
                      <w:spacing w:val="4"/>
                      <w:vertAlign w:val="superscript"/>
                      <w:lang w:eastAsia="zh-CN"/>
                      <w14:textFill>
                        <w14:solidFill>
                          <w14:schemeClr w14:val="tx1"/>
                        </w14:solidFill>
                      </w14:textFill>
                    </w:rPr>
                    <w:t>3</w:t>
                  </w:r>
                  <w:r>
                    <w:rPr>
                      <w:rFonts w:hint="eastAsia" w:ascii="Times New Roman" w:hAnsi="Times New Roman" w:cs="Times New Roman"/>
                      <w:color w:val="000000" w:themeColor="text1"/>
                      <w:spacing w:val="4"/>
                      <w:lang w:eastAsia="zh-CN"/>
                      <w14:textFill>
                        <w14:solidFill>
                          <w14:schemeClr w14:val="tx1"/>
                        </w14:solidFill>
                      </w14:textFill>
                    </w:rPr>
                    <w:t>/t-原料</w:t>
                  </w:r>
                  <w:r>
                    <w:rPr>
                      <w:rFonts w:hint="eastAsia" w:cs="Times New Roman"/>
                      <w:color w:val="000000" w:themeColor="text1"/>
                      <w:spacing w:val="4"/>
                      <w:lang w:eastAsia="zh-CN"/>
                      <w14:textFill>
                        <w14:solidFill>
                          <w14:schemeClr w14:val="tx1"/>
                        </w14:solidFill>
                      </w14:textFill>
                    </w:rPr>
                    <w:t>（纯水）</w:t>
                  </w:r>
                </w:p>
              </w:tc>
              <w:tc>
                <w:tcPr>
                  <w:tcW w:w="661" w:type="pct"/>
                  <w:vAlign w:val="center"/>
                </w:tcPr>
                <w:p w14:paraId="67E2021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2.193</w:t>
                  </w:r>
                </w:p>
              </w:tc>
              <w:tc>
                <w:tcPr>
                  <w:tcW w:w="626" w:type="pct"/>
                  <w:vAlign w:val="center"/>
                </w:tcPr>
                <w:p w14:paraId="7A59E891">
                  <w:pPr>
                    <w:jc w:val="center"/>
                    <w:rPr>
                      <w:color w:val="000000" w:themeColor="text1"/>
                      <w:spacing w:val="2"/>
                      <w:szCs w:val="21"/>
                      <w14:textFill>
                        <w14:solidFill>
                          <w14:schemeClr w14:val="tx1"/>
                        </w14:solidFill>
                      </w14:textFill>
                    </w:rPr>
                  </w:pPr>
                  <w:r>
                    <w:rPr>
                      <w:rFonts w:hint="eastAsia"/>
                      <w:color w:val="000000" w:themeColor="text1"/>
                      <w:spacing w:val="2"/>
                      <w:szCs w:val="21"/>
                      <w14:textFill>
                        <w14:solidFill>
                          <w14:schemeClr w14:val="tx1"/>
                        </w14:solidFill>
                      </w14:textFill>
                    </w:rPr>
                    <w:t>500.0</w:t>
                  </w:r>
                </w:p>
              </w:tc>
            </w:tr>
            <w:tr w14:paraId="101907E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4AB5C77D">
                  <w:pPr>
                    <w:jc w:val="center"/>
                    <w:rPr>
                      <w:color w:val="000000" w:themeColor="text1"/>
                      <w:szCs w:val="21"/>
                      <w14:textFill>
                        <w14:solidFill>
                          <w14:schemeClr w14:val="tx1"/>
                        </w14:solidFill>
                      </w14:textFill>
                    </w:rPr>
                  </w:pPr>
                </w:p>
              </w:tc>
              <w:tc>
                <w:tcPr>
                  <w:tcW w:w="325" w:type="pct"/>
                  <w:vMerge w:val="continue"/>
                  <w:vAlign w:val="center"/>
                </w:tcPr>
                <w:p w14:paraId="7E78281A">
                  <w:pPr>
                    <w:jc w:val="center"/>
                    <w:rPr>
                      <w:color w:val="000000" w:themeColor="text1"/>
                      <w:szCs w:val="21"/>
                      <w14:textFill>
                        <w14:solidFill>
                          <w14:schemeClr w14:val="tx1"/>
                        </w14:solidFill>
                      </w14:textFill>
                    </w:rPr>
                  </w:pPr>
                </w:p>
              </w:tc>
              <w:tc>
                <w:tcPr>
                  <w:tcW w:w="440" w:type="pct"/>
                  <w:vMerge w:val="continue"/>
                  <w:vAlign w:val="center"/>
                </w:tcPr>
                <w:p w14:paraId="1A3A9375">
                  <w:pPr>
                    <w:jc w:val="center"/>
                    <w:rPr>
                      <w:color w:val="000000" w:themeColor="text1"/>
                      <w:szCs w:val="21"/>
                      <w14:textFill>
                        <w14:solidFill>
                          <w14:schemeClr w14:val="tx1"/>
                        </w14:solidFill>
                      </w14:textFill>
                    </w:rPr>
                  </w:pPr>
                </w:p>
              </w:tc>
              <w:tc>
                <w:tcPr>
                  <w:tcW w:w="444" w:type="pct"/>
                  <w:vAlign w:val="center"/>
                </w:tcPr>
                <w:p w14:paraId="2C2499B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治疗凝胶</w:t>
                  </w:r>
                </w:p>
              </w:tc>
              <w:tc>
                <w:tcPr>
                  <w:tcW w:w="576" w:type="pct"/>
                  <w:vAlign w:val="center"/>
                </w:tcPr>
                <w:p w14:paraId="285CBF0A">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p>
              </w:tc>
              <w:tc>
                <w:tcPr>
                  <w:tcW w:w="1533" w:type="pct"/>
                  <w:gridSpan w:val="2"/>
                  <w:vAlign w:val="center"/>
                </w:tcPr>
                <w:p w14:paraId="357F337A">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spacing w:val="4"/>
                      <w:lang w:eastAsia="zh-CN"/>
                      <w14:textFill>
                        <w14:solidFill>
                          <w14:schemeClr w14:val="tx1"/>
                        </w14:solidFill>
                      </w14:textFill>
                    </w:rPr>
                  </w:pPr>
                  <w:r>
                    <w:rPr>
                      <w:rFonts w:ascii="Times New Roman" w:hAnsi="Times New Roman" w:cs="Times New Roman"/>
                      <w:color w:val="000000" w:themeColor="text1"/>
                      <w:spacing w:val="4"/>
                      <w:lang w:eastAsia="zh-CN"/>
                      <w14:textFill>
                        <w14:solidFill>
                          <w14:schemeClr w14:val="tx1"/>
                        </w14:solidFill>
                      </w14:textFill>
                    </w:rPr>
                    <w:t>比例卡波姆：纯水=3：7</w:t>
                  </w:r>
                </w:p>
              </w:tc>
              <w:tc>
                <w:tcPr>
                  <w:tcW w:w="661" w:type="pct"/>
                  <w:vAlign w:val="center"/>
                </w:tcPr>
                <w:p w14:paraId="05AE231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0.092</w:t>
                  </w:r>
                </w:p>
              </w:tc>
              <w:tc>
                <w:tcPr>
                  <w:tcW w:w="626" w:type="pct"/>
                  <w:vAlign w:val="center"/>
                </w:tcPr>
                <w:p w14:paraId="35F601FC">
                  <w:pPr>
                    <w:jc w:val="center"/>
                    <w:rPr>
                      <w:color w:val="000000" w:themeColor="text1"/>
                      <w:spacing w:val="2"/>
                      <w:szCs w:val="21"/>
                      <w14:textFill>
                        <w14:solidFill>
                          <w14:schemeClr w14:val="tx1"/>
                        </w14:solidFill>
                      </w14:textFill>
                    </w:rPr>
                  </w:pPr>
                  <w:r>
                    <w:rPr>
                      <w:rFonts w:hint="eastAsia"/>
                      <w:color w:val="000000" w:themeColor="text1"/>
                      <w:spacing w:val="2"/>
                      <w:szCs w:val="21"/>
                      <w14:textFill>
                        <w14:solidFill>
                          <w14:schemeClr w14:val="tx1"/>
                        </w14:solidFill>
                      </w14:textFill>
                    </w:rPr>
                    <w:t>21.0</w:t>
                  </w:r>
                </w:p>
              </w:tc>
            </w:tr>
            <w:tr w14:paraId="7D29A0B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7DF070F6">
                  <w:pPr>
                    <w:jc w:val="center"/>
                    <w:rPr>
                      <w:color w:val="000000" w:themeColor="text1"/>
                      <w:szCs w:val="21"/>
                      <w14:textFill>
                        <w14:solidFill>
                          <w14:schemeClr w14:val="tx1"/>
                        </w14:solidFill>
                      </w14:textFill>
                    </w:rPr>
                  </w:pPr>
                </w:p>
              </w:tc>
              <w:tc>
                <w:tcPr>
                  <w:tcW w:w="325" w:type="pct"/>
                  <w:vMerge w:val="restart"/>
                  <w:vAlign w:val="center"/>
                </w:tcPr>
                <w:p w14:paraId="741EC64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④</w:t>
                  </w:r>
                </w:p>
              </w:tc>
              <w:tc>
                <w:tcPr>
                  <w:tcW w:w="884" w:type="pct"/>
                  <w:gridSpan w:val="2"/>
                  <w:vAlign w:val="center"/>
                </w:tcPr>
                <w:p w14:paraId="5A51BCF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黄酒车间地</w:t>
                  </w:r>
                  <w:r>
                    <w:rPr>
                      <w:rFonts w:hint="eastAsia"/>
                      <w:color w:val="000000" w:themeColor="text1"/>
                      <w:szCs w:val="21"/>
                      <w14:textFill>
                        <w14:solidFill>
                          <w14:schemeClr w14:val="tx1"/>
                        </w14:solidFill>
                      </w14:textFill>
                    </w:rPr>
                    <w:t>面清洗</w:t>
                  </w:r>
                  <w:r>
                    <w:rPr>
                      <w:color w:val="000000" w:themeColor="text1"/>
                      <w:szCs w:val="21"/>
                      <w14:textFill>
                        <w14:solidFill>
                          <w14:schemeClr w14:val="tx1"/>
                        </w14:solidFill>
                      </w14:textFill>
                    </w:rPr>
                    <w:t>用水</w:t>
                  </w:r>
                </w:p>
              </w:tc>
              <w:tc>
                <w:tcPr>
                  <w:tcW w:w="576" w:type="pct"/>
                  <w:vAlign w:val="center"/>
                </w:tcPr>
                <w:p w14:paraId="472B219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1380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2</w:t>
                  </w:r>
                </w:p>
              </w:tc>
              <w:tc>
                <w:tcPr>
                  <w:tcW w:w="1533" w:type="pct"/>
                  <w:gridSpan w:val="2"/>
                  <w:vAlign w:val="center"/>
                </w:tcPr>
                <w:p w14:paraId="1CF466FF">
                  <w:pPr>
                    <w:jc w:val="center"/>
                    <w:rPr>
                      <w:rFonts w:hint="default" w:eastAsia="宋体"/>
                      <w:color w:val="000000" w:themeColor="text1"/>
                      <w:szCs w:val="21"/>
                      <w:lang w:val="en-US" w:eastAsia="zh-CN"/>
                      <w14:textFill>
                        <w14:solidFill>
                          <w14:schemeClr w14:val="tx1"/>
                        </w14:solidFill>
                      </w14:textFill>
                    </w:rPr>
                  </w:pPr>
                  <w:r>
                    <w:rPr>
                      <w:color w:val="000000" w:themeColor="text1"/>
                      <w:szCs w:val="21"/>
                      <w14:textFill>
                        <w14:solidFill>
                          <w14:schemeClr w14:val="tx1"/>
                        </w14:solidFill>
                      </w14:textFill>
                    </w:rPr>
                    <w:t>2.00L/（m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次</w:t>
                  </w:r>
                  <w:r>
                    <w:rPr>
                      <w:color w:val="000000" w:themeColor="text1"/>
                      <w:szCs w:val="21"/>
                      <w14:textFill>
                        <w14:solidFill>
                          <w14:schemeClr w14:val="tx1"/>
                        </w14:solidFill>
                      </w14:textFill>
                    </w:rPr>
                    <w:t>）</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年清洗33次）</w:t>
                  </w:r>
                </w:p>
              </w:tc>
              <w:tc>
                <w:tcPr>
                  <w:tcW w:w="661" w:type="pct"/>
                  <w:vAlign w:val="center"/>
                </w:tcPr>
                <w:p w14:paraId="1CFFA14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0.399</w:t>
                  </w:r>
                </w:p>
              </w:tc>
              <w:tc>
                <w:tcPr>
                  <w:tcW w:w="626" w:type="pct"/>
                  <w:vAlign w:val="center"/>
                </w:tcPr>
                <w:p w14:paraId="3DC2A1E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91.08</w:t>
                  </w:r>
                </w:p>
              </w:tc>
            </w:tr>
            <w:tr w14:paraId="15BA87F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4F393B72">
                  <w:pPr>
                    <w:jc w:val="center"/>
                    <w:rPr>
                      <w:color w:val="000000" w:themeColor="text1"/>
                      <w:szCs w:val="21"/>
                      <w14:textFill>
                        <w14:solidFill>
                          <w14:schemeClr w14:val="tx1"/>
                        </w14:solidFill>
                      </w14:textFill>
                    </w:rPr>
                  </w:pPr>
                </w:p>
              </w:tc>
              <w:tc>
                <w:tcPr>
                  <w:tcW w:w="325" w:type="pct"/>
                  <w:vMerge w:val="continue"/>
                  <w:vAlign w:val="center"/>
                </w:tcPr>
                <w:p w14:paraId="78643311">
                  <w:pPr>
                    <w:jc w:val="center"/>
                    <w:rPr>
                      <w:color w:val="000000" w:themeColor="text1"/>
                      <w:szCs w:val="21"/>
                      <w14:textFill>
                        <w14:solidFill>
                          <w14:schemeClr w14:val="tx1"/>
                        </w14:solidFill>
                      </w14:textFill>
                    </w:rPr>
                  </w:pPr>
                </w:p>
              </w:tc>
              <w:tc>
                <w:tcPr>
                  <w:tcW w:w="884" w:type="pct"/>
                  <w:gridSpan w:val="2"/>
                  <w:vAlign w:val="center"/>
                </w:tcPr>
                <w:p w14:paraId="0C9C3292">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综合车间</w:t>
                  </w:r>
                  <w:r>
                    <w:rPr>
                      <w:color w:val="000000" w:themeColor="text1"/>
                      <w:szCs w:val="21"/>
                      <w14:textFill>
                        <w14:solidFill>
                          <w14:schemeClr w14:val="tx1"/>
                        </w14:solidFill>
                      </w14:textFill>
                    </w:rPr>
                    <w:t>地</w:t>
                  </w:r>
                  <w:r>
                    <w:rPr>
                      <w:rFonts w:hint="eastAsia"/>
                      <w:color w:val="000000" w:themeColor="text1"/>
                      <w:szCs w:val="21"/>
                      <w14:textFill>
                        <w14:solidFill>
                          <w14:schemeClr w14:val="tx1"/>
                        </w14:solidFill>
                      </w14:textFill>
                    </w:rPr>
                    <w:t>面清洗</w:t>
                  </w:r>
                  <w:r>
                    <w:rPr>
                      <w:color w:val="000000" w:themeColor="text1"/>
                      <w:szCs w:val="21"/>
                      <w14:textFill>
                        <w14:solidFill>
                          <w14:schemeClr w14:val="tx1"/>
                        </w14:solidFill>
                      </w14:textFill>
                    </w:rPr>
                    <w:t>用水</w:t>
                  </w:r>
                </w:p>
              </w:tc>
              <w:tc>
                <w:tcPr>
                  <w:tcW w:w="576" w:type="pct"/>
                  <w:vAlign w:val="center"/>
                </w:tcPr>
                <w:p w14:paraId="62F1D311">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4560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2</w:t>
                  </w:r>
                </w:p>
              </w:tc>
              <w:tc>
                <w:tcPr>
                  <w:tcW w:w="1533" w:type="pct"/>
                  <w:gridSpan w:val="2"/>
                  <w:vAlign w:val="center"/>
                </w:tcPr>
                <w:p w14:paraId="7F879AC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2.00L/（m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次</w:t>
                  </w:r>
                  <w:r>
                    <w:rPr>
                      <w:color w:val="000000" w:themeColor="text1"/>
                      <w:szCs w:val="21"/>
                      <w14:textFill>
                        <w14:solidFill>
                          <w14:schemeClr w14:val="tx1"/>
                        </w14:solidFill>
                      </w14:textFill>
                    </w:rPr>
                    <w:t>）</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年清洗33次）</w:t>
                  </w:r>
                </w:p>
              </w:tc>
              <w:tc>
                <w:tcPr>
                  <w:tcW w:w="661" w:type="pct"/>
                  <w:vAlign w:val="center"/>
                </w:tcPr>
                <w:p w14:paraId="3A4F02A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1.32</w:t>
                  </w:r>
                </w:p>
              </w:tc>
              <w:tc>
                <w:tcPr>
                  <w:tcW w:w="626" w:type="pct"/>
                  <w:vAlign w:val="center"/>
                </w:tcPr>
                <w:p w14:paraId="3778E15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300.96</w:t>
                  </w:r>
                </w:p>
              </w:tc>
            </w:tr>
            <w:tr w14:paraId="1A1F118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PrEx>
              <w:trPr>
                <w:trHeight w:val="454" w:hRule="atLeast"/>
                <w:jc w:val="center"/>
              </w:trPr>
              <w:tc>
                <w:tcPr>
                  <w:tcW w:w="392" w:type="pct"/>
                  <w:vMerge w:val="continue"/>
                  <w:tcBorders>
                    <w:top w:val="nil"/>
                    <w:bottom w:val="nil"/>
                  </w:tcBorders>
                  <w:vAlign w:val="center"/>
                </w:tcPr>
                <w:p w14:paraId="4E669737">
                  <w:pPr>
                    <w:jc w:val="center"/>
                    <w:rPr>
                      <w:color w:val="000000" w:themeColor="text1"/>
                      <w:szCs w:val="21"/>
                      <w14:textFill>
                        <w14:solidFill>
                          <w14:schemeClr w14:val="tx1"/>
                        </w14:solidFill>
                      </w14:textFill>
                    </w:rPr>
                  </w:pPr>
                </w:p>
              </w:tc>
              <w:tc>
                <w:tcPr>
                  <w:tcW w:w="325" w:type="pct"/>
                  <w:vMerge w:val="continue"/>
                  <w:vAlign w:val="center"/>
                </w:tcPr>
                <w:p w14:paraId="4D199563">
                  <w:pPr>
                    <w:jc w:val="center"/>
                    <w:rPr>
                      <w:color w:val="000000" w:themeColor="text1"/>
                      <w:szCs w:val="21"/>
                      <w14:textFill>
                        <w14:solidFill>
                          <w14:schemeClr w14:val="tx1"/>
                        </w14:solidFill>
                      </w14:textFill>
                    </w:rPr>
                  </w:pPr>
                </w:p>
              </w:tc>
              <w:tc>
                <w:tcPr>
                  <w:tcW w:w="884" w:type="pct"/>
                  <w:gridSpan w:val="2"/>
                  <w:vAlign w:val="center"/>
                </w:tcPr>
                <w:p w14:paraId="2FF47BB4">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1#二类器械车间</w:t>
                  </w:r>
                  <w:r>
                    <w:rPr>
                      <w:color w:val="000000" w:themeColor="text1"/>
                      <w:szCs w:val="21"/>
                      <w14:textFill>
                        <w14:solidFill>
                          <w14:schemeClr w14:val="tx1"/>
                        </w14:solidFill>
                      </w14:textFill>
                    </w:rPr>
                    <w:t>地</w:t>
                  </w:r>
                  <w:r>
                    <w:rPr>
                      <w:rFonts w:hint="eastAsia"/>
                      <w:color w:val="000000" w:themeColor="text1"/>
                      <w:szCs w:val="21"/>
                      <w14:textFill>
                        <w14:solidFill>
                          <w14:schemeClr w14:val="tx1"/>
                        </w14:solidFill>
                      </w14:textFill>
                    </w:rPr>
                    <w:t>面清洗</w:t>
                  </w:r>
                  <w:r>
                    <w:rPr>
                      <w:color w:val="000000" w:themeColor="text1"/>
                      <w:szCs w:val="21"/>
                      <w14:textFill>
                        <w14:solidFill>
                          <w14:schemeClr w14:val="tx1"/>
                        </w14:solidFill>
                      </w14:textFill>
                    </w:rPr>
                    <w:t>用水</w:t>
                  </w:r>
                </w:p>
              </w:tc>
              <w:tc>
                <w:tcPr>
                  <w:tcW w:w="576" w:type="pct"/>
                  <w:vAlign w:val="center"/>
                </w:tcPr>
                <w:p w14:paraId="17B456C7">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2300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2</w:t>
                  </w:r>
                </w:p>
              </w:tc>
              <w:tc>
                <w:tcPr>
                  <w:tcW w:w="1533" w:type="pct"/>
                  <w:gridSpan w:val="2"/>
                  <w:vAlign w:val="center"/>
                </w:tcPr>
                <w:p w14:paraId="3C659E2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0L/（m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d</w:t>
                  </w:r>
                  <w:r>
                    <w:rPr>
                      <w:color w:val="000000" w:themeColor="text1"/>
                      <w:szCs w:val="21"/>
                      <w14:textFill>
                        <w14:solidFill>
                          <w14:schemeClr w14:val="tx1"/>
                        </w14:solidFill>
                      </w14:textFill>
                    </w:rPr>
                    <w:t>）</w:t>
                  </w:r>
                </w:p>
              </w:tc>
              <w:tc>
                <w:tcPr>
                  <w:tcW w:w="661" w:type="pct"/>
                  <w:vAlign w:val="center"/>
                </w:tcPr>
                <w:p w14:paraId="1091A4A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3.45</w:t>
                  </w:r>
                </w:p>
              </w:tc>
              <w:tc>
                <w:tcPr>
                  <w:tcW w:w="626" w:type="pct"/>
                  <w:vAlign w:val="center"/>
                </w:tcPr>
                <w:p w14:paraId="0B6524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786.6</w:t>
                  </w:r>
                </w:p>
              </w:tc>
            </w:tr>
            <w:tr w14:paraId="43C986C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4E46C2A6">
                  <w:pPr>
                    <w:jc w:val="center"/>
                    <w:rPr>
                      <w:color w:val="000000" w:themeColor="text1"/>
                      <w:szCs w:val="21"/>
                      <w14:textFill>
                        <w14:solidFill>
                          <w14:schemeClr w14:val="tx1"/>
                        </w14:solidFill>
                      </w14:textFill>
                    </w:rPr>
                  </w:pPr>
                </w:p>
              </w:tc>
              <w:tc>
                <w:tcPr>
                  <w:tcW w:w="325" w:type="pct"/>
                  <w:vMerge w:val="continue"/>
                  <w:vAlign w:val="center"/>
                </w:tcPr>
                <w:p w14:paraId="61B1905B">
                  <w:pPr>
                    <w:jc w:val="center"/>
                    <w:rPr>
                      <w:color w:val="000000" w:themeColor="text1"/>
                      <w:szCs w:val="21"/>
                      <w14:textFill>
                        <w14:solidFill>
                          <w14:schemeClr w14:val="tx1"/>
                        </w14:solidFill>
                      </w14:textFill>
                    </w:rPr>
                  </w:pPr>
                </w:p>
              </w:tc>
              <w:tc>
                <w:tcPr>
                  <w:tcW w:w="884" w:type="pct"/>
                  <w:gridSpan w:val="2"/>
                  <w:vAlign w:val="center"/>
                </w:tcPr>
                <w:p w14:paraId="77053796">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2#二类器械车间</w:t>
                  </w:r>
                  <w:r>
                    <w:rPr>
                      <w:color w:val="000000" w:themeColor="text1"/>
                      <w:szCs w:val="21"/>
                      <w14:textFill>
                        <w14:solidFill>
                          <w14:schemeClr w14:val="tx1"/>
                        </w14:solidFill>
                      </w14:textFill>
                    </w:rPr>
                    <w:t>地</w:t>
                  </w:r>
                  <w:r>
                    <w:rPr>
                      <w:rFonts w:hint="eastAsia"/>
                      <w:color w:val="000000" w:themeColor="text1"/>
                      <w:szCs w:val="21"/>
                      <w14:textFill>
                        <w14:solidFill>
                          <w14:schemeClr w14:val="tx1"/>
                        </w14:solidFill>
                      </w14:textFill>
                    </w:rPr>
                    <w:t>面清洗</w:t>
                  </w:r>
                  <w:r>
                    <w:rPr>
                      <w:color w:val="000000" w:themeColor="text1"/>
                      <w:szCs w:val="21"/>
                      <w14:textFill>
                        <w14:solidFill>
                          <w14:schemeClr w14:val="tx1"/>
                        </w14:solidFill>
                      </w14:textFill>
                    </w:rPr>
                    <w:t>用水</w:t>
                  </w:r>
                </w:p>
              </w:tc>
              <w:tc>
                <w:tcPr>
                  <w:tcW w:w="576" w:type="pct"/>
                  <w:vAlign w:val="center"/>
                </w:tcPr>
                <w:p w14:paraId="13145E6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900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2</w:t>
                  </w:r>
                </w:p>
              </w:tc>
              <w:tc>
                <w:tcPr>
                  <w:tcW w:w="1533" w:type="pct"/>
                  <w:gridSpan w:val="2"/>
                  <w:vAlign w:val="center"/>
                </w:tcPr>
                <w:p w14:paraId="52ECC3D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0L/（m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d</w:t>
                  </w:r>
                  <w:r>
                    <w:rPr>
                      <w:color w:val="000000" w:themeColor="text1"/>
                      <w:szCs w:val="21"/>
                      <w14:textFill>
                        <w14:solidFill>
                          <w14:schemeClr w14:val="tx1"/>
                        </w14:solidFill>
                      </w14:textFill>
                    </w:rPr>
                    <w:t>）</w:t>
                  </w:r>
                </w:p>
              </w:tc>
              <w:tc>
                <w:tcPr>
                  <w:tcW w:w="661" w:type="pct"/>
                  <w:vAlign w:val="center"/>
                </w:tcPr>
                <w:p w14:paraId="6E24062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1.35</w:t>
                  </w:r>
                </w:p>
              </w:tc>
              <w:tc>
                <w:tcPr>
                  <w:tcW w:w="626" w:type="pct"/>
                  <w:vAlign w:val="center"/>
                </w:tcPr>
                <w:p w14:paraId="5AB18CE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307.8</w:t>
                  </w:r>
                </w:p>
              </w:tc>
            </w:tr>
            <w:tr w14:paraId="3A5A423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39F17262">
                  <w:pPr>
                    <w:jc w:val="center"/>
                    <w:rPr>
                      <w:color w:val="000000" w:themeColor="text1"/>
                      <w:szCs w:val="21"/>
                      <w14:textFill>
                        <w14:solidFill>
                          <w14:schemeClr w14:val="tx1"/>
                        </w14:solidFill>
                      </w14:textFill>
                    </w:rPr>
                  </w:pPr>
                </w:p>
              </w:tc>
              <w:tc>
                <w:tcPr>
                  <w:tcW w:w="325" w:type="pct"/>
                  <w:vMerge w:val="restart"/>
                  <w:vAlign w:val="center"/>
                </w:tcPr>
                <w:p w14:paraId="12DBBCD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⑤</w:t>
                  </w:r>
                </w:p>
              </w:tc>
              <w:tc>
                <w:tcPr>
                  <w:tcW w:w="440" w:type="pct"/>
                  <w:vMerge w:val="restart"/>
                  <w:vAlign w:val="center"/>
                </w:tcPr>
                <w:p w14:paraId="0D13FB3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设备冲洗用水</w:t>
                  </w:r>
                </w:p>
              </w:tc>
              <w:tc>
                <w:tcPr>
                  <w:tcW w:w="444" w:type="pct"/>
                  <w:vMerge w:val="restart"/>
                  <w:vAlign w:val="center"/>
                </w:tcPr>
                <w:p w14:paraId="2151DD86">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白酒</w:t>
                  </w:r>
                </w:p>
              </w:tc>
              <w:tc>
                <w:tcPr>
                  <w:tcW w:w="576" w:type="pct"/>
                  <w:vAlign w:val="center"/>
                </w:tcPr>
                <w:p w14:paraId="746591E9">
                  <w:pPr>
                    <w:jc w:val="center"/>
                    <w:rPr>
                      <w:color w:val="000000" w:themeColor="text1"/>
                      <w:szCs w:val="21"/>
                      <w:highlight w:val="yellow"/>
                      <w14:textFill>
                        <w14:solidFill>
                          <w14:schemeClr w14:val="tx1"/>
                        </w14:solidFill>
                      </w14:textFill>
                    </w:rPr>
                  </w:pPr>
                  <w:r>
                    <w:rPr>
                      <w:bCs/>
                      <w:color w:val="000000" w:themeColor="text1"/>
                      <w:szCs w:val="21"/>
                      <w14:textFill>
                        <w14:solidFill>
                          <w14:schemeClr w14:val="tx1"/>
                        </w14:solidFill>
                      </w14:textFill>
                    </w:rPr>
                    <w:t>酒甑</w:t>
                  </w:r>
                </w:p>
              </w:tc>
              <w:tc>
                <w:tcPr>
                  <w:tcW w:w="1533" w:type="pct"/>
                  <w:gridSpan w:val="2"/>
                  <w:vAlign w:val="center"/>
                </w:tcPr>
                <w:p w14:paraId="2975CF1A">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0.1m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/甑·</w:t>
                  </w:r>
                  <w:r>
                    <w:rPr>
                      <w:rFonts w:hint="eastAsia"/>
                      <w:color w:val="000000" w:themeColor="text1"/>
                      <w14:textFill>
                        <w14:solidFill>
                          <w14:schemeClr w14:val="tx1"/>
                        </w14:solidFill>
                      </w14:textFill>
                    </w:rPr>
                    <w:t>d</w:t>
                  </w:r>
                </w:p>
              </w:tc>
              <w:tc>
                <w:tcPr>
                  <w:tcW w:w="661" w:type="pct"/>
                  <w:vAlign w:val="center"/>
                </w:tcPr>
                <w:p w14:paraId="73DD461E">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0.1</w:t>
                  </w:r>
                </w:p>
              </w:tc>
              <w:tc>
                <w:tcPr>
                  <w:tcW w:w="626" w:type="pct"/>
                  <w:vAlign w:val="center"/>
                </w:tcPr>
                <w:p w14:paraId="1CFE031C">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22.8</w:t>
                  </w:r>
                </w:p>
              </w:tc>
            </w:tr>
            <w:tr w14:paraId="1622355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75AE7D22">
                  <w:pPr>
                    <w:jc w:val="center"/>
                    <w:rPr>
                      <w:color w:val="000000" w:themeColor="text1"/>
                      <w:szCs w:val="21"/>
                      <w14:textFill>
                        <w14:solidFill>
                          <w14:schemeClr w14:val="tx1"/>
                        </w14:solidFill>
                      </w14:textFill>
                    </w:rPr>
                  </w:pPr>
                </w:p>
              </w:tc>
              <w:tc>
                <w:tcPr>
                  <w:tcW w:w="325" w:type="pct"/>
                  <w:vMerge w:val="continue"/>
                  <w:vAlign w:val="center"/>
                </w:tcPr>
                <w:p w14:paraId="5FEE9E1C">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6B40C8BA">
                  <w:pPr>
                    <w:jc w:val="center"/>
                    <w:rPr>
                      <w:color w:val="000000" w:themeColor="text1"/>
                      <w:szCs w:val="21"/>
                      <w14:textFill>
                        <w14:solidFill>
                          <w14:schemeClr w14:val="tx1"/>
                        </w14:solidFill>
                      </w14:textFill>
                    </w:rPr>
                  </w:pPr>
                </w:p>
              </w:tc>
              <w:tc>
                <w:tcPr>
                  <w:tcW w:w="444" w:type="pct"/>
                  <w:vMerge w:val="continue"/>
                  <w:vAlign w:val="center"/>
                </w:tcPr>
                <w:p w14:paraId="6FF57B53">
                  <w:pPr>
                    <w:jc w:val="center"/>
                    <w:rPr>
                      <w:color w:val="000000" w:themeColor="text1"/>
                      <w:szCs w:val="21"/>
                      <w14:textFill>
                        <w14:solidFill>
                          <w14:schemeClr w14:val="tx1"/>
                        </w14:solidFill>
                      </w14:textFill>
                    </w:rPr>
                  </w:pPr>
                </w:p>
              </w:tc>
              <w:tc>
                <w:tcPr>
                  <w:tcW w:w="576" w:type="pct"/>
                  <w:vAlign w:val="center"/>
                </w:tcPr>
                <w:p w14:paraId="65A75901">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晾床</w:t>
                  </w:r>
                </w:p>
              </w:tc>
              <w:tc>
                <w:tcPr>
                  <w:tcW w:w="1533" w:type="pct"/>
                  <w:gridSpan w:val="2"/>
                  <w:vAlign w:val="center"/>
                </w:tcPr>
                <w:p w14:paraId="061EA755">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0.02m</w:t>
                  </w:r>
                  <w:r>
                    <w:rPr>
                      <w:rFonts w:hint="eastAsia"/>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次</w:t>
                  </w:r>
                  <w:r>
                    <w:rPr>
                      <w:color w:val="000000" w:themeColor="text1"/>
                      <w:szCs w:val="21"/>
                      <w14:textFill>
                        <w14:solidFill>
                          <w14:schemeClr w14:val="tx1"/>
                        </w14:solidFill>
                      </w14:textFill>
                    </w:rPr>
                    <w:t>·</w:t>
                  </w:r>
                  <w:r>
                    <w:rPr>
                      <w:rFonts w:hint="eastAsia"/>
                      <w:color w:val="000000" w:themeColor="text1"/>
                      <w14:textFill>
                        <w14:solidFill>
                          <w14:schemeClr w14:val="tx1"/>
                        </w14:solidFill>
                      </w14:textFill>
                    </w:rPr>
                    <w:t>d</w:t>
                  </w:r>
                </w:p>
              </w:tc>
              <w:tc>
                <w:tcPr>
                  <w:tcW w:w="661" w:type="pct"/>
                  <w:vAlign w:val="center"/>
                </w:tcPr>
                <w:p w14:paraId="3BCC6218">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0.02</w:t>
                  </w:r>
                </w:p>
              </w:tc>
              <w:tc>
                <w:tcPr>
                  <w:tcW w:w="626" w:type="pct"/>
                  <w:vAlign w:val="center"/>
                </w:tcPr>
                <w:p w14:paraId="0DF284D2">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4.56</w:t>
                  </w:r>
                </w:p>
              </w:tc>
            </w:tr>
            <w:tr w14:paraId="6B49C91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0AEC144C">
                  <w:pPr>
                    <w:jc w:val="center"/>
                    <w:rPr>
                      <w:color w:val="000000" w:themeColor="text1"/>
                      <w:szCs w:val="21"/>
                      <w14:textFill>
                        <w14:solidFill>
                          <w14:schemeClr w14:val="tx1"/>
                        </w14:solidFill>
                      </w14:textFill>
                    </w:rPr>
                  </w:pPr>
                </w:p>
              </w:tc>
              <w:tc>
                <w:tcPr>
                  <w:tcW w:w="325" w:type="pct"/>
                  <w:vMerge w:val="continue"/>
                  <w:vAlign w:val="center"/>
                </w:tcPr>
                <w:p w14:paraId="7C5F7126">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643B96D7">
                  <w:pPr>
                    <w:jc w:val="center"/>
                    <w:rPr>
                      <w:color w:val="000000" w:themeColor="text1"/>
                      <w:szCs w:val="21"/>
                      <w14:textFill>
                        <w14:solidFill>
                          <w14:schemeClr w14:val="tx1"/>
                        </w14:solidFill>
                      </w14:textFill>
                    </w:rPr>
                  </w:pPr>
                </w:p>
              </w:tc>
              <w:tc>
                <w:tcPr>
                  <w:tcW w:w="444" w:type="pct"/>
                  <w:vMerge w:val="continue"/>
                  <w:vAlign w:val="center"/>
                </w:tcPr>
                <w:p w14:paraId="6A0759D3">
                  <w:pPr>
                    <w:jc w:val="center"/>
                    <w:rPr>
                      <w:color w:val="000000" w:themeColor="text1"/>
                      <w:szCs w:val="21"/>
                      <w14:textFill>
                        <w14:solidFill>
                          <w14:schemeClr w14:val="tx1"/>
                        </w14:solidFill>
                      </w14:textFill>
                    </w:rPr>
                  </w:pPr>
                </w:p>
              </w:tc>
              <w:tc>
                <w:tcPr>
                  <w:tcW w:w="576" w:type="pct"/>
                  <w:vAlign w:val="center"/>
                </w:tcPr>
                <w:p w14:paraId="43374B30">
                  <w:pPr>
                    <w:jc w:val="center"/>
                    <w:rPr>
                      <w:color w:val="000000" w:themeColor="text1"/>
                      <w:szCs w:val="21"/>
                      <w:highlight w:val="yellow"/>
                      <w14:textFill>
                        <w14:solidFill>
                          <w14:schemeClr w14:val="tx1"/>
                        </w14:solidFill>
                      </w14:textFill>
                    </w:rPr>
                  </w:pPr>
                  <w:r>
                    <w:rPr>
                      <w:bCs/>
                      <w:color w:val="000000" w:themeColor="text1"/>
                      <w:szCs w:val="21"/>
                      <w14:textFill>
                        <w14:solidFill>
                          <w14:schemeClr w14:val="tx1"/>
                        </w14:solidFill>
                      </w14:textFill>
                    </w:rPr>
                    <w:t>过滤机</w:t>
                  </w:r>
                </w:p>
              </w:tc>
              <w:tc>
                <w:tcPr>
                  <w:tcW w:w="1533" w:type="pct"/>
                  <w:gridSpan w:val="2"/>
                  <w:vAlign w:val="center"/>
                </w:tcPr>
                <w:p w14:paraId="7E0010FB">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0.4m</w:t>
                  </w:r>
                  <w:r>
                    <w:rPr>
                      <w:rFonts w:hint="eastAsia"/>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次</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年清洗16次）</w:t>
                  </w:r>
                </w:p>
              </w:tc>
              <w:tc>
                <w:tcPr>
                  <w:tcW w:w="661" w:type="pct"/>
                  <w:vAlign w:val="center"/>
                </w:tcPr>
                <w:p w14:paraId="05F77E18">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0.028</w:t>
                  </w:r>
                </w:p>
              </w:tc>
              <w:tc>
                <w:tcPr>
                  <w:tcW w:w="626" w:type="pct"/>
                  <w:vAlign w:val="center"/>
                </w:tcPr>
                <w:p w14:paraId="7EEFC634">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6.4</w:t>
                  </w:r>
                </w:p>
              </w:tc>
            </w:tr>
            <w:tr w14:paraId="1A82380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75418F76">
                  <w:pPr>
                    <w:jc w:val="center"/>
                    <w:rPr>
                      <w:color w:val="000000" w:themeColor="text1"/>
                      <w:szCs w:val="21"/>
                      <w14:textFill>
                        <w14:solidFill>
                          <w14:schemeClr w14:val="tx1"/>
                        </w14:solidFill>
                      </w14:textFill>
                    </w:rPr>
                  </w:pPr>
                </w:p>
              </w:tc>
              <w:tc>
                <w:tcPr>
                  <w:tcW w:w="325" w:type="pct"/>
                  <w:vMerge w:val="continue"/>
                  <w:vAlign w:val="center"/>
                </w:tcPr>
                <w:p w14:paraId="3C2C55D9">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6928B47B">
                  <w:pPr>
                    <w:jc w:val="center"/>
                    <w:rPr>
                      <w:color w:val="000000" w:themeColor="text1"/>
                      <w:szCs w:val="21"/>
                      <w14:textFill>
                        <w14:solidFill>
                          <w14:schemeClr w14:val="tx1"/>
                        </w14:solidFill>
                      </w14:textFill>
                    </w:rPr>
                  </w:pPr>
                </w:p>
              </w:tc>
              <w:tc>
                <w:tcPr>
                  <w:tcW w:w="444" w:type="pct"/>
                  <w:vMerge w:val="continue"/>
                  <w:vAlign w:val="center"/>
                </w:tcPr>
                <w:p w14:paraId="0636FE4C">
                  <w:pPr>
                    <w:jc w:val="center"/>
                    <w:rPr>
                      <w:color w:val="000000" w:themeColor="text1"/>
                      <w:szCs w:val="21"/>
                      <w14:textFill>
                        <w14:solidFill>
                          <w14:schemeClr w14:val="tx1"/>
                        </w14:solidFill>
                      </w14:textFill>
                    </w:rPr>
                  </w:pPr>
                </w:p>
              </w:tc>
              <w:tc>
                <w:tcPr>
                  <w:tcW w:w="576" w:type="pct"/>
                  <w:vAlign w:val="center"/>
                </w:tcPr>
                <w:p w14:paraId="6CD500C3">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灌装线</w:t>
                  </w:r>
                </w:p>
              </w:tc>
              <w:tc>
                <w:tcPr>
                  <w:tcW w:w="1533" w:type="pct"/>
                  <w:gridSpan w:val="2"/>
                  <w:vAlign w:val="center"/>
                </w:tcPr>
                <w:p w14:paraId="262F0551">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0.4m</w:t>
                  </w:r>
                  <w:r>
                    <w:rPr>
                      <w:rFonts w:hint="eastAsia"/>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次</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年清洗16次）</w:t>
                  </w:r>
                </w:p>
              </w:tc>
              <w:tc>
                <w:tcPr>
                  <w:tcW w:w="661" w:type="pct"/>
                  <w:vAlign w:val="center"/>
                </w:tcPr>
                <w:p w14:paraId="20325E7D">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0.028</w:t>
                  </w:r>
                </w:p>
              </w:tc>
              <w:tc>
                <w:tcPr>
                  <w:tcW w:w="626" w:type="pct"/>
                  <w:vAlign w:val="center"/>
                </w:tcPr>
                <w:p w14:paraId="21A3A14F">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6.4</w:t>
                  </w:r>
                </w:p>
              </w:tc>
            </w:tr>
            <w:tr w14:paraId="6D86421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434AA40A">
                  <w:pPr>
                    <w:jc w:val="center"/>
                    <w:rPr>
                      <w:color w:val="000000" w:themeColor="text1"/>
                      <w:szCs w:val="21"/>
                      <w14:textFill>
                        <w14:solidFill>
                          <w14:schemeClr w14:val="tx1"/>
                        </w14:solidFill>
                      </w14:textFill>
                    </w:rPr>
                  </w:pPr>
                </w:p>
              </w:tc>
              <w:tc>
                <w:tcPr>
                  <w:tcW w:w="325" w:type="pct"/>
                  <w:vMerge w:val="continue"/>
                  <w:vAlign w:val="center"/>
                </w:tcPr>
                <w:p w14:paraId="4FFE0D5B">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2FBD48B6">
                  <w:pPr>
                    <w:jc w:val="center"/>
                    <w:rPr>
                      <w:color w:val="000000" w:themeColor="text1"/>
                      <w:szCs w:val="21"/>
                      <w14:textFill>
                        <w14:solidFill>
                          <w14:schemeClr w14:val="tx1"/>
                        </w14:solidFill>
                      </w14:textFill>
                    </w:rPr>
                  </w:pPr>
                </w:p>
              </w:tc>
              <w:tc>
                <w:tcPr>
                  <w:tcW w:w="444" w:type="pct"/>
                  <w:vMerge w:val="restart"/>
                  <w:vAlign w:val="center"/>
                </w:tcPr>
                <w:p w14:paraId="0E9E67D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w:t>
                  </w:r>
                </w:p>
              </w:tc>
              <w:tc>
                <w:tcPr>
                  <w:tcW w:w="576" w:type="pct"/>
                  <w:vAlign w:val="center"/>
                </w:tcPr>
                <w:p w14:paraId="0460DEF0">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浸米缸</w:t>
                  </w:r>
                </w:p>
              </w:tc>
              <w:tc>
                <w:tcPr>
                  <w:tcW w:w="1533" w:type="pct"/>
                  <w:gridSpan w:val="2"/>
                  <w:vAlign w:val="center"/>
                </w:tcPr>
                <w:p w14:paraId="381753FE">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0.2m</w:t>
                  </w:r>
                  <w:r>
                    <w:rPr>
                      <w:rFonts w:hint="eastAsia"/>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次</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年清洗38次）</w:t>
                  </w:r>
                </w:p>
              </w:tc>
              <w:tc>
                <w:tcPr>
                  <w:tcW w:w="661" w:type="pct"/>
                  <w:vAlign w:val="center"/>
                </w:tcPr>
                <w:p w14:paraId="5737AC5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0.033</w:t>
                  </w:r>
                </w:p>
              </w:tc>
              <w:tc>
                <w:tcPr>
                  <w:tcW w:w="626" w:type="pct"/>
                  <w:vAlign w:val="center"/>
                </w:tcPr>
                <w:p w14:paraId="3C030C5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7.6</w:t>
                  </w:r>
                </w:p>
              </w:tc>
            </w:tr>
            <w:tr w14:paraId="405680E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07838BE6">
                  <w:pPr>
                    <w:jc w:val="center"/>
                    <w:rPr>
                      <w:color w:val="000000" w:themeColor="text1"/>
                      <w:szCs w:val="21"/>
                      <w14:textFill>
                        <w14:solidFill>
                          <w14:schemeClr w14:val="tx1"/>
                        </w14:solidFill>
                      </w14:textFill>
                    </w:rPr>
                  </w:pPr>
                </w:p>
              </w:tc>
              <w:tc>
                <w:tcPr>
                  <w:tcW w:w="325" w:type="pct"/>
                  <w:vMerge w:val="continue"/>
                  <w:vAlign w:val="center"/>
                </w:tcPr>
                <w:p w14:paraId="3E5EF43D">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459564C8">
                  <w:pPr>
                    <w:jc w:val="center"/>
                    <w:rPr>
                      <w:color w:val="000000" w:themeColor="text1"/>
                      <w:szCs w:val="21"/>
                      <w14:textFill>
                        <w14:solidFill>
                          <w14:schemeClr w14:val="tx1"/>
                        </w14:solidFill>
                      </w14:textFill>
                    </w:rPr>
                  </w:pPr>
                </w:p>
              </w:tc>
              <w:tc>
                <w:tcPr>
                  <w:tcW w:w="444" w:type="pct"/>
                  <w:vMerge w:val="continue"/>
                  <w:vAlign w:val="center"/>
                </w:tcPr>
                <w:p w14:paraId="3EFA8250">
                  <w:pPr>
                    <w:jc w:val="center"/>
                    <w:rPr>
                      <w:color w:val="000000" w:themeColor="text1"/>
                      <w:szCs w:val="21"/>
                      <w14:textFill>
                        <w14:solidFill>
                          <w14:schemeClr w14:val="tx1"/>
                        </w14:solidFill>
                      </w14:textFill>
                    </w:rPr>
                  </w:pPr>
                </w:p>
              </w:tc>
              <w:tc>
                <w:tcPr>
                  <w:tcW w:w="576" w:type="pct"/>
                  <w:vAlign w:val="center"/>
                </w:tcPr>
                <w:p w14:paraId="76980D3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发酵缸</w:t>
                  </w:r>
                </w:p>
              </w:tc>
              <w:tc>
                <w:tcPr>
                  <w:tcW w:w="1533" w:type="pct"/>
                  <w:gridSpan w:val="2"/>
                  <w:vAlign w:val="center"/>
                </w:tcPr>
                <w:p w14:paraId="1D83D4F5">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w:t>
                  </w:r>
                </w:p>
              </w:tc>
              <w:tc>
                <w:tcPr>
                  <w:tcW w:w="661" w:type="pct"/>
                  <w:vAlign w:val="center"/>
                </w:tcPr>
                <w:p w14:paraId="40ACF27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0.058</w:t>
                  </w:r>
                </w:p>
              </w:tc>
              <w:tc>
                <w:tcPr>
                  <w:tcW w:w="626" w:type="pct"/>
                  <w:vAlign w:val="center"/>
                </w:tcPr>
                <w:p w14:paraId="45E68C1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13.333</w:t>
                  </w:r>
                </w:p>
              </w:tc>
            </w:tr>
            <w:tr w14:paraId="7D872364">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65C38796">
                  <w:pPr>
                    <w:jc w:val="center"/>
                    <w:rPr>
                      <w:color w:val="000000" w:themeColor="text1"/>
                      <w:szCs w:val="21"/>
                      <w14:textFill>
                        <w14:solidFill>
                          <w14:schemeClr w14:val="tx1"/>
                        </w14:solidFill>
                      </w14:textFill>
                    </w:rPr>
                  </w:pPr>
                </w:p>
              </w:tc>
              <w:tc>
                <w:tcPr>
                  <w:tcW w:w="325" w:type="pct"/>
                  <w:vMerge w:val="continue"/>
                  <w:vAlign w:val="center"/>
                </w:tcPr>
                <w:p w14:paraId="5BEF6DBD">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00E5F1B1">
                  <w:pPr>
                    <w:jc w:val="center"/>
                    <w:rPr>
                      <w:color w:val="000000" w:themeColor="text1"/>
                      <w:szCs w:val="21"/>
                      <w14:textFill>
                        <w14:solidFill>
                          <w14:schemeClr w14:val="tx1"/>
                        </w14:solidFill>
                      </w14:textFill>
                    </w:rPr>
                  </w:pPr>
                </w:p>
              </w:tc>
              <w:tc>
                <w:tcPr>
                  <w:tcW w:w="444" w:type="pct"/>
                  <w:vMerge w:val="continue"/>
                  <w:vAlign w:val="center"/>
                </w:tcPr>
                <w:p w14:paraId="1AE91A6B">
                  <w:pPr>
                    <w:jc w:val="center"/>
                    <w:rPr>
                      <w:color w:val="000000" w:themeColor="text1"/>
                      <w:szCs w:val="21"/>
                      <w14:textFill>
                        <w14:solidFill>
                          <w14:schemeClr w14:val="tx1"/>
                        </w14:solidFill>
                      </w14:textFill>
                    </w:rPr>
                  </w:pPr>
                </w:p>
              </w:tc>
              <w:tc>
                <w:tcPr>
                  <w:tcW w:w="576" w:type="pct"/>
                  <w:vAlign w:val="center"/>
                </w:tcPr>
                <w:p w14:paraId="333F6A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压滤机</w:t>
                  </w:r>
                </w:p>
              </w:tc>
              <w:tc>
                <w:tcPr>
                  <w:tcW w:w="1533" w:type="pct"/>
                  <w:gridSpan w:val="2"/>
                  <w:vAlign w:val="center"/>
                </w:tcPr>
                <w:p w14:paraId="427E92E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661" w:type="pct"/>
                  <w:vAlign w:val="center"/>
                </w:tcPr>
                <w:p w14:paraId="241D59A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0.019</w:t>
                  </w:r>
                </w:p>
              </w:tc>
              <w:tc>
                <w:tcPr>
                  <w:tcW w:w="626" w:type="pct"/>
                  <w:vAlign w:val="center"/>
                </w:tcPr>
                <w:p w14:paraId="3143524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4.444</w:t>
                  </w:r>
                </w:p>
              </w:tc>
            </w:tr>
            <w:tr w14:paraId="063D804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5B60BEAE">
                  <w:pPr>
                    <w:jc w:val="center"/>
                    <w:rPr>
                      <w:color w:val="000000" w:themeColor="text1"/>
                      <w:szCs w:val="21"/>
                      <w14:textFill>
                        <w14:solidFill>
                          <w14:schemeClr w14:val="tx1"/>
                        </w14:solidFill>
                      </w14:textFill>
                    </w:rPr>
                  </w:pPr>
                </w:p>
              </w:tc>
              <w:tc>
                <w:tcPr>
                  <w:tcW w:w="325" w:type="pct"/>
                  <w:vMerge w:val="continue"/>
                  <w:vAlign w:val="center"/>
                </w:tcPr>
                <w:p w14:paraId="0D270431">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4D0921CA">
                  <w:pPr>
                    <w:jc w:val="center"/>
                    <w:rPr>
                      <w:color w:val="000000" w:themeColor="text1"/>
                      <w:szCs w:val="21"/>
                      <w14:textFill>
                        <w14:solidFill>
                          <w14:schemeClr w14:val="tx1"/>
                        </w14:solidFill>
                      </w14:textFill>
                    </w:rPr>
                  </w:pPr>
                </w:p>
              </w:tc>
              <w:tc>
                <w:tcPr>
                  <w:tcW w:w="444" w:type="pct"/>
                  <w:vMerge w:val="continue"/>
                  <w:vAlign w:val="center"/>
                </w:tcPr>
                <w:p w14:paraId="6D4263C0">
                  <w:pPr>
                    <w:jc w:val="center"/>
                    <w:rPr>
                      <w:color w:val="000000" w:themeColor="text1"/>
                      <w:szCs w:val="21"/>
                      <w14:textFill>
                        <w14:solidFill>
                          <w14:schemeClr w14:val="tx1"/>
                        </w14:solidFill>
                      </w14:textFill>
                    </w:rPr>
                  </w:pPr>
                </w:p>
              </w:tc>
              <w:tc>
                <w:tcPr>
                  <w:tcW w:w="576" w:type="pct"/>
                  <w:vAlign w:val="center"/>
                </w:tcPr>
                <w:p w14:paraId="56CB0B76">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过滤机</w:t>
                  </w:r>
                </w:p>
              </w:tc>
              <w:tc>
                <w:tcPr>
                  <w:tcW w:w="1533" w:type="pct"/>
                  <w:gridSpan w:val="2"/>
                  <w:vAlign w:val="center"/>
                </w:tcPr>
                <w:p w14:paraId="534322C1">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0.4m</w:t>
                  </w:r>
                  <w:r>
                    <w:rPr>
                      <w:rFonts w:hint="eastAsia"/>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次</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年清洗16次）</w:t>
                  </w:r>
                </w:p>
              </w:tc>
              <w:tc>
                <w:tcPr>
                  <w:tcW w:w="661" w:type="pct"/>
                  <w:vAlign w:val="center"/>
                </w:tcPr>
                <w:p w14:paraId="4EF35FC0">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0.028</w:t>
                  </w:r>
                </w:p>
              </w:tc>
              <w:tc>
                <w:tcPr>
                  <w:tcW w:w="626" w:type="pct"/>
                  <w:vAlign w:val="center"/>
                </w:tcPr>
                <w:p w14:paraId="71944904">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6.4</w:t>
                  </w:r>
                </w:p>
              </w:tc>
            </w:tr>
            <w:tr w14:paraId="06058B0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0846F231">
                  <w:pPr>
                    <w:jc w:val="center"/>
                    <w:rPr>
                      <w:color w:val="000000" w:themeColor="text1"/>
                      <w:szCs w:val="21"/>
                      <w14:textFill>
                        <w14:solidFill>
                          <w14:schemeClr w14:val="tx1"/>
                        </w14:solidFill>
                      </w14:textFill>
                    </w:rPr>
                  </w:pPr>
                </w:p>
              </w:tc>
              <w:tc>
                <w:tcPr>
                  <w:tcW w:w="325" w:type="pct"/>
                  <w:vMerge w:val="continue"/>
                  <w:vAlign w:val="center"/>
                </w:tcPr>
                <w:p w14:paraId="2AA6B824">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2A6D7CAC">
                  <w:pPr>
                    <w:jc w:val="center"/>
                    <w:rPr>
                      <w:color w:val="000000" w:themeColor="text1"/>
                      <w:szCs w:val="21"/>
                      <w14:textFill>
                        <w14:solidFill>
                          <w14:schemeClr w14:val="tx1"/>
                        </w14:solidFill>
                      </w14:textFill>
                    </w:rPr>
                  </w:pPr>
                </w:p>
              </w:tc>
              <w:tc>
                <w:tcPr>
                  <w:tcW w:w="444" w:type="pct"/>
                  <w:vMerge w:val="continue"/>
                  <w:vAlign w:val="center"/>
                </w:tcPr>
                <w:p w14:paraId="0F161998">
                  <w:pPr>
                    <w:jc w:val="center"/>
                    <w:rPr>
                      <w:color w:val="000000" w:themeColor="text1"/>
                      <w:szCs w:val="21"/>
                      <w14:textFill>
                        <w14:solidFill>
                          <w14:schemeClr w14:val="tx1"/>
                        </w14:solidFill>
                      </w14:textFill>
                    </w:rPr>
                  </w:pPr>
                </w:p>
              </w:tc>
              <w:tc>
                <w:tcPr>
                  <w:tcW w:w="576" w:type="pct"/>
                  <w:vAlign w:val="center"/>
                </w:tcPr>
                <w:p w14:paraId="798E9D79">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灌装线</w:t>
                  </w:r>
                </w:p>
              </w:tc>
              <w:tc>
                <w:tcPr>
                  <w:tcW w:w="1533" w:type="pct"/>
                  <w:gridSpan w:val="2"/>
                  <w:vAlign w:val="center"/>
                </w:tcPr>
                <w:p w14:paraId="5BC7B5C0">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0.8m</w:t>
                  </w:r>
                  <w:r>
                    <w:rPr>
                      <w:rFonts w:hint="eastAsia"/>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次</w:t>
                  </w:r>
                  <w:r>
                    <w:rPr>
                      <w:rFonts w:hint="eastAsia"/>
                      <w:color w:val="000000" w:themeColor="text1"/>
                      <w:szCs w:val="21"/>
                      <w:lang w:eastAsia="zh-CN"/>
                      <w14:textFill>
                        <w14:solidFill>
                          <w14:schemeClr w14:val="tx1"/>
                        </w14:solidFill>
                      </w14:textFill>
                    </w:rPr>
                    <w:t>（</w:t>
                  </w:r>
                  <w:r>
                    <w:rPr>
                      <w:rFonts w:hint="eastAsia"/>
                      <w:color w:val="000000" w:themeColor="text1"/>
                      <w:szCs w:val="21"/>
                      <w:lang w:val="en-US" w:eastAsia="zh-CN"/>
                      <w14:textFill>
                        <w14:solidFill>
                          <w14:schemeClr w14:val="tx1"/>
                        </w14:solidFill>
                      </w14:textFill>
                    </w:rPr>
                    <w:t>年清洗16次）</w:t>
                  </w:r>
                </w:p>
              </w:tc>
              <w:tc>
                <w:tcPr>
                  <w:tcW w:w="661" w:type="pct"/>
                  <w:vAlign w:val="center"/>
                </w:tcPr>
                <w:p w14:paraId="4EB7EBBA">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0.056</w:t>
                  </w:r>
                </w:p>
              </w:tc>
              <w:tc>
                <w:tcPr>
                  <w:tcW w:w="626" w:type="pct"/>
                  <w:vAlign w:val="center"/>
                </w:tcPr>
                <w:p w14:paraId="7EDD09C2">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12.8</w:t>
                  </w:r>
                </w:p>
              </w:tc>
            </w:tr>
            <w:tr w14:paraId="75B5953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3CA5B086">
                  <w:pPr>
                    <w:jc w:val="center"/>
                    <w:rPr>
                      <w:color w:val="000000" w:themeColor="text1"/>
                      <w:szCs w:val="21"/>
                      <w14:textFill>
                        <w14:solidFill>
                          <w14:schemeClr w14:val="tx1"/>
                        </w14:solidFill>
                      </w14:textFill>
                    </w:rPr>
                  </w:pPr>
                </w:p>
              </w:tc>
              <w:tc>
                <w:tcPr>
                  <w:tcW w:w="325" w:type="pct"/>
                  <w:vMerge w:val="continue"/>
                  <w:vAlign w:val="center"/>
                </w:tcPr>
                <w:p w14:paraId="6704B2BF">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1C4EF2EC">
                  <w:pPr>
                    <w:jc w:val="center"/>
                    <w:rPr>
                      <w:color w:val="000000" w:themeColor="text1"/>
                      <w:szCs w:val="21"/>
                      <w14:textFill>
                        <w14:solidFill>
                          <w14:schemeClr w14:val="tx1"/>
                        </w14:solidFill>
                      </w14:textFill>
                    </w:rPr>
                  </w:pPr>
                </w:p>
              </w:tc>
              <w:tc>
                <w:tcPr>
                  <w:tcW w:w="444" w:type="pct"/>
                  <w:vMerge w:val="restart"/>
                  <w:vAlign w:val="center"/>
                </w:tcPr>
                <w:p w14:paraId="47AF268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啤酒</w:t>
                  </w:r>
                </w:p>
              </w:tc>
              <w:tc>
                <w:tcPr>
                  <w:tcW w:w="576" w:type="pct"/>
                  <w:vMerge w:val="restart"/>
                  <w:vAlign w:val="center"/>
                </w:tcPr>
                <w:p w14:paraId="4AD20F87">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CIP清洗系统</w:t>
                  </w:r>
                </w:p>
              </w:tc>
              <w:tc>
                <w:tcPr>
                  <w:tcW w:w="1533" w:type="pct"/>
                  <w:gridSpan w:val="2"/>
                  <w:vAlign w:val="center"/>
                </w:tcPr>
                <w:p w14:paraId="24842E45">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纯水：0.75</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t-啤酒</w:t>
                  </w:r>
                </w:p>
              </w:tc>
              <w:tc>
                <w:tcPr>
                  <w:tcW w:w="661" w:type="pct"/>
                  <w:vAlign w:val="center"/>
                </w:tcPr>
                <w:p w14:paraId="41E07D27">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0.658</w:t>
                  </w:r>
                </w:p>
              </w:tc>
              <w:tc>
                <w:tcPr>
                  <w:tcW w:w="626" w:type="pct"/>
                  <w:vAlign w:val="center"/>
                </w:tcPr>
                <w:p w14:paraId="4E32FF86">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150.0</w:t>
                  </w:r>
                </w:p>
              </w:tc>
            </w:tr>
            <w:tr w14:paraId="0DF2B73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1A0FC3D8">
                  <w:pPr>
                    <w:jc w:val="center"/>
                    <w:rPr>
                      <w:color w:val="000000" w:themeColor="text1"/>
                      <w:szCs w:val="21"/>
                      <w14:textFill>
                        <w14:solidFill>
                          <w14:schemeClr w14:val="tx1"/>
                        </w14:solidFill>
                      </w14:textFill>
                    </w:rPr>
                  </w:pPr>
                </w:p>
              </w:tc>
              <w:tc>
                <w:tcPr>
                  <w:tcW w:w="325" w:type="pct"/>
                  <w:vMerge w:val="continue"/>
                  <w:vAlign w:val="center"/>
                </w:tcPr>
                <w:p w14:paraId="08A72F52">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0AEA7CE0">
                  <w:pPr>
                    <w:jc w:val="center"/>
                    <w:rPr>
                      <w:color w:val="000000" w:themeColor="text1"/>
                      <w:szCs w:val="21"/>
                      <w14:textFill>
                        <w14:solidFill>
                          <w14:schemeClr w14:val="tx1"/>
                        </w14:solidFill>
                      </w14:textFill>
                    </w:rPr>
                  </w:pPr>
                </w:p>
              </w:tc>
              <w:tc>
                <w:tcPr>
                  <w:tcW w:w="444" w:type="pct"/>
                  <w:vMerge w:val="continue"/>
                  <w:vAlign w:val="center"/>
                </w:tcPr>
                <w:p w14:paraId="755DC5D8">
                  <w:pPr>
                    <w:jc w:val="center"/>
                    <w:rPr>
                      <w:color w:val="000000" w:themeColor="text1"/>
                      <w:szCs w:val="21"/>
                      <w14:textFill>
                        <w14:solidFill>
                          <w14:schemeClr w14:val="tx1"/>
                        </w14:solidFill>
                      </w14:textFill>
                    </w:rPr>
                  </w:pPr>
                </w:p>
              </w:tc>
              <w:tc>
                <w:tcPr>
                  <w:tcW w:w="576" w:type="pct"/>
                  <w:vMerge w:val="continue"/>
                  <w:vAlign w:val="center"/>
                </w:tcPr>
                <w:p w14:paraId="0AD07E04">
                  <w:pPr>
                    <w:jc w:val="center"/>
                    <w:rPr>
                      <w:color w:val="000000" w:themeColor="text1"/>
                      <w:szCs w:val="21"/>
                      <w:highlight w:val="yellow"/>
                      <w14:textFill>
                        <w14:solidFill>
                          <w14:schemeClr w14:val="tx1"/>
                        </w14:solidFill>
                      </w14:textFill>
                    </w:rPr>
                  </w:pPr>
                </w:p>
              </w:tc>
              <w:tc>
                <w:tcPr>
                  <w:tcW w:w="1533" w:type="pct"/>
                  <w:gridSpan w:val="2"/>
                  <w:vAlign w:val="center"/>
                </w:tcPr>
                <w:p w14:paraId="3D2B7F23">
                  <w:pPr>
                    <w:jc w:val="center"/>
                    <w:rPr>
                      <w:color w:val="000000" w:themeColor="text1"/>
                      <w:szCs w:val="21"/>
                      <w:highlight w:val="yellow"/>
                      <w14:textFill>
                        <w14:solidFill>
                          <w14:schemeClr w14:val="tx1"/>
                        </w14:solidFill>
                      </w14:textFill>
                    </w:rPr>
                  </w:pPr>
                  <w:r>
                    <w:rPr>
                      <w:rFonts w:hint="eastAsia"/>
                      <w:color w:val="000000" w:themeColor="text1"/>
                      <w:kern w:val="0"/>
                      <w:szCs w:val="21"/>
                      <w14:textFill>
                        <w14:solidFill>
                          <w14:schemeClr w14:val="tx1"/>
                        </w14:solidFill>
                      </w14:textFill>
                    </w:rPr>
                    <w:t>碱液调配用纯水</w:t>
                  </w:r>
                </w:p>
              </w:tc>
              <w:tc>
                <w:tcPr>
                  <w:tcW w:w="661" w:type="pct"/>
                  <w:vAlign w:val="center"/>
                </w:tcPr>
                <w:p w14:paraId="6DA0EB32">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0.860</w:t>
                  </w:r>
                </w:p>
              </w:tc>
              <w:tc>
                <w:tcPr>
                  <w:tcW w:w="626" w:type="pct"/>
                  <w:vAlign w:val="center"/>
                </w:tcPr>
                <w:p w14:paraId="565EDFE4">
                  <w:pPr>
                    <w:jc w:val="center"/>
                    <w:rPr>
                      <w:color w:val="000000" w:themeColor="text1"/>
                      <w:szCs w:val="21"/>
                      <w:highlight w:val="yellow"/>
                      <w14:textFill>
                        <w14:solidFill>
                          <w14:schemeClr w14:val="tx1"/>
                        </w14:solidFill>
                      </w14:textFill>
                    </w:rPr>
                  </w:pPr>
                  <w:r>
                    <w:rPr>
                      <w:rFonts w:hint="eastAsia"/>
                      <w:bCs/>
                      <w:color w:val="000000" w:themeColor="text1"/>
                      <w:szCs w:val="21"/>
                      <w14:textFill>
                        <w14:solidFill>
                          <w14:schemeClr w14:val="tx1"/>
                        </w14:solidFill>
                      </w14:textFill>
                    </w:rPr>
                    <w:t>196.0</w:t>
                  </w:r>
                </w:p>
              </w:tc>
            </w:tr>
            <w:tr w14:paraId="1AFEF4DC">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5D950724">
                  <w:pPr>
                    <w:jc w:val="center"/>
                    <w:rPr>
                      <w:color w:val="000000" w:themeColor="text1"/>
                      <w:szCs w:val="21"/>
                      <w14:textFill>
                        <w14:solidFill>
                          <w14:schemeClr w14:val="tx1"/>
                        </w14:solidFill>
                      </w14:textFill>
                    </w:rPr>
                  </w:pPr>
                </w:p>
              </w:tc>
              <w:tc>
                <w:tcPr>
                  <w:tcW w:w="325" w:type="pct"/>
                  <w:vMerge w:val="continue"/>
                  <w:vAlign w:val="center"/>
                </w:tcPr>
                <w:p w14:paraId="77C3F3BF">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263532B1">
                  <w:pPr>
                    <w:jc w:val="center"/>
                    <w:rPr>
                      <w:color w:val="000000" w:themeColor="text1"/>
                      <w:szCs w:val="21"/>
                      <w14:textFill>
                        <w14:solidFill>
                          <w14:schemeClr w14:val="tx1"/>
                        </w14:solidFill>
                      </w14:textFill>
                    </w:rPr>
                  </w:pPr>
                </w:p>
              </w:tc>
              <w:tc>
                <w:tcPr>
                  <w:tcW w:w="444" w:type="pct"/>
                  <w:vMerge w:val="continue"/>
                  <w:vAlign w:val="center"/>
                </w:tcPr>
                <w:p w14:paraId="01DA8F3E">
                  <w:pPr>
                    <w:jc w:val="center"/>
                    <w:rPr>
                      <w:color w:val="000000" w:themeColor="text1"/>
                      <w:szCs w:val="21"/>
                      <w14:textFill>
                        <w14:solidFill>
                          <w14:schemeClr w14:val="tx1"/>
                        </w14:solidFill>
                      </w14:textFill>
                    </w:rPr>
                  </w:pPr>
                </w:p>
              </w:tc>
              <w:tc>
                <w:tcPr>
                  <w:tcW w:w="576" w:type="pct"/>
                  <w:vMerge w:val="continue"/>
                  <w:vAlign w:val="center"/>
                </w:tcPr>
                <w:p w14:paraId="116B585E">
                  <w:pPr>
                    <w:jc w:val="center"/>
                    <w:rPr>
                      <w:color w:val="000000" w:themeColor="text1"/>
                      <w:szCs w:val="21"/>
                      <w:highlight w:val="yellow"/>
                      <w14:textFill>
                        <w14:solidFill>
                          <w14:schemeClr w14:val="tx1"/>
                        </w14:solidFill>
                      </w14:textFill>
                    </w:rPr>
                  </w:pPr>
                </w:p>
              </w:tc>
              <w:tc>
                <w:tcPr>
                  <w:tcW w:w="1533" w:type="pct"/>
                  <w:gridSpan w:val="2"/>
                  <w:vAlign w:val="center"/>
                </w:tcPr>
                <w:p w14:paraId="0C64161D">
                  <w:pPr>
                    <w:jc w:val="center"/>
                    <w:rPr>
                      <w:color w:val="000000" w:themeColor="text1"/>
                      <w:kern w:val="0"/>
                      <w:szCs w:val="21"/>
                      <w14:textFill>
                        <w14:solidFill>
                          <w14:schemeClr w14:val="tx1"/>
                        </w14:solidFill>
                      </w14:textFill>
                    </w:rPr>
                  </w:pPr>
                  <w:r>
                    <w:rPr>
                      <w:rFonts w:hint="eastAsia"/>
                      <w:color w:val="000000" w:themeColor="text1"/>
                      <w14:textFill>
                        <w14:solidFill>
                          <w14:schemeClr w14:val="tx1"/>
                        </w14:solidFill>
                      </w14:textFill>
                    </w:rPr>
                    <w:t>酸洗清洗剂</w:t>
                  </w:r>
                </w:p>
              </w:tc>
              <w:tc>
                <w:tcPr>
                  <w:tcW w:w="661" w:type="pct"/>
                  <w:vAlign w:val="center"/>
                </w:tcPr>
                <w:p w14:paraId="32597F77">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0.877</w:t>
                  </w:r>
                </w:p>
              </w:tc>
              <w:tc>
                <w:tcPr>
                  <w:tcW w:w="626" w:type="pct"/>
                  <w:vAlign w:val="center"/>
                </w:tcPr>
                <w:p w14:paraId="0105C49C">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200.0</w:t>
                  </w:r>
                </w:p>
              </w:tc>
            </w:tr>
            <w:tr w14:paraId="3FF8FBD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6635E9AE">
                  <w:pPr>
                    <w:jc w:val="center"/>
                    <w:rPr>
                      <w:color w:val="000000" w:themeColor="text1"/>
                      <w:szCs w:val="21"/>
                      <w14:textFill>
                        <w14:solidFill>
                          <w14:schemeClr w14:val="tx1"/>
                        </w14:solidFill>
                      </w14:textFill>
                    </w:rPr>
                  </w:pPr>
                </w:p>
              </w:tc>
              <w:tc>
                <w:tcPr>
                  <w:tcW w:w="325" w:type="pct"/>
                  <w:vMerge w:val="continue"/>
                  <w:vAlign w:val="center"/>
                </w:tcPr>
                <w:p w14:paraId="050CA82B">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2E2D692C">
                  <w:pPr>
                    <w:jc w:val="center"/>
                    <w:rPr>
                      <w:color w:val="000000" w:themeColor="text1"/>
                      <w:szCs w:val="21"/>
                      <w14:textFill>
                        <w14:solidFill>
                          <w14:schemeClr w14:val="tx1"/>
                        </w14:solidFill>
                      </w14:textFill>
                    </w:rPr>
                  </w:pPr>
                </w:p>
              </w:tc>
              <w:tc>
                <w:tcPr>
                  <w:tcW w:w="444" w:type="pct"/>
                  <w:vMerge w:val="restart"/>
                  <w:vAlign w:val="center"/>
                </w:tcPr>
                <w:p w14:paraId="7E92E87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果酒</w:t>
                  </w:r>
                </w:p>
              </w:tc>
              <w:tc>
                <w:tcPr>
                  <w:tcW w:w="576" w:type="pct"/>
                  <w:vAlign w:val="center"/>
                </w:tcPr>
                <w:p w14:paraId="4E8E9CB9">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水果清洗机</w:t>
                  </w:r>
                  <w:r>
                    <w:rPr>
                      <w:rFonts w:hint="eastAsia"/>
                      <w:color w:val="000000" w:themeColor="text1"/>
                      <w:szCs w:val="21"/>
                      <w14:textFill>
                        <w14:solidFill>
                          <w14:schemeClr w14:val="tx1"/>
                        </w14:solidFill>
                      </w14:textFill>
                    </w:rPr>
                    <w:t>、</w:t>
                  </w:r>
                  <w:r>
                    <w:rPr>
                      <w:color w:val="000000" w:themeColor="text1"/>
                      <w14:textFill>
                        <w14:solidFill>
                          <w14:schemeClr w14:val="tx1"/>
                        </w14:solidFill>
                      </w14:textFill>
                    </w:rPr>
                    <w:t>粉碎机</w:t>
                  </w:r>
                </w:p>
              </w:tc>
              <w:tc>
                <w:tcPr>
                  <w:tcW w:w="1533" w:type="pct"/>
                  <w:gridSpan w:val="2"/>
                  <w:vAlign w:val="center"/>
                </w:tcPr>
                <w:p w14:paraId="6FCBDFFC">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w:t>
                  </w:r>
                </w:p>
              </w:tc>
              <w:tc>
                <w:tcPr>
                  <w:tcW w:w="661" w:type="pct"/>
                  <w:vAlign w:val="center"/>
                </w:tcPr>
                <w:p w14:paraId="742D295C">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1.0</w:t>
                  </w:r>
                </w:p>
              </w:tc>
              <w:tc>
                <w:tcPr>
                  <w:tcW w:w="626" w:type="pct"/>
                  <w:vAlign w:val="center"/>
                </w:tcPr>
                <w:p w14:paraId="14D3D30E">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228.0</w:t>
                  </w:r>
                </w:p>
              </w:tc>
            </w:tr>
            <w:tr w14:paraId="03D5970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09783B63">
                  <w:pPr>
                    <w:jc w:val="center"/>
                    <w:rPr>
                      <w:color w:val="000000" w:themeColor="text1"/>
                      <w:szCs w:val="21"/>
                      <w14:textFill>
                        <w14:solidFill>
                          <w14:schemeClr w14:val="tx1"/>
                        </w14:solidFill>
                      </w14:textFill>
                    </w:rPr>
                  </w:pPr>
                </w:p>
              </w:tc>
              <w:tc>
                <w:tcPr>
                  <w:tcW w:w="325" w:type="pct"/>
                  <w:vMerge w:val="continue"/>
                  <w:vAlign w:val="center"/>
                </w:tcPr>
                <w:p w14:paraId="1A2EDA84">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428B6280">
                  <w:pPr>
                    <w:jc w:val="center"/>
                    <w:rPr>
                      <w:color w:val="000000" w:themeColor="text1"/>
                      <w:szCs w:val="21"/>
                      <w14:textFill>
                        <w14:solidFill>
                          <w14:schemeClr w14:val="tx1"/>
                        </w14:solidFill>
                      </w14:textFill>
                    </w:rPr>
                  </w:pPr>
                </w:p>
              </w:tc>
              <w:tc>
                <w:tcPr>
                  <w:tcW w:w="444" w:type="pct"/>
                  <w:vMerge w:val="continue"/>
                  <w:vAlign w:val="center"/>
                </w:tcPr>
                <w:p w14:paraId="0FB44487">
                  <w:pPr>
                    <w:jc w:val="center"/>
                    <w:rPr>
                      <w:color w:val="000000" w:themeColor="text1"/>
                      <w:szCs w:val="21"/>
                      <w14:textFill>
                        <w14:solidFill>
                          <w14:schemeClr w14:val="tx1"/>
                        </w14:solidFill>
                      </w14:textFill>
                    </w:rPr>
                  </w:pPr>
                </w:p>
              </w:tc>
              <w:tc>
                <w:tcPr>
                  <w:tcW w:w="576" w:type="pct"/>
                  <w:vAlign w:val="center"/>
                </w:tcPr>
                <w:p w14:paraId="6172FED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发酵（浸渍）罐</w:t>
                  </w:r>
                </w:p>
              </w:tc>
              <w:tc>
                <w:tcPr>
                  <w:tcW w:w="1533" w:type="pct"/>
                  <w:gridSpan w:val="2"/>
                  <w:vAlign w:val="center"/>
                </w:tcPr>
                <w:p w14:paraId="76FC98F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0.5m</w:t>
                  </w:r>
                  <w:r>
                    <w:rPr>
                      <w:rFonts w:hint="eastAsia"/>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个</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30</w:t>
                  </w:r>
                  <w:r>
                    <w:rPr>
                      <w:rFonts w:hint="eastAsia"/>
                      <w:color w:val="000000" w:themeColor="text1"/>
                      <w14:textFill>
                        <w14:solidFill>
                          <w14:schemeClr w14:val="tx1"/>
                        </w14:solidFill>
                      </w14:textFill>
                    </w:rPr>
                    <w:t>d</w:t>
                  </w:r>
                </w:p>
              </w:tc>
              <w:tc>
                <w:tcPr>
                  <w:tcW w:w="661" w:type="pct"/>
                  <w:vAlign w:val="center"/>
                </w:tcPr>
                <w:p w14:paraId="375BDC7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0.140</w:t>
                  </w:r>
                </w:p>
              </w:tc>
              <w:tc>
                <w:tcPr>
                  <w:tcW w:w="626" w:type="pct"/>
                  <w:vAlign w:val="center"/>
                </w:tcPr>
                <w:p w14:paraId="4B6521A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32.0</w:t>
                  </w:r>
                </w:p>
              </w:tc>
            </w:tr>
            <w:tr w14:paraId="7668B3CF">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7A11DF14">
                  <w:pPr>
                    <w:jc w:val="center"/>
                    <w:rPr>
                      <w:color w:val="000000" w:themeColor="text1"/>
                      <w:szCs w:val="21"/>
                      <w14:textFill>
                        <w14:solidFill>
                          <w14:schemeClr w14:val="tx1"/>
                        </w14:solidFill>
                      </w14:textFill>
                    </w:rPr>
                  </w:pPr>
                </w:p>
              </w:tc>
              <w:tc>
                <w:tcPr>
                  <w:tcW w:w="325" w:type="pct"/>
                  <w:vMerge w:val="continue"/>
                  <w:vAlign w:val="center"/>
                </w:tcPr>
                <w:p w14:paraId="4095D4E3">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78A884EF">
                  <w:pPr>
                    <w:jc w:val="center"/>
                    <w:rPr>
                      <w:color w:val="000000" w:themeColor="text1"/>
                      <w:szCs w:val="21"/>
                      <w14:textFill>
                        <w14:solidFill>
                          <w14:schemeClr w14:val="tx1"/>
                        </w14:solidFill>
                      </w14:textFill>
                    </w:rPr>
                  </w:pPr>
                </w:p>
              </w:tc>
              <w:tc>
                <w:tcPr>
                  <w:tcW w:w="444" w:type="pct"/>
                  <w:vMerge w:val="continue"/>
                  <w:vAlign w:val="center"/>
                </w:tcPr>
                <w:p w14:paraId="1C98C134">
                  <w:pPr>
                    <w:jc w:val="center"/>
                    <w:rPr>
                      <w:color w:val="000000" w:themeColor="text1"/>
                      <w:szCs w:val="21"/>
                      <w14:textFill>
                        <w14:solidFill>
                          <w14:schemeClr w14:val="tx1"/>
                        </w14:solidFill>
                      </w14:textFill>
                    </w:rPr>
                  </w:pPr>
                </w:p>
              </w:tc>
              <w:tc>
                <w:tcPr>
                  <w:tcW w:w="576" w:type="pct"/>
                  <w:vAlign w:val="center"/>
                </w:tcPr>
                <w:p w14:paraId="489FB382">
                  <w:pPr>
                    <w:jc w:val="center"/>
                    <w:rPr>
                      <w:color w:val="000000" w:themeColor="text1"/>
                      <w:szCs w:val="21"/>
                      <w:highlight w:val="yellow"/>
                      <w14:textFill>
                        <w14:solidFill>
                          <w14:schemeClr w14:val="tx1"/>
                        </w14:solidFill>
                      </w14:textFill>
                    </w:rPr>
                  </w:pPr>
                  <w:r>
                    <w:rPr>
                      <w:color w:val="000000" w:themeColor="text1"/>
                      <w:szCs w:val="21"/>
                      <w14:textFill>
                        <w14:solidFill>
                          <w14:schemeClr w14:val="tx1"/>
                        </w14:solidFill>
                      </w14:textFill>
                    </w:rPr>
                    <w:t>陈酿罐</w:t>
                  </w:r>
                </w:p>
              </w:tc>
              <w:tc>
                <w:tcPr>
                  <w:tcW w:w="1533" w:type="pct"/>
                  <w:gridSpan w:val="2"/>
                  <w:vAlign w:val="center"/>
                </w:tcPr>
                <w:p w14:paraId="5C4E6F7A">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1.0m</w:t>
                  </w:r>
                  <w:r>
                    <w:rPr>
                      <w:rFonts w:hint="eastAsia"/>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个</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30</w:t>
                  </w:r>
                  <w:r>
                    <w:rPr>
                      <w:rFonts w:hint="eastAsia"/>
                      <w:color w:val="000000" w:themeColor="text1"/>
                      <w14:textFill>
                        <w14:solidFill>
                          <w14:schemeClr w14:val="tx1"/>
                        </w14:solidFill>
                      </w14:textFill>
                    </w:rPr>
                    <w:t>d</w:t>
                  </w:r>
                </w:p>
              </w:tc>
              <w:tc>
                <w:tcPr>
                  <w:tcW w:w="661" w:type="pct"/>
                  <w:vAlign w:val="center"/>
                </w:tcPr>
                <w:p w14:paraId="6F529BD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0.140</w:t>
                  </w:r>
                </w:p>
              </w:tc>
              <w:tc>
                <w:tcPr>
                  <w:tcW w:w="626" w:type="pct"/>
                  <w:vAlign w:val="center"/>
                </w:tcPr>
                <w:p w14:paraId="6BC29DF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32.0</w:t>
                  </w:r>
                </w:p>
              </w:tc>
            </w:tr>
            <w:tr w14:paraId="4621692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1853050D">
                  <w:pPr>
                    <w:jc w:val="center"/>
                    <w:rPr>
                      <w:color w:val="000000" w:themeColor="text1"/>
                      <w:szCs w:val="21"/>
                      <w14:textFill>
                        <w14:solidFill>
                          <w14:schemeClr w14:val="tx1"/>
                        </w14:solidFill>
                      </w14:textFill>
                    </w:rPr>
                  </w:pPr>
                </w:p>
              </w:tc>
              <w:tc>
                <w:tcPr>
                  <w:tcW w:w="325" w:type="pct"/>
                  <w:vMerge w:val="continue"/>
                  <w:vAlign w:val="center"/>
                </w:tcPr>
                <w:p w14:paraId="2672A917">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7DA3C01A">
                  <w:pPr>
                    <w:jc w:val="center"/>
                    <w:rPr>
                      <w:color w:val="000000" w:themeColor="text1"/>
                      <w:szCs w:val="21"/>
                      <w14:textFill>
                        <w14:solidFill>
                          <w14:schemeClr w14:val="tx1"/>
                        </w14:solidFill>
                      </w14:textFill>
                    </w:rPr>
                  </w:pPr>
                </w:p>
              </w:tc>
              <w:tc>
                <w:tcPr>
                  <w:tcW w:w="444" w:type="pct"/>
                  <w:vMerge w:val="continue"/>
                  <w:vAlign w:val="center"/>
                </w:tcPr>
                <w:p w14:paraId="3A2D21EB">
                  <w:pPr>
                    <w:jc w:val="center"/>
                    <w:rPr>
                      <w:color w:val="000000" w:themeColor="text1"/>
                      <w:szCs w:val="21"/>
                      <w14:textFill>
                        <w14:solidFill>
                          <w14:schemeClr w14:val="tx1"/>
                        </w14:solidFill>
                      </w14:textFill>
                    </w:rPr>
                  </w:pPr>
                </w:p>
              </w:tc>
              <w:tc>
                <w:tcPr>
                  <w:tcW w:w="576" w:type="pct"/>
                  <w:vAlign w:val="center"/>
                </w:tcPr>
                <w:p w14:paraId="7C70AA9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压榨机、过滤机</w:t>
                  </w:r>
                  <w:r>
                    <w:rPr>
                      <w:rFonts w:hint="eastAsia"/>
                      <w:color w:val="000000" w:themeColor="text1"/>
                      <w:szCs w:val="21"/>
                      <w14:textFill>
                        <w14:solidFill>
                          <w14:schemeClr w14:val="tx1"/>
                        </w14:solidFill>
                      </w14:textFill>
                    </w:rPr>
                    <w:t>、灌装机</w:t>
                  </w:r>
                </w:p>
              </w:tc>
              <w:tc>
                <w:tcPr>
                  <w:tcW w:w="1533" w:type="pct"/>
                  <w:gridSpan w:val="2"/>
                  <w:vAlign w:val="center"/>
                </w:tcPr>
                <w:p w14:paraId="0068DE78">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0.5m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w:t>
                  </w:r>
                </w:p>
              </w:tc>
              <w:tc>
                <w:tcPr>
                  <w:tcW w:w="661" w:type="pct"/>
                  <w:vAlign w:val="center"/>
                </w:tcPr>
                <w:p w14:paraId="23FB312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626" w:type="pct"/>
                  <w:vAlign w:val="center"/>
                </w:tcPr>
                <w:p w14:paraId="469A063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114.0</w:t>
                  </w:r>
                </w:p>
              </w:tc>
            </w:tr>
            <w:tr w14:paraId="524DE2D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PrEx>
              <w:trPr>
                <w:trHeight w:val="454" w:hRule="atLeast"/>
                <w:jc w:val="center"/>
              </w:trPr>
              <w:tc>
                <w:tcPr>
                  <w:tcW w:w="392" w:type="pct"/>
                  <w:vMerge w:val="continue"/>
                  <w:tcBorders>
                    <w:top w:val="nil"/>
                    <w:bottom w:val="nil"/>
                  </w:tcBorders>
                  <w:vAlign w:val="center"/>
                </w:tcPr>
                <w:p w14:paraId="4262807B">
                  <w:pPr>
                    <w:jc w:val="center"/>
                    <w:rPr>
                      <w:color w:val="000000" w:themeColor="text1"/>
                      <w:szCs w:val="21"/>
                      <w14:textFill>
                        <w14:solidFill>
                          <w14:schemeClr w14:val="tx1"/>
                        </w14:solidFill>
                      </w14:textFill>
                    </w:rPr>
                  </w:pPr>
                </w:p>
              </w:tc>
              <w:tc>
                <w:tcPr>
                  <w:tcW w:w="325" w:type="pct"/>
                  <w:vMerge w:val="continue"/>
                  <w:vAlign w:val="center"/>
                </w:tcPr>
                <w:p w14:paraId="34880C1E">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55DFFDF1">
                  <w:pPr>
                    <w:jc w:val="center"/>
                    <w:rPr>
                      <w:color w:val="000000" w:themeColor="text1"/>
                      <w:szCs w:val="21"/>
                      <w14:textFill>
                        <w14:solidFill>
                          <w14:schemeClr w14:val="tx1"/>
                        </w14:solidFill>
                      </w14:textFill>
                    </w:rPr>
                  </w:pPr>
                </w:p>
              </w:tc>
              <w:tc>
                <w:tcPr>
                  <w:tcW w:w="444" w:type="pct"/>
                  <w:vAlign w:val="center"/>
                </w:tcPr>
                <w:p w14:paraId="5095207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植物饮料</w:t>
                  </w:r>
                </w:p>
              </w:tc>
              <w:tc>
                <w:tcPr>
                  <w:tcW w:w="576" w:type="pct"/>
                  <w:vAlign w:val="center"/>
                </w:tcPr>
                <w:p w14:paraId="35CEA91F">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清洗机、粉碎机、混合罐等</w:t>
                  </w:r>
                </w:p>
              </w:tc>
              <w:tc>
                <w:tcPr>
                  <w:tcW w:w="1533" w:type="pct"/>
                  <w:gridSpan w:val="2"/>
                  <w:vAlign w:val="center"/>
                </w:tcPr>
                <w:p w14:paraId="18FDBD89">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1.0m</w:t>
                  </w:r>
                  <w:r>
                    <w:rPr>
                      <w:rFonts w:hint="eastAsia"/>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次</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6</w:t>
                  </w:r>
                  <w:r>
                    <w:rPr>
                      <w:rFonts w:hint="eastAsia"/>
                      <w:color w:val="000000" w:themeColor="text1"/>
                      <w14:textFill>
                        <w14:solidFill>
                          <w14:schemeClr w14:val="tx1"/>
                        </w14:solidFill>
                      </w14:textFill>
                    </w:rPr>
                    <w:t>d</w:t>
                  </w:r>
                </w:p>
              </w:tc>
              <w:tc>
                <w:tcPr>
                  <w:tcW w:w="661" w:type="pct"/>
                  <w:vAlign w:val="center"/>
                </w:tcPr>
                <w:p w14:paraId="23FE8E2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0.167</w:t>
                  </w:r>
                </w:p>
              </w:tc>
              <w:tc>
                <w:tcPr>
                  <w:tcW w:w="626" w:type="pct"/>
                  <w:vAlign w:val="center"/>
                </w:tcPr>
                <w:p w14:paraId="5BDF24A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38.0</w:t>
                  </w:r>
                </w:p>
              </w:tc>
            </w:tr>
            <w:tr w14:paraId="0ED23EA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0B85EEA7">
                  <w:pPr>
                    <w:jc w:val="center"/>
                    <w:rPr>
                      <w:color w:val="000000" w:themeColor="text1"/>
                      <w:szCs w:val="21"/>
                      <w14:textFill>
                        <w14:solidFill>
                          <w14:schemeClr w14:val="tx1"/>
                        </w14:solidFill>
                      </w14:textFill>
                    </w:rPr>
                  </w:pPr>
                </w:p>
              </w:tc>
              <w:tc>
                <w:tcPr>
                  <w:tcW w:w="325" w:type="pct"/>
                  <w:vMerge w:val="continue"/>
                  <w:vAlign w:val="center"/>
                </w:tcPr>
                <w:p w14:paraId="3A76D89E">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1584E65D">
                  <w:pPr>
                    <w:jc w:val="center"/>
                    <w:rPr>
                      <w:color w:val="000000" w:themeColor="text1"/>
                      <w:szCs w:val="21"/>
                      <w14:textFill>
                        <w14:solidFill>
                          <w14:schemeClr w14:val="tx1"/>
                        </w14:solidFill>
                      </w14:textFill>
                    </w:rPr>
                  </w:pPr>
                </w:p>
              </w:tc>
              <w:tc>
                <w:tcPr>
                  <w:tcW w:w="444" w:type="pct"/>
                  <w:vAlign w:val="center"/>
                </w:tcPr>
                <w:p w14:paraId="164F2AF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热敷理疗产品</w:t>
                  </w:r>
                </w:p>
              </w:tc>
              <w:tc>
                <w:tcPr>
                  <w:tcW w:w="576" w:type="pct"/>
                  <w:vAlign w:val="center"/>
                </w:tcPr>
                <w:p w14:paraId="4A1C2CF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混合罐</w:t>
                  </w:r>
                </w:p>
              </w:tc>
              <w:tc>
                <w:tcPr>
                  <w:tcW w:w="1533" w:type="pct"/>
                  <w:gridSpan w:val="2"/>
                  <w:vAlign w:val="center"/>
                </w:tcPr>
                <w:p w14:paraId="2735AF7A">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0.1</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/d（纯水）</w:t>
                  </w:r>
                </w:p>
              </w:tc>
              <w:tc>
                <w:tcPr>
                  <w:tcW w:w="661" w:type="pct"/>
                  <w:vAlign w:val="center"/>
                </w:tcPr>
                <w:p w14:paraId="279E6AC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w:t>
                  </w:r>
                </w:p>
              </w:tc>
              <w:tc>
                <w:tcPr>
                  <w:tcW w:w="626" w:type="pct"/>
                  <w:vAlign w:val="center"/>
                </w:tcPr>
                <w:p w14:paraId="25DD89E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22.8</w:t>
                  </w:r>
                </w:p>
              </w:tc>
            </w:tr>
            <w:tr w14:paraId="59926F3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0BDC8FA9">
                  <w:pPr>
                    <w:jc w:val="center"/>
                    <w:rPr>
                      <w:color w:val="000000" w:themeColor="text1"/>
                      <w:szCs w:val="21"/>
                      <w14:textFill>
                        <w14:solidFill>
                          <w14:schemeClr w14:val="tx1"/>
                        </w14:solidFill>
                      </w14:textFill>
                    </w:rPr>
                  </w:pPr>
                </w:p>
              </w:tc>
              <w:tc>
                <w:tcPr>
                  <w:tcW w:w="325" w:type="pct"/>
                  <w:vMerge w:val="continue"/>
                  <w:vAlign w:val="center"/>
                </w:tcPr>
                <w:p w14:paraId="6B2DF56C">
                  <w:pPr>
                    <w:jc w:val="center"/>
                    <w:rPr>
                      <w:rFonts w:ascii="宋体" w:hAnsi="宋体" w:cs="宋体"/>
                      <w:color w:val="000000" w:themeColor="text1"/>
                      <w:szCs w:val="21"/>
                      <w14:textFill>
                        <w14:solidFill>
                          <w14:schemeClr w14:val="tx1"/>
                        </w14:solidFill>
                      </w14:textFill>
                    </w:rPr>
                  </w:pPr>
                </w:p>
              </w:tc>
              <w:tc>
                <w:tcPr>
                  <w:tcW w:w="440" w:type="pct"/>
                  <w:vMerge w:val="continue"/>
                  <w:vAlign w:val="center"/>
                </w:tcPr>
                <w:p w14:paraId="62E4EA5A">
                  <w:pPr>
                    <w:jc w:val="center"/>
                    <w:rPr>
                      <w:color w:val="000000" w:themeColor="text1"/>
                      <w:szCs w:val="21"/>
                      <w14:textFill>
                        <w14:solidFill>
                          <w14:schemeClr w14:val="tx1"/>
                        </w14:solidFill>
                      </w14:textFill>
                    </w:rPr>
                  </w:pPr>
                </w:p>
              </w:tc>
              <w:tc>
                <w:tcPr>
                  <w:tcW w:w="444" w:type="pct"/>
                  <w:vAlign w:val="center"/>
                </w:tcPr>
                <w:p w14:paraId="5ED0795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治疗凝胶</w:t>
                  </w:r>
                </w:p>
              </w:tc>
              <w:tc>
                <w:tcPr>
                  <w:tcW w:w="576" w:type="pct"/>
                  <w:vAlign w:val="center"/>
                </w:tcPr>
                <w:p w14:paraId="10F9616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搅拌桶、乳化机以及灌装机</w:t>
                  </w:r>
                </w:p>
              </w:tc>
              <w:tc>
                <w:tcPr>
                  <w:tcW w:w="1533" w:type="pct"/>
                  <w:gridSpan w:val="2"/>
                  <w:vAlign w:val="center"/>
                </w:tcPr>
                <w:p w14:paraId="67157268">
                  <w:pPr>
                    <w:jc w:val="center"/>
                    <w:rPr>
                      <w:color w:val="000000" w:themeColor="text1"/>
                      <w:szCs w:val="21"/>
                      <w:highlight w:val="yellow"/>
                      <w14:textFill>
                        <w14:solidFill>
                          <w14:schemeClr w14:val="tx1"/>
                        </w14:solidFill>
                      </w14:textFill>
                    </w:rPr>
                  </w:pPr>
                  <w:r>
                    <w:rPr>
                      <w:rFonts w:hint="eastAsia"/>
                      <w:color w:val="000000" w:themeColor="text1"/>
                      <w14:textFill>
                        <w14:solidFill>
                          <w14:schemeClr w14:val="tx1"/>
                        </w14:solidFill>
                      </w14:textFill>
                    </w:rPr>
                    <w:t>0.3m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/d（纯水）</w:t>
                  </w:r>
                </w:p>
              </w:tc>
              <w:tc>
                <w:tcPr>
                  <w:tcW w:w="661" w:type="pct"/>
                  <w:vAlign w:val="center"/>
                </w:tcPr>
                <w:p w14:paraId="0AFC4F4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w:t>
                  </w:r>
                </w:p>
              </w:tc>
              <w:tc>
                <w:tcPr>
                  <w:tcW w:w="626" w:type="pct"/>
                  <w:vAlign w:val="center"/>
                </w:tcPr>
                <w:p w14:paraId="133262A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68.4</w:t>
                  </w:r>
                </w:p>
              </w:tc>
            </w:tr>
            <w:tr w14:paraId="14E6205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tcBorders>
                  <w:vAlign w:val="center"/>
                </w:tcPr>
                <w:p w14:paraId="02403752">
                  <w:pPr>
                    <w:jc w:val="center"/>
                    <w:rPr>
                      <w:color w:val="000000" w:themeColor="text1"/>
                      <w:szCs w:val="21"/>
                      <w14:textFill>
                        <w14:solidFill>
                          <w14:schemeClr w14:val="tx1"/>
                        </w14:solidFill>
                      </w14:textFill>
                    </w:rPr>
                  </w:pPr>
                </w:p>
              </w:tc>
              <w:tc>
                <w:tcPr>
                  <w:tcW w:w="325" w:type="pct"/>
                  <w:vMerge w:val="restart"/>
                  <w:vAlign w:val="center"/>
                </w:tcPr>
                <w:p w14:paraId="656AD386">
                  <w:pPr>
                    <w:jc w:val="center"/>
                    <w:rPr>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⑥</w:t>
                  </w:r>
                </w:p>
              </w:tc>
              <w:tc>
                <w:tcPr>
                  <w:tcW w:w="440" w:type="pct"/>
                  <w:vMerge w:val="restart"/>
                  <w:vAlign w:val="center"/>
                </w:tcPr>
                <w:p w14:paraId="65EF36C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勾兑用</w:t>
                  </w:r>
                  <w:r>
                    <w:rPr>
                      <w:rFonts w:hint="eastAsia"/>
                      <w:color w:val="000000" w:themeColor="text1"/>
                      <w:szCs w:val="21"/>
                      <w14:textFill>
                        <w14:solidFill>
                          <w14:schemeClr w14:val="tx1"/>
                        </w14:solidFill>
                      </w14:textFill>
                    </w:rPr>
                    <w:t>纯</w:t>
                  </w:r>
                  <w:r>
                    <w:rPr>
                      <w:color w:val="000000" w:themeColor="text1"/>
                      <w:szCs w:val="21"/>
                      <w14:textFill>
                        <w14:solidFill>
                          <w14:schemeClr w14:val="tx1"/>
                        </w14:solidFill>
                      </w14:textFill>
                    </w:rPr>
                    <w:t>水</w:t>
                  </w:r>
                </w:p>
              </w:tc>
              <w:tc>
                <w:tcPr>
                  <w:tcW w:w="444" w:type="pct"/>
                  <w:vAlign w:val="center"/>
                </w:tcPr>
                <w:p w14:paraId="0C10DF8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白酒</w:t>
                  </w:r>
                </w:p>
              </w:tc>
              <w:tc>
                <w:tcPr>
                  <w:tcW w:w="576" w:type="pct"/>
                  <w:vAlign w:val="center"/>
                </w:tcPr>
                <w:p w14:paraId="4E277E40">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highlight w:val="yellow"/>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p>
              </w:tc>
              <w:tc>
                <w:tcPr>
                  <w:tcW w:w="1533" w:type="pct"/>
                  <w:gridSpan w:val="2"/>
                  <w:vAlign w:val="center"/>
                </w:tcPr>
                <w:p w14:paraId="5F072228">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highlight w:val="yellow"/>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p>
              </w:tc>
              <w:tc>
                <w:tcPr>
                  <w:tcW w:w="661" w:type="pct"/>
                  <w:vAlign w:val="center"/>
                </w:tcPr>
                <w:p w14:paraId="06B888A5">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0.099</w:t>
                  </w:r>
                </w:p>
              </w:tc>
              <w:tc>
                <w:tcPr>
                  <w:tcW w:w="626" w:type="pct"/>
                  <w:vAlign w:val="center"/>
                </w:tcPr>
                <w:p w14:paraId="5A810BB1">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22.468</w:t>
                  </w:r>
                </w:p>
              </w:tc>
            </w:tr>
            <w:tr w14:paraId="1BC6FE2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tcBorders>
                  <w:vAlign w:val="center"/>
                </w:tcPr>
                <w:p w14:paraId="3FADE6C0">
                  <w:pPr>
                    <w:jc w:val="center"/>
                    <w:rPr>
                      <w:color w:val="000000" w:themeColor="text1"/>
                      <w:szCs w:val="21"/>
                      <w14:textFill>
                        <w14:solidFill>
                          <w14:schemeClr w14:val="tx1"/>
                        </w14:solidFill>
                      </w14:textFill>
                    </w:rPr>
                  </w:pPr>
                </w:p>
              </w:tc>
              <w:tc>
                <w:tcPr>
                  <w:tcW w:w="325" w:type="pct"/>
                  <w:vMerge w:val="continue"/>
                  <w:vAlign w:val="center"/>
                </w:tcPr>
                <w:p w14:paraId="0BD2A312">
                  <w:pPr>
                    <w:jc w:val="center"/>
                    <w:rPr>
                      <w:color w:val="000000" w:themeColor="text1"/>
                      <w:szCs w:val="21"/>
                      <w14:textFill>
                        <w14:solidFill>
                          <w14:schemeClr w14:val="tx1"/>
                        </w14:solidFill>
                      </w14:textFill>
                    </w:rPr>
                  </w:pPr>
                </w:p>
              </w:tc>
              <w:tc>
                <w:tcPr>
                  <w:tcW w:w="440" w:type="pct"/>
                  <w:vMerge w:val="continue"/>
                  <w:vAlign w:val="center"/>
                </w:tcPr>
                <w:p w14:paraId="09CE582D">
                  <w:pPr>
                    <w:jc w:val="center"/>
                    <w:rPr>
                      <w:color w:val="000000" w:themeColor="text1"/>
                      <w:szCs w:val="21"/>
                      <w14:textFill>
                        <w14:solidFill>
                          <w14:schemeClr w14:val="tx1"/>
                        </w14:solidFill>
                      </w14:textFill>
                    </w:rPr>
                  </w:pPr>
                </w:p>
              </w:tc>
              <w:tc>
                <w:tcPr>
                  <w:tcW w:w="444" w:type="pct"/>
                  <w:vAlign w:val="center"/>
                </w:tcPr>
                <w:p w14:paraId="2D8588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w:t>
                  </w:r>
                </w:p>
              </w:tc>
              <w:tc>
                <w:tcPr>
                  <w:tcW w:w="576" w:type="pct"/>
                  <w:vAlign w:val="center"/>
                </w:tcPr>
                <w:p w14:paraId="5327F373">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highlight w:val="yellow"/>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p>
              </w:tc>
              <w:tc>
                <w:tcPr>
                  <w:tcW w:w="1533" w:type="pct"/>
                  <w:gridSpan w:val="2"/>
                  <w:vAlign w:val="center"/>
                </w:tcPr>
                <w:p w14:paraId="4D873670">
                  <w:pPr>
                    <w:pStyle w:val="40"/>
                    <w:widowControl/>
                    <w:kinsoku w:val="0"/>
                    <w:autoSpaceDE w:val="0"/>
                    <w:autoSpaceDN w:val="0"/>
                    <w:adjustRightInd w:val="0"/>
                    <w:snapToGrid w:val="0"/>
                    <w:jc w:val="center"/>
                    <w:textAlignment w:val="baseline"/>
                    <w:rPr>
                      <w:rFonts w:ascii="Times New Roman" w:hAnsi="Times New Roman" w:cs="Times New Roman"/>
                      <w:color w:val="000000" w:themeColor="text1"/>
                      <w:highlight w:val="yellow"/>
                      <w:lang w:eastAsia="zh-CN"/>
                      <w14:textFill>
                        <w14:solidFill>
                          <w14:schemeClr w14:val="tx1"/>
                        </w14:solidFill>
                      </w14:textFill>
                    </w:rPr>
                  </w:pPr>
                  <w:r>
                    <w:rPr>
                      <w:rFonts w:hint="eastAsia" w:ascii="Times New Roman" w:hAnsi="Times New Roman" w:cs="Times New Roman"/>
                      <w:color w:val="000000" w:themeColor="text1"/>
                      <w:lang w:eastAsia="zh-CN"/>
                      <w14:textFill>
                        <w14:solidFill>
                          <w14:schemeClr w14:val="tx1"/>
                        </w14:solidFill>
                      </w14:textFill>
                    </w:rPr>
                    <w:t>/</w:t>
                  </w:r>
                </w:p>
              </w:tc>
              <w:tc>
                <w:tcPr>
                  <w:tcW w:w="661" w:type="pct"/>
                  <w:vAlign w:val="center"/>
                </w:tcPr>
                <w:p w14:paraId="19D4021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0.179</w:t>
                  </w:r>
                </w:p>
              </w:tc>
              <w:tc>
                <w:tcPr>
                  <w:tcW w:w="626" w:type="pct"/>
                  <w:vAlign w:val="center"/>
                </w:tcPr>
                <w:p w14:paraId="607B22E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40.698</w:t>
                  </w:r>
                </w:p>
              </w:tc>
            </w:tr>
            <w:tr w14:paraId="0F6956F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restart"/>
                  <w:tcBorders>
                    <w:bottom w:val="nil"/>
                  </w:tcBorders>
                  <w:vAlign w:val="center"/>
                </w:tcPr>
                <w:p w14:paraId="3D9A953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4607" w:type="pct"/>
                  <w:gridSpan w:val="8"/>
                  <w:vAlign w:val="center"/>
                </w:tcPr>
                <w:p w14:paraId="78836C37">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非酿造用水</w:t>
                  </w:r>
                </w:p>
              </w:tc>
            </w:tr>
            <w:tr w14:paraId="6A84B765">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068D3B59">
                  <w:pPr>
                    <w:jc w:val="center"/>
                    <w:rPr>
                      <w:color w:val="000000" w:themeColor="text1"/>
                      <w:szCs w:val="21"/>
                      <w14:textFill>
                        <w14:solidFill>
                          <w14:schemeClr w14:val="tx1"/>
                        </w14:solidFill>
                      </w14:textFill>
                    </w:rPr>
                  </w:pPr>
                </w:p>
              </w:tc>
              <w:tc>
                <w:tcPr>
                  <w:tcW w:w="325" w:type="pct"/>
                  <w:vMerge w:val="restart"/>
                  <w:vAlign w:val="center"/>
                </w:tcPr>
                <w:p w14:paraId="0B882D0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①</w:t>
                  </w:r>
                </w:p>
              </w:tc>
              <w:tc>
                <w:tcPr>
                  <w:tcW w:w="440" w:type="pct"/>
                  <w:vMerge w:val="restart"/>
                  <w:vAlign w:val="center"/>
                </w:tcPr>
                <w:p w14:paraId="6C73E0C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蒸汽发生器用纯水</w:t>
                  </w:r>
                </w:p>
              </w:tc>
              <w:tc>
                <w:tcPr>
                  <w:tcW w:w="444" w:type="pct"/>
                  <w:vAlign w:val="center"/>
                </w:tcPr>
                <w:p w14:paraId="0859F96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白酒</w:t>
                  </w:r>
                </w:p>
              </w:tc>
              <w:tc>
                <w:tcPr>
                  <w:tcW w:w="576" w:type="pct"/>
                  <w:vAlign w:val="center"/>
                </w:tcPr>
                <w:p w14:paraId="72A01EC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77.532t</w:t>
                  </w:r>
                </w:p>
              </w:tc>
              <w:tc>
                <w:tcPr>
                  <w:tcW w:w="1533" w:type="pct"/>
                  <w:gridSpan w:val="2"/>
                  <w:vAlign w:val="center"/>
                </w:tcPr>
                <w:p w14:paraId="7AD850C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661" w:type="pct"/>
                  <w:vMerge w:val="restart"/>
                  <w:vAlign w:val="center"/>
                </w:tcPr>
                <w:p w14:paraId="0A16160D">
                  <w:pPr>
                    <w:jc w:val="center"/>
                    <w:rPr>
                      <w:rFonts w:hint="eastAsia" w:eastAsia="宋体"/>
                      <w:color w:val="000000" w:themeColor="text1"/>
                      <w:szCs w:val="21"/>
                      <w:highlight w:val="yellow"/>
                      <w:lang w:eastAsia="zh-CN"/>
                      <w14:textFill>
                        <w14:solidFill>
                          <w14:schemeClr w14:val="tx1"/>
                        </w14:solidFill>
                      </w14:textFill>
                    </w:rPr>
                  </w:pPr>
                  <w:r>
                    <w:rPr>
                      <w:rFonts w:hint="eastAsia"/>
                      <w:color w:val="000000" w:themeColor="text1"/>
                      <w:szCs w:val="21"/>
                      <w14:textFill>
                        <w14:solidFill>
                          <w14:schemeClr w14:val="tx1"/>
                        </w14:solidFill>
                      </w14:textFill>
                    </w:rPr>
                    <w:t>1.56</w:t>
                  </w:r>
                  <w:r>
                    <w:rPr>
                      <w:rFonts w:hint="eastAsia"/>
                      <w:color w:val="000000" w:themeColor="text1"/>
                      <w:szCs w:val="21"/>
                      <w:lang w:val="en-US" w:eastAsia="zh-CN"/>
                      <w14:textFill>
                        <w14:solidFill>
                          <w14:schemeClr w14:val="tx1"/>
                        </w14:solidFill>
                      </w14:textFill>
                    </w:rPr>
                    <w:t>7</w:t>
                  </w:r>
                </w:p>
              </w:tc>
              <w:tc>
                <w:tcPr>
                  <w:tcW w:w="626" w:type="pct"/>
                  <w:vMerge w:val="restart"/>
                  <w:vAlign w:val="center"/>
                </w:tcPr>
                <w:p w14:paraId="22CECCD1">
                  <w:pPr>
                    <w:jc w:val="center"/>
                    <w:rPr>
                      <w:color w:val="000000" w:themeColor="text1"/>
                      <w:szCs w:val="21"/>
                      <w:highlight w:val="yellow"/>
                      <w14:textFill>
                        <w14:solidFill>
                          <w14:schemeClr w14:val="tx1"/>
                        </w14:solidFill>
                      </w14:textFill>
                    </w:rPr>
                  </w:pPr>
                  <w:r>
                    <w:rPr>
                      <w:rFonts w:hint="eastAsia"/>
                      <w:color w:val="000000" w:themeColor="text1"/>
                      <w:szCs w:val="21"/>
                      <w14:textFill>
                        <w14:solidFill>
                          <w14:schemeClr w14:val="tx1"/>
                        </w14:solidFill>
                      </w14:textFill>
                    </w:rPr>
                    <w:t>35</w:t>
                  </w:r>
                  <w:r>
                    <w:rPr>
                      <w:rFonts w:hint="eastAsia"/>
                      <w:color w:val="000000" w:themeColor="text1"/>
                      <w:szCs w:val="21"/>
                      <w:lang w:val="en-US" w:eastAsia="zh-CN"/>
                      <w14:textFill>
                        <w14:solidFill>
                          <w14:schemeClr w14:val="tx1"/>
                        </w14:solidFill>
                      </w14:textFill>
                    </w:rPr>
                    <w:t>7</w:t>
                  </w:r>
                  <w:r>
                    <w:rPr>
                      <w:rFonts w:hint="eastAsia"/>
                      <w:color w:val="000000" w:themeColor="text1"/>
                      <w:szCs w:val="21"/>
                      <w14:textFill>
                        <w14:solidFill>
                          <w14:schemeClr w14:val="tx1"/>
                        </w14:solidFill>
                      </w14:textFill>
                    </w:rPr>
                    <w:t>.651</w:t>
                  </w:r>
                </w:p>
              </w:tc>
            </w:tr>
            <w:tr w14:paraId="3139B46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152F4EAF">
                  <w:pPr>
                    <w:jc w:val="center"/>
                    <w:rPr>
                      <w:color w:val="000000" w:themeColor="text1"/>
                      <w:szCs w:val="21"/>
                      <w14:textFill>
                        <w14:solidFill>
                          <w14:schemeClr w14:val="tx1"/>
                        </w14:solidFill>
                      </w14:textFill>
                    </w:rPr>
                  </w:pPr>
                </w:p>
              </w:tc>
              <w:tc>
                <w:tcPr>
                  <w:tcW w:w="325" w:type="pct"/>
                  <w:vMerge w:val="continue"/>
                  <w:vAlign w:val="center"/>
                </w:tcPr>
                <w:p w14:paraId="360FAEBF">
                  <w:pPr>
                    <w:jc w:val="center"/>
                    <w:rPr>
                      <w:color w:val="000000" w:themeColor="text1"/>
                      <w:szCs w:val="21"/>
                      <w14:textFill>
                        <w14:solidFill>
                          <w14:schemeClr w14:val="tx1"/>
                        </w14:solidFill>
                      </w14:textFill>
                    </w:rPr>
                  </w:pPr>
                </w:p>
              </w:tc>
              <w:tc>
                <w:tcPr>
                  <w:tcW w:w="440" w:type="pct"/>
                  <w:vMerge w:val="continue"/>
                  <w:vAlign w:val="center"/>
                </w:tcPr>
                <w:p w14:paraId="58B293B4">
                  <w:pPr>
                    <w:jc w:val="center"/>
                    <w:rPr>
                      <w:color w:val="000000" w:themeColor="text1"/>
                      <w:szCs w:val="21"/>
                      <w14:textFill>
                        <w14:solidFill>
                          <w14:schemeClr w14:val="tx1"/>
                        </w14:solidFill>
                      </w14:textFill>
                    </w:rPr>
                  </w:pPr>
                </w:p>
              </w:tc>
              <w:tc>
                <w:tcPr>
                  <w:tcW w:w="444" w:type="pct"/>
                  <w:vAlign w:val="center"/>
                </w:tcPr>
                <w:p w14:paraId="2FBBDA66">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黄酒</w:t>
                  </w:r>
                </w:p>
              </w:tc>
              <w:tc>
                <w:tcPr>
                  <w:tcW w:w="576" w:type="pct"/>
                  <w:vAlign w:val="center"/>
                </w:tcPr>
                <w:p w14:paraId="36EF2415">
                  <w:pPr>
                    <w:jc w:val="center"/>
                    <w:rPr>
                      <w:color w:val="000000" w:themeColor="text1"/>
                      <w:szCs w:val="21"/>
                      <w14:textFill>
                        <w14:solidFill>
                          <w14:schemeClr w14:val="tx1"/>
                        </w14:solidFill>
                      </w14:textFill>
                    </w:rPr>
                  </w:pPr>
                  <w:r>
                    <w:rPr>
                      <w:color w:val="000000" w:themeColor="text1"/>
                      <w:spacing w:val="1"/>
                      <w:szCs w:val="21"/>
                      <w14:textFill>
                        <w14:solidFill>
                          <w14:schemeClr w14:val="tx1"/>
                        </w14:solidFill>
                      </w14:textFill>
                    </w:rPr>
                    <w:t>159.302t</w:t>
                  </w:r>
                </w:p>
              </w:tc>
              <w:tc>
                <w:tcPr>
                  <w:tcW w:w="1533" w:type="pct"/>
                  <w:gridSpan w:val="2"/>
                  <w:vAlign w:val="center"/>
                </w:tcPr>
                <w:p w14:paraId="3FA78A7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661" w:type="pct"/>
                  <w:vMerge w:val="continue"/>
                  <w:vAlign w:val="center"/>
                </w:tcPr>
                <w:p w14:paraId="5E0BC917">
                  <w:pPr>
                    <w:jc w:val="center"/>
                    <w:rPr>
                      <w:color w:val="000000" w:themeColor="text1"/>
                      <w:szCs w:val="21"/>
                      <w14:textFill>
                        <w14:solidFill>
                          <w14:schemeClr w14:val="tx1"/>
                        </w14:solidFill>
                      </w14:textFill>
                    </w:rPr>
                  </w:pPr>
                </w:p>
              </w:tc>
              <w:tc>
                <w:tcPr>
                  <w:tcW w:w="626" w:type="pct"/>
                  <w:vMerge w:val="continue"/>
                  <w:vAlign w:val="center"/>
                </w:tcPr>
                <w:p w14:paraId="3C44D4F4">
                  <w:pPr>
                    <w:jc w:val="center"/>
                    <w:rPr>
                      <w:color w:val="000000" w:themeColor="text1"/>
                      <w:szCs w:val="21"/>
                      <w14:textFill>
                        <w14:solidFill>
                          <w14:schemeClr w14:val="tx1"/>
                        </w14:solidFill>
                      </w14:textFill>
                    </w:rPr>
                  </w:pPr>
                </w:p>
              </w:tc>
            </w:tr>
            <w:tr w14:paraId="3332015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0B133B44">
                  <w:pPr>
                    <w:jc w:val="center"/>
                    <w:rPr>
                      <w:color w:val="000000" w:themeColor="text1"/>
                      <w:szCs w:val="21"/>
                      <w14:textFill>
                        <w14:solidFill>
                          <w14:schemeClr w14:val="tx1"/>
                        </w14:solidFill>
                      </w14:textFill>
                    </w:rPr>
                  </w:pPr>
                </w:p>
              </w:tc>
              <w:tc>
                <w:tcPr>
                  <w:tcW w:w="325" w:type="pct"/>
                  <w:vMerge w:val="continue"/>
                  <w:vAlign w:val="center"/>
                </w:tcPr>
                <w:p w14:paraId="3015D349">
                  <w:pPr>
                    <w:jc w:val="center"/>
                    <w:rPr>
                      <w:color w:val="000000" w:themeColor="text1"/>
                      <w:szCs w:val="21"/>
                      <w14:textFill>
                        <w14:solidFill>
                          <w14:schemeClr w14:val="tx1"/>
                        </w14:solidFill>
                      </w14:textFill>
                    </w:rPr>
                  </w:pPr>
                </w:p>
              </w:tc>
              <w:tc>
                <w:tcPr>
                  <w:tcW w:w="440" w:type="pct"/>
                  <w:vMerge w:val="continue"/>
                  <w:vAlign w:val="center"/>
                </w:tcPr>
                <w:p w14:paraId="5C538D5E">
                  <w:pPr>
                    <w:jc w:val="center"/>
                    <w:rPr>
                      <w:color w:val="000000" w:themeColor="text1"/>
                      <w:szCs w:val="21"/>
                      <w14:textFill>
                        <w14:solidFill>
                          <w14:schemeClr w14:val="tx1"/>
                        </w14:solidFill>
                      </w14:textFill>
                    </w:rPr>
                  </w:pPr>
                </w:p>
              </w:tc>
              <w:tc>
                <w:tcPr>
                  <w:tcW w:w="444" w:type="pct"/>
                  <w:vAlign w:val="center"/>
                </w:tcPr>
                <w:p w14:paraId="76CEF618">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啤酒</w:t>
                  </w:r>
                </w:p>
              </w:tc>
              <w:tc>
                <w:tcPr>
                  <w:tcW w:w="576" w:type="pct"/>
                  <w:vAlign w:val="center"/>
                </w:tcPr>
                <w:p w14:paraId="47127F1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200t</w:t>
                  </w:r>
                </w:p>
              </w:tc>
              <w:tc>
                <w:tcPr>
                  <w:tcW w:w="1533" w:type="pct"/>
                  <w:gridSpan w:val="2"/>
                  <w:vAlign w:val="center"/>
                </w:tcPr>
                <w:p w14:paraId="6385766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661" w:type="pct"/>
                  <w:vMerge w:val="continue"/>
                  <w:vAlign w:val="center"/>
                </w:tcPr>
                <w:p w14:paraId="2D86E552">
                  <w:pPr>
                    <w:jc w:val="center"/>
                    <w:rPr>
                      <w:color w:val="000000" w:themeColor="text1"/>
                      <w:szCs w:val="21"/>
                      <w14:textFill>
                        <w14:solidFill>
                          <w14:schemeClr w14:val="tx1"/>
                        </w14:solidFill>
                      </w14:textFill>
                    </w:rPr>
                  </w:pPr>
                </w:p>
              </w:tc>
              <w:tc>
                <w:tcPr>
                  <w:tcW w:w="626" w:type="pct"/>
                  <w:vMerge w:val="continue"/>
                  <w:vAlign w:val="center"/>
                </w:tcPr>
                <w:p w14:paraId="7EB72250">
                  <w:pPr>
                    <w:jc w:val="center"/>
                    <w:rPr>
                      <w:color w:val="000000" w:themeColor="text1"/>
                      <w:szCs w:val="21"/>
                      <w14:textFill>
                        <w14:solidFill>
                          <w14:schemeClr w14:val="tx1"/>
                        </w14:solidFill>
                      </w14:textFill>
                    </w:rPr>
                  </w:pPr>
                </w:p>
              </w:tc>
            </w:tr>
            <w:tr w14:paraId="5718FC9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132056DB">
                  <w:pPr>
                    <w:jc w:val="center"/>
                    <w:rPr>
                      <w:color w:val="000000" w:themeColor="text1"/>
                      <w:szCs w:val="21"/>
                      <w14:textFill>
                        <w14:solidFill>
                          <w14:schemeClr w14:val="tx1"/>
                        </w14:solidFill>
                      </w14:textFill>
                    </w:rPr>
                  </w:pPr>
                </w:p>
              </w:tc>
              <w:tc>
                <w:tcPr>
                  <w:tcW w:w="325" w:type="pct"/>
                  <w:vMerge w:val="continue"/>
                  <w:vAlign w:val="center"/>
                </w:tcPr>
                <w:p w14:paraId="2144C406">
                  <w:pPr>
                    <w:jc w:val="center"/>
                    <w:rPr>
                      <w:color w:val="000000" w:themeColor="text1"/>
                      <w:szCs w:val="21"/>
                      <w14:textFill>
                        <w14:solidFill>
                          <w14:schemeClr w14:val="tx1"/>
                        </w14:solidFill>
                      </w14:textFill>
                    </w:rPr>
                  </w:pPr>
                </w:p>
              </w:tc>
              <w:tc>
                <w:tcPr>
                  <w:tcW w:w="440" w:type="pct"/>
                  <w:vMerge w:val="continue"/>
                  <w:vAlign w:val="center"/>
                </w:tcPr>
                <w:p w14:paraId="3A060D3E">
                  <w:pPr>
                    <w:jc w:val="center"/>
                    <w:rPr>
                      <w:color w:val="000000" w:themeColor="text1"/>
                      <w:szCs w:val="21"/>
                      <w14:textFill>
                        <w14:solidFill>
                          <w14:schemeClr w14:val="tx1"/>
                        </w14:solidFill>
                      </w14:textFill>
                    </w:rPr>
                  </w:pPr>
                </w:p>
              </w:tc>
              <w:tc>
                <w:tcPr>
                  <w:tcW w:w="444" w:type="pct"/>
                  <w:vAlign w:val="center"/>
                </w:tcPr>
                <w:p w14:paraId="7816B6D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果酒</w:t>
                  </w:r>
                </w:p>
              </w:tc>
              <w:tc>
                <w:tcPr>
                  <w:tcW w:w="576" w:type="pct"/>
                  <w:vAlign w:val="center"/>
                </w:tcPr>
                <w:p w14:paraId="1FF0D1F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200t</w:t>
                  </w:r>
                </w:p>
              </w:tc>
              <w:tc>
                <w:tcPr>
                  <w:tcW w:w="1533" w:type="pct"/>
                  <w:gridSpan w:val="2"/>
                  <w:vAlign w:val="center"/>
                </w:tcPr>
                <w:p w14:paraId="0CF0B78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661" w:type="pct"/>
                  <w:vMerge w:val="continue"/>
                  <w:vAlign w:val="center"/>
                </w:tcPr>
                <w:p w14:paraId="52674FA8">
                  <w:pPr>
                    <w:jc w:val="center"/>
                    <w:rPr>
                      <w:color w:val="000000" w:themeColor="text1"/>
                      <w:szCs w:val="21"/>
                      <w14:textFill>
                        <w14:solidFill>
                          <w14:schemeClr w14:val="tx1"/>
                        </w14:solidFill>
                      </w14:textFill>
                    </w:rPr>
                  </w:pPr>
                </w:p>
              </w:tc>
              <w:tc>
                <w:tcPr>
                  <w:tcW w:w="626" w:type="pct"/>
                  <w:vMerge w:val="continue"/>
                  <w:vAlign w:val="center"/>
                </w:tcPr>
                <w:p w14:paraId="15135598">
                  <w:pPr>
                    <w:jc w:val="center"/>
                    <w:rPr>
                      <w:color w:val="000000" w:themeColor="text1"/>
                      <w:szCs w:val="21"/>
                      <w14:textFill>
                        <w14:solidFill>
                          <w14:schemeClr w14:val="tx1"/>
                        </w14:solidFill>
                      </w14:textFill>
                    </w:rPr>
                  </w:pPr>
                </w:p>
              </w:tc>
            </w:tr>
            <w:tr w14:paraId="30B6C28B">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PrEx>
              <w:trPr>
                <w:trHeight w:val="454" w:hRule="atLeast"/>
                <w:jc w:val="center"/>
              </w:trPr>
              <w:tc>
                <w:tcPr>
                  <w:tcW w:w="392" w:type="pct"/>
                  <w:vMerge w:val="continue"/>
                  <w:tcBorders>
                    <w:top w:val="nil"/>
                    <w:bottom w:val="nil"/>
                  </w:tcBorders>
                  <w:vAlign w:val="center"/>
                </w:tcPr>
                <w:p w14:paraId="488B7F72">
                  <w:pPr>
                    <w:jc w:val="center"/>
                    <w:rPr>
                      <w:color w:val="000000" w:themeColor="text1"/>
                      <w:szCs w:val="21"/>
                      <w14:textFill>
                        <w14:solidFill>
                          <w14:schemeClr w14:val="tx1"/>
                        </w14:solidFill>
                      </w14:textFill>
                    </w:rPr>
                  </w:pPr>
                </w:p>
              </w:tc>
              <w:tc>
                <w:tcPr>
                  <w:tcW w:w="325" w:type="pct"/>
                  <w:vMerge w:val="continue"/>
                  <w:vAlign w:val="center"/>
                </w:tcPr>
                <w:p w14:paraId="64459662">
                  <w:pPr>
                    <w:jc w:val="center"/>
                    <w:rPr>
                      <w:color w:val="000000" w:themeColor="text1"/>
                      <w:szCs w:val="21"/>
                      <w14:textFill>
                        <w14:solidFill>
                          <w14:schemeClr w14:val="tx1"/>
                        </w14:solidFill>
                      </w14:textFill>
                    </w:rPr>
                  </w:pPr>
                </w:p>
              </w:tc>
              <w:tc>
                <w:tcPr>
                  <w:tcW w:w="440" w:type="pct"/>
                  <w:vMerge w:val="continue"/>
                  <w:vAlign w:val="center"/>
                </w:tcPr>
                <w:p w14:paraId="3EB8B0DC">
                  <w:pPr>
                    <w:jc w:val="center"/>
                    <w:rPr>
                      <w:color w:val="000000" w:themeColor="text1"/>
                      <w:szCs w:val="21"/>
                      <w14:textFill>
                        <w14:solidFill>
                          <w14:schemeClr w14:val="tx1"/>
                        </w14:solidFill>
                      </w14:textFill>
                    </w:rPr>
                  </w:pPr>
                </w:p>
              </w:tc>
              <w:tc>
                <w:tcPr>
                  <w:tcW w:w="444" w:type="pct"/>
                  <w:vAlign w:val="center"/>
                </w:tcPr>
                <w:p w14:paraId="2E549C5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植物饮料</w:t>
                  </w:r>
                </w:p>
              </w:tc>
              <w:tc>
                <w:tcPr>
                  <w:tcW w:w="576" w:type="pct"/>
                  <w:vAlign w:val="center"/>
                </w:tcPr>
                <w:p w14:paraId="4D78D19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200t</w:t>
                  </w:r>
                </w:p>
              </w:tc>
              <w:tc>
                <w:tcPr>
                  <w:tcW w:w="1533" w:type="pct"/>
                  <w:gridSpan w:val="2"/>
                  <w:vAlign w:val="center"/>
                </w:tcPr>
                <w:p w14:paraId="6BE5F6D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661" w:type="pct"/>
                  <w:vMerge w:val="continue"/>
                  <w:vAlign w:val="center"/>
                </w:tcPr>
                <w:p w14:paraId="73B7C010">
                  <w:pPr>
                    <w:jc w:val="center"/>
                    <w:rPr>
                      <w:color w:val="000000" w:themeColor="text1"/>
                      <w:szCs w:val="21"/>
                      <w14:textFill>
                        <w14:solidFill>
                          <w14:schemeClr w14:val="tx1"/>
                        </w14:solidFill>
                      </w14:textFill>
                    </w:rPr>
                  </w:pPr>
                </w:p>
              </w:tc>
              <w:tc>
                <w:tcPr>
                  <w:tcW w:w="626" w:type="pct"/>
                  <w:vMerge w:val="continue"/>
                  <w:vAlign w:val="center"/>
                </w:tcPr>
                <w:p w14:paraId="4A416958">
                  <w:pPr>
                    <w:jc w:val="center"/>
                    <w:rPr>
                      <w:color w:val="000000" w:themeColor="text1"/>
                      <w:szCs w:val="21"/>
                      <w14:textFill>
                        <w14:solidFill>
                          <w14:schemeClr w14:val="tx1"/>
                        </w14:solidFill>
                      </w14:textFill>
                    </w:rPr>
                  </w:pPr>
                </w:p>
              </w:tc>
            </w:tr>
            <w:tr w14:paraId="7F29C17A">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3F78D56D">
                  <w:pPr>
                    <w:jc w:val="center"/>
                    <w:rPr>
                      <w:color w:val="000000" w:themeColor="text1"/>
                      <w:szCs w:val="21"/>
                      <w14:textFill>
                        <w14:solidFill>
                          <w14:schemeClr w14:val="tx1"/>
                        </w14:solidFill>
                      </w14:textFill>
                    </w:rPr>
                  </w:pPr>
                </w:p>
              </w:tc>
              <w:tc>
                <w:tcPr>
                  <w:tcW w:w="325" w:type="pct"/>
                  <w:vMerge w:val="restart"/>
                  <w:vAlign w:val="center"/>
                </w:tcPr>
                <w:p w14:paraId="6369D69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②</w:t>
                  </w:r>
                </w:p>
              </w:tc>
              <w:tc>
                <w:tcPr>
                  <w:tcW w:w="440" w:type="pct"/>
                  <w:vMerge w:val="restart"/>
                  <w:vAlign w:val="center"/>
                </w:tcPr>
                <w:p w14:paraId="0F2DB5C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洗瓶</w:t>
                  </w:r>
                  <w:r>
                    <w:rPr>
                      <w:rFonts w:hint="eastAsia"/>
                      <w:color w:val="000000" w:themeColor="text1"/>
                      <w:szCs w:val="21"/>
                      <w14:textFill>
                        <w14:solidFill>
                          <w14:schemeClr w14:val="tx1"/>
                        </w14:solidFill>
                      </w14:textFill>
                    </w:rPr>
                    <w:t>用纯</w:t>
                  </w:r>
                  <w:r>
                    <w:rPr>
                      <w:color w:val="000000" w:themeColor="text1"/>
                      <w:szCs w:val="21"/>
                      <w14:textFill>
                        <w14:solidFill>
                          <w14:schemeClr w14:val="tx1"/>
                        </w14:solidFill>
                      </w14:textFill>
                    </w:rPr>
                    <w:t>水</w:t>
                  </w:r>
                </w:p>
              </w:tc>
              <w:tc>
                <w:tcPr>
                  <w:tcW w:w="444" w:type="pct"/>
                  <w:vAlign w:val="center"/>
                </w:tcPr>
                <w:p w14:paraId="5B0504F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白酒</w:t>
                  </w:r>
                </w:p>
              </w:tc>
              <w:tc>
                <w:tcPr>
                  <w:tcW w:w="576" w:type="pct"/>
                  <w:vAlign w:val="center"/>
                </w:tcPr>
                <w:p w14:paraId="4C627F1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2159</w:t>
                  </w:r>
                  <w:r>
                    <w:rPr>
                      <w:rFonts w:hint="eastAsia"/>
                      <w:color w:val="000000" w:themeColor="text1"/>
                      <w:szCs w:val="21"/>
                      <w14:textFill>
                        <w14:solidFill>
                          <w14:schemeClr w14:val="tx1"/>
                        </w14:solidFill>
                      </w14:textFill>
                    </w:rPr>
                    <w:t>34</w:t>
                  </w:r>
                  <w:r>
                    <w:rPr>
                      <w:color w:val="000000" w:themeColor="text1"/>
                      <w:szCs w:val="21"/>
                      <w14:textFill>
                        <w14:solidFill>
                          <w14:schemeClr w14:val="tx1"/>
                        </w14:solidFill>
                      </w14:textFill>
                    </w:rPr>
                    <w:t>个/a</w:t>
                  </w:r>
                </w:p>
              </w:tc>
              <w:tc>
                <w:tcPr>
                  <w:tcW w:w="1533" w:type="pct"/>
                  <w:gridSpan w:val="2"/>
                  <w:vAlign w:val="center"/>
                </w:tcPr>
                <w:p w14:paraId="3896596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400mL/个</w:t>
                  </w:r>
                </w:p>
              </w:tc>
              <w:tc>
                <w:tcPr>
                  <w:tcW w:w="661" w:type="pct"/>
                  <w:vAlign w:val="center"/>
                </w:tcPr>
                <w:p w14:paraId="488F15A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0.379</w:t>
                  </w:r>
                </w:p>
              </w:tc>
              <w:tc>
                <w:tcPr>
                  <w:tcW w:w="626" w:type="pct"/>
                  <w:vAlign w:val="center"/>
                </w:tcPr>
                <w:p w14:paraId="190B96E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86.374</w:t>
                  </w:r>
                </w:p>
              </w:tc>
            </w:tr>
            <w:tr w14:paraId="38CA0CE8">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5447E9B3">
                  <w:pPr>
                    <w:jc w:val="center"/>
                    <w:rPr>
                      <w:color w:val="000000" w:themeColor="text1"/>
                      <w:szCs w:val="21"/>
                      <w14:textFill>
                        <w14:solidFill>
                          <w14:schemeClr w14:val="tx1"/>
                        </w14:solidFill>
                      </w14:textFill>
                    </w:rPr>
                  </w:pPr>
                </w:p>
              </w:tc>
              <w:tc>
                <w:tcPr>
                  <w:tcW w:w="325" w:type="pct"/>
                  <w:vMerge w:val="continue"/>
                  <w:vAlign w:val="center"/>
                </w:tcPr>
                <w:p w14:paraId="5982C0C8">
                  <w:pPr>
                    <w:jc w:val="center"/>
                    <w:rPr>
                      <w:color w:val="000000" w:themeColor="text1"/>
                      <w:szCs w:val="21"/>
                      <w14:textFill>
                        <w14:solidFill>
                          <w14:schemeClr w14:val="tx1"/>
                        </w14:solidFill>
                      </w14:textFill>
                    </w:rPr>
                  </w:pPr>
                </w:p>
              </w:tc>
              <w:tc>
                <w:tcPr>
                  <w:tcW w:w="440" w:type="pct"/>
                  <w:vMerge w:val="continue"/>
                  <w:vAlign w:val="center"/>
                </w:tcPr>
                <w:p w14:paraId="7DB31202">
                  <w:pPr>
                    <w:jc w:val="center"/>
                    <w:rPr>
                      <w:color w:val="000000" w:themeColor="text1"/>
                      <w:szCs w:val="21"/>
                      <w14:textFill>
                        <w14:solidFill>
                          <w14:schemeClr w14:val="tx1"/>
                        </w14:solidFill>
                      </w14:textFill>
                    </w:rPr>
                  </w:pPr>
                </w:p>
              </w:tc>
              <w:tc>
                <w:tcPr>
                  <w:tcW w:w="444" w:type="pct"/>
                  <w:vAlign w:val="center"/>
                </w:tcPr>
                <w:p w14:paraId="51A1C46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w:t>
                  </w:r>
                </w:p>
              </w:tc>
              <w:tc>
                <w:tcPr>
                  <w:tcW w:w="576" w:type="pct"/>
                  <w:vAlign w:val="center"/>
                </w:tcPr>
                <w:p w14:paraId="794174D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408</w:t>
                  </w:r>
                  <w:r>
                    <w:rPr>
                      <w:rFonts w:hint="eastAsia"/>
                      <w:color w:val="000000" w:themeColor="text1"/>
                      <w:szCs w:val="21"/>
                      <w14:textFill>
                        <w14:solidFill>
                          <w14:schemeClr w14:val="tx1"/>
                        </w14:solidFill>
                      </w14:textFill>
                    </w:rPr>
                    <w:t>512</w:t>
                  </w:r>
                  <w:r>
                    <w:rPr>
                      <w:color w:val="000000" w:themeColor="text1"/>
                      <w:szCs w:val="21"/>
                      <w14:textFill>
                        <w14:solidFill>
                          <w14:schemeClr w14:val="tx1"/>
                        </w14:solidFill>
                      </w14:textFill>
                    </w:rPr>
                    <w:t>个/a</w:t>
                  </w:r>
                </w:p>
              </w:tc>
              <w:tc>
                <w:tcPr>
                  <w:tcW w:w="1533" w:type="pct"/>
                  <w:gridSpan w:val="2"/>
                  <w:vAlign w:val="center"/>
                </w:tcPr>
                <w:p w14:paraId="1341A69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400mL/个</w:t>
                  </w:r>
                </w:p>
              </w:tc>
              <w:tc>
                <w:tcPr>
                  <w:tcW w:w="661" w:type="pct"/>
                  <w:vAlign w:val="center"/>
                </w:tcPr>
                <w:p w14:paraId="168B371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0.717</w:t>
                  </w:r>
                </w:p>
              </w:tc>
              <w:tc>
                <w:tcPr>
                  <w:tcW w:w="626" w:type="pct"/>
                  <w:vAlign w:val="center"/>
                </w:tcPr>
                <w:p w14:paraId="1EA677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163.405</w:t>
                  </w:r>
                </w:p>
              </w:tc>
            </w:tr>
            <w:tr w14:paraId="14D3AA3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51515097">
                  <w:pPr>
                    <w:jc w:val="center"/>
                    <w:rPr>
                      <w:color w:val="000000" w:themeColor="text1"/>
                      <w:szCs w:val="21"/>
                      <w14:textFill>
                        <w14:solidFill>
                          <w14:schemeClr w14:val="tx1"/>
                        </w14:solidFill>
                      </w14:textFill>
                    </w:rPr>
                  </w:pPr>
                </w:p>
              </w:tc>
              <w:tc>
                <w:tcPr>
                  <w:tcW w:w="325" w:type="pct"/>
                  <w:vMerge w:val="continue"/>
                  <w:vAlign w:val="center"/>
                </w:tcPr>
                <w:p w14:paraId="42C74FF3">
                  <w:pPr>
                    <w:jc w:val="center"/>
                    <w:rPr>
                      <w:color w:val="000000" w:themeColor="text1"/>
                      <w:szCs w:val="21"/>
                      <w14:textFill>
                        <w14:solidFill>
                          <w14:schemeClr w14:val="tx1"/>
                        </w14:solidFill>
                      </w14:textFill>
                    </w:rPr>
                  </w:pPr>
                </w:p>
              </w:tc>
              <w:tc>
                <w:tcPr>
                  <w:tcW w:w="440" w:type="pct"/>
                  <w:vMerge w:val="continue"/>
                  <w:vAlign w:val="center"/>
                </w:tcPr>
                <w:p w14:paraId="44DD2628">
                  <w:pPr>
                    <w:jc w:val="center"/>
                    <w:rPr>
                      <w:color w:val="000000" w:themeColor="text1"/>
                      <w:szCs w:val="21"/>
                      <w14:textFill>
                        <w14:solidFill>
                          <w14:schemeClr w14:val="tx1"/>
                        </w14:solidFill>
                      </w14:textFill>
                    </w:rPr>
                  </w:pPr>
                </w:p>
              </w:tc>
              <w:tc>
                <w:tcPr>
                  <w:tcW w:w="444" w:type="pct"/>
                  <w:vAlign w:val="center"/>
                </w:tcPr>
                <w:p w14:paraId="6FA4EB6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啤酒</w:t>
                  </w:r>
                </w:p>
              </w:tc>
              <w:tc>
                <w:tcPr>
                  <w:tcW w:w="576" w:type="pct"/>
                  <w:vAlign w:val="center"/>
                </w:tcPr>
                <w:p w14:paraId="5F51883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36</w:t>
                  </w:r>
                  <w:r>
                    <w:rPr>
                      <w:rFonts w:hint="eastAsia"/>
                      <w:color w:val="000000" w:themeColor="text1"/>
                      <w:szCs w:val="21"/>
                      <w14:textFill>
                        <w14:solidFill>
                          <w14:schemeClr w14:val="tx1"/>
                        </w14:solidFill>
                      </w14:textFill>
                    </w:rPr>
                    <w:t>5622</w:t>
                  </w:r>
                  <w:r>
                    <w:rPr>
                      <w:color w:val="000000" w:themeColor="text1"/>
                      <w:szCs w:val="21"/>
                      <w14:textFill>
                        <w14:solidFill>
                          <w14:schemeClr w14:val="tx1"/>
                        </w14:solidFill>
                      </w14:textFill>
                    </w:rPr>
                    <w:t>个/a</w:t>
                  </w:r>
                </w:p>
              </w:tc>
              <w:tc>
                <w:tcPr>
                  <w:tcW w:w="1533" w:type="pct"/>
                  <w:gridSpan w:val="2"/>
                  <w:vAlign w:val="center"/>
                </w:tcPr>
                <w:p w14:paraId="71E265A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500mL/个</w:t>
                  </w:r>
                </w:p>
              </w:tc>
              <w:tc>
                <w:tcPr>
                  <w:tcW w:w="661" w:type="pct"/>
                  <w:vAlign w:val="center"/>
                </w:tcPr>
                <w:p w14:paraId="6C7BB61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0.802</w:t>
                  </w:r>
                </w:p>
              </w:tc>
              <w:tc>
                <w:tcPr>
                  <w:tcW w:w="626" w:type="pct"/>
                  <w:vAlign w:val="center"/>
                </w:tcPr>
                <w:p w14:paraId="46F4A06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182.811</w:t>
                  </w:r>
                </w:p>
              </w:tc>
            </w:tr>
            <w:tr w14:paraId="01102DD2">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1766A6A5">
                  <w:pPr>
                    <w:jc w:val="center"/>
                    <w:rPr>
                      <w:color w:val="000000" w:themeColor="text1"/>
                      <w:szCs w:val="21"/>
                      <w14:textFill>
                        <w14:solidFill>
                          <w14:schemeClr w14:val="tx1"/>
                        </w14:solidFill>
                      </w14:textFill>
                    </w:rPr>
                  </w:pPr>
                </w:p>
              </w:tc>
              <w:tc>
                <w:tcPr>
                  <w:tcW w:w="325" w:type="pct"/>
                  <w:vMerge w:val="continue"/>
                  <w:vAlign w:val="center"/>
                </w:tcPr>
                <w:p w14:paraId="38C3F96E">
                  <w:pPr>
                    <w:jc w:val="center"/>
                    <w:rPr>
                      <w:color w:val="000000" w:themeColor="text1"/>
                      <w:szCs w:val="21"/>
                      <w14:textFill>
                        <w14:solidFill>
                          <w14:schemeClr w14:val="tx1"/>
                        </w14:solidFill>
                      </w14:textFill>
                    </w:rPr>
                  </w:pPr>
                </w:p>
              </w:tc>
              <w:tc>
                <w:tcPr>
                  <w:tcW w:w="440" w:type="pct"/>
                  <w:vMerge w:val="continue"/>
                  <w:vAlign w:val="center"/>
                </w:tcPr>
                <w:p w14:paraId="6118BB0C">
                  <w:pPr>
                    <w:jc w:val="center"/>
                    <w:rPr>
                      <w:color w:val="000000" w:themeColor="text1"/>
                      <w:szCs w:val="21"/>
                      <w14:textFill>
                        <w14:solidFill>
                          <w14:schemeClr w14:val="tx1"/>
                        </w14:solidFill>
                      </w14:textFill>
                    </w:rPr>
                  </w:pPr>
                </w:p>
              </w:tc>
              <w:tc>
                <w:tcPr>
                  <w:tcW w:w="444" w:type="pct"/>
                  <w:vAlign w:val="center"/>
                </w:tcPr>
                <w:p w14:paraId="29AC985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果酒</w:t>
                  </w:r>
                </w:p>
              </w:tc>
              <w:tc>
                <w:tcPr>
                  <w:tcW w:w="576" w:type="pct"/>
                  <w:vAlign w:val="center"/>
                </w:tcPr>
                <w:p w14:paraId="3EBB8F6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269</w:t>
                  </w:r>
                  <w:r>
                    <w:rPr>
                      <w:rFonts w:hint="eastAsia"/>
                      <w:color w:val="000000" w:themeColor="text1"/>
                      <w:szCs w:val="21"/>
                      <w14:textFill>
                        <w14:solidFill>
                          <w14:schemeClr w14:val="tx1"/>
                        </w14:solidFill>
                      </w14:textFill>
                    </w:rPr>
                    <w:t>434</w:t>
                  </w:r>
                  <w:r>
                    <w:rPr>
                      <w:color w:val="000000" w:themeColor="text1"/>
                      <w:szCs w:val="21"/>
                      <w14:textFill>
                        <w14:solidFill>
                          <w14:schemeClr w14:val="tx1"/>
                        </w14:solidFill>
                      </w14:textFill>
                    </w:rPr>
                    <w:t>个/a</w:t>
                  </w:r>
                </w:p>
              </w:tc>
              <w:tc>
                <w:tcPr>
                  <w:tcW w:w="1533" w:type="pct"/>
                  <w:gridSpan w:val="2"/>
                  <w:vAlign w:val="center"/>
                </w:tcPr>
                <w:p w14:paraId="69A2516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700mL/个</w:t>
                  </w:r>
                </w:p>
              </w:tc>
              <w:tc>
                <w:tcPr>
                  <w:tcW w:w="661" w:type="pct"/>
                  <w:vAlign w:val="center"/>
                </w:tcPr>
                <w:p w14:paraId="50CE241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0.827</w:t>
                  </w:r>
                </w:p>
              </w:tc>
              <w:tc>
                <w:tcPr>
                  <w:tcW w:w="626" w:type="pct"/>
                  <w:vAlign w:val="center"/>
                </w:tcPr>
                <w:p w14:paraId="2E5F71F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188.604</w:t>
                  </w:r>
                </w:p>
              </w:tc>
            </w:tr>
            <w:tr w14:paraId="13BF5840">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3D3336E1">
                  <w:pPr>
                    <w:jc w:val="center"/>
                    <w:rPr>
                      <w:color w:val="000000" w:themeColor="text1"/>
                      <w:szCs w:val="21"/>
                      <w14:textFill>
                        <w14:solidFill>
                          <w14:schemeClr w14:val="tx1"/>
                        </w14:solidFill>
                      </w14:textFill>
                    </w:rPr>
                  </w:pPr>
                </w:p>
              </w:tc>
              <w:tc>
                <w:tcPr>
                  <w:tcW w:w="325" w:type="pct"/>
                  <w:vMerge w:val="continue"/>
                  <w:vAlign w:val="center"/>
                </w:tcPr>
                <w:p w14:paraId="79EDEA2D">
                  <w:pPr>
                    <w:jc w:val="center"/>
                    <w:rPr>
                      <w:color w:val="000000" w:themeColor="text1"/>
                      <w:szCs w:val="21"/>
                      <w14:textFill>
                        <w14:solidFill>
                          <w14:schemeClr w14:val="tx1"/>
                        </w14:solidFill>
                      </w14:textFill>
                    </w:rPr>
                  </w:pPr>
                </w:p>
              </w:tc>
              <w:tc>
                <w:tcPr>
                  <w:tcW w:w="440" w:type="pct"/>
                  <w:vMerge w:val="continue"/>
                  <w:vAlign w:val="center"/>
                </w:tcPr>
                <w:p w14:paraId="04AC07D8">
                  <w:pPr>
                    <w:jc w:val="center"/>
                    <w:rPr>
                      <w:color w:val="000000" w:themeColor="text1"/>
                      <w:szCs w:val="21"/>
                      <w14:textFill>
                        <w14:solidFill>
                          <w14:schemeClr w14:val="tx1"/>
                        </w14:solidFill>
                      </w14:textFill>
                    </w:rPr>
                  </w:pPr>
                </w:p>
              </w:tc>
              <w:tc>
                <w:tcPr>
                  <w:tcW w:w="444" w:type="pct"/>
                  <w:vAlign w:val="center"/>
                </w:tcPr>
                <w:p w14:paraId="5F982C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植物饮料</w:t>
                  </w:r>
                </w:p>
              </w:tc>
              <w:tc>
                <w:tcPr>
                  <w:tcW w:w="576" w:type="pct"/>
                  <w:vAlign w:val="center"/>
                </w:tcPr>
                <w:p w14:paraId="0162570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1923077</w:t>
                  </w:r>
                  <w:r>
                    <w:rPr>
                      <w:color w:val="000000" w:themeColor="text1"/>
                      <w:szCs w:val="21"/>
                      <w14:textFill>
                        <w14:solidFill>
                          <w14:schemeClr w14:val="tx1"/>
                        </w14:solidFill>
                      </w14:textFill>
                    </w:rPr>
                    <w:t>个/a</w:t>
                  </w:r>
                </w:p>
              </w:tc>
              <w:tc>
                <w:tcPr>
                  <w:tcW w:w="1533" w:type="pct"/>
                  <w:gridSpan w:val="2"/>
                  <w:vAlign w:val="center"/>
                </w:tcPr>
                <w:p w14:paraId="47C8F35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100mL/个</w:t>
                  </w:r>
                </w:p>
              </w:tc>
              <w:tc>
                <w:tcPr>
                  <w:tcW w:w="661" w:type="pct"/>
                  <w:vAlign w:val="center"/>
                </w:tcPr>
                <w:p w14:paraId="5E41259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0.843</w:t>
                  </w:r>
                </w:p>
              </w:tc>
              <w:tc>
                <w:tcPr>
                  <w:tcW w:w="626" w:type="pct"/>
                  <w:vAlign w:val="center"/>
                </w:tcPr>
                <w:p w14:paraId="59FC6B4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192.308</w:t>
                  </w:r>
                </w:p>
              </w:tc>
            </w:tr>
            <w:tr w14:paraId="084F9631">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bottom w:val="nil"/>
                  </w:tcBorders>
                  <w:vAlign w:val="center"/>
                </w:tcPr>
                <w:p w14:paraId="67E5FDF6">
                  <w:pPr>
                    <w:jc w:val="center"/>
                    <w:rPr>
                      <w:color w:val="000000" w:themeColor="text1"/>
                      <w:szCs w:val="21"/>
                      <w14:textFill>
                        <w14:solidFill>
                          <w14:schemeClr w14:val="tx1"/>
                        </w14:solidFill>
                      </w14:textFill>
                    </w:rPr>
                  </w:pPr>
                </w:p>
              </w:tc>
              <w:tc>
                <w:tcPr>
                  <w:tcW w:w="325" w:type="pct"/>
                  <w:vAlign w:val="center"/>
                </w:tcPr>
                <w:p w14:paraId="3CDA6EB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③</w:t>
                  </w:r>
                </w:p>
              </w:tc>
              <w:tc>
                <w:tcPr>
                  <w:tcW w:w="884" w:type="pct"/>
                  <w:gridSpan w:val="2"/>
                  <w:vAlign w:val="center"/>
                </w:tcPr>
                <w:p w14:paraId="7B550D6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纯水制备用水</w:t>
                  </w:r>
                </w:p>
              </w:tc>
              <w:tc>
                <w:tcPr>
                  <w:tcW w:w="576" w:type="pct"/>
                  <w:vAlign w:val="center"/>
                </w:tcPr>
                <w:p w14:paraId="0FAF28F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533" w:type="pct"/>
                  <w:gridSpan w:val="2"/>
                  <w:vAlign w:val="center"/>
                </w:tcPr>
                <w:p w14:paraId="43F49D2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r>
                    <w:rPr>
                      <w:rFonts w:hint="eastAsia"/>
                      <w:color w:val="000000" w:themeColor="text1"/>
                      <w:szCs w:val="21"/>
                      <w14:textFill>
                        <w14:solidFill>
                          <w14:schemeClr w14:val="tx1"/>
                        </w14:solidFill>
                      </w14:textFill>
                    </w:rPr>
                    <w:t>7</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rFonts w:hint="eastAsia"/>
                      <w:color w:val="000000" w:themeColor="text1"/>
                      <w:szCs w:val="21"/>
                      <w:vertAlign w:val="baseline"/>
                      <w:lang w:val="en-US" w:eastAsia="zh-CN"/>
                      <w14:textFill>
                        <w14:solidFill>
                          <w14:schemeClr w14:val="tx1"/>
                        </w14:solidFill>
                      </w14:textFill>
                    </w:rPr>
                    <w:t>新鲜</w:t>
                  </w:r>
                  <w:r>
                    <w:rPr>
                      <w:color w:val="000000" w:themeColor="text1"/>
                      <w:szCs w:val="21"/>
                      <w14:textFill>
                        <w14:solidFill>
                          <w14:schemeClr w14:val="tx1"/>
                        </w14:solidFill>
                      </w14:textFill>
                    </w:rPr>
                    <w:t>水</w:t>
                  </w:r>
                </w:p>
              </w:tc>
              <w:tc>
                <w:tcPr>
                  <w:tcW w:w="661" w:type="pct"/>
                  <w:vAlign w:val="center"/>
                </w:tcPr>
                <w:p w14:paraId="6F949796">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17.7</w:t>
                  </w:r>
                  <w:r>
                    <w:rPr>
                      <w:rFonts w:hint="eastAsia"/>
                      <w:color w:val="000000" w:themeColor="text1"/>
                      <w:szCs w:val="21"/>
                      <w:lang w:val="en-US" w:eastAsia="zh-CN"/>
                      <w14:textFill>
                        <w14:solidFill>
                          <w14:schemeClr w14:val="tx1"/>
                        </w14:solidFill>
                      </w14:textFill>
                    </w:rPr>
                    <w:t>63</w:t>
                  </w:r>
                </w:p>
              </w:tc>
              <w:tc>
                <w:tcPr>
                  <w:tcW w:w="626" w:type="pct"/>
                  <w:vAlign w:val="center"/>
                </w:tcPr>
                <w:p w14:paraId="68B0D4B1">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14:textFill>
                        <w14:solidFill>
                          <w14:schemeClr w14:val="tx1"/>
                        </w14:solidFill>
                      </w14:textFill>
                    </w:rPr>
                    <w:t>404</w:t>
                  </w:r>
                  <w:r>
                    <w:rPr>
                      <w:rFonts w:hint="eastAsia"/>
                      <w:color w:val="000000" w:themeColor="text1"/>
                      <w:szCs w:val="21"/>
                      <w:lang w:val="en-US" w:eastAsia="zh-CN"/>
                      <w14:textFill>
                        <w14:solidFill>
                          <w14:schemeClr w14:val="tx1"/>
                        </w14:solidFill>
                      </w14:textFill>
                    </w:rPr>
                    <w:t>9.976</w:t>
                  </w:r>
                </w:p>
              </w:tc>
            </w:tr>
            <w:tr w14:paraId="18EFA477">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tcBorders>
                  <w:vAlign w:val="center"/>
                </w:tcPr>
                <w:p w14:paraId="2BB12A5F">
                  <w:pPr>
                    <w:jc w:val="center"/>
                    <w:rPr>
                      <w:color w:val="000000" w:themeColor="text1"/>
                      <w:szCs w:val="21"/>
                      <w14:textFill>
                        <w14:solidFill>
                          <w14:schemeClr w14:val="tx1"/>
                        </w14:solidFill>
                      </w14:textFill>
                    </w:rPr>
                  </w:pPr>
                </w:p>
              </w:tc>
              <w:tc>
                <w:tcPr>
                  <w:tcW w:w="325" w:type="pct"/>
                  <w:vMerge w:val="restart"/>
                  <w:vAlign w:val="center"/>
                </w:tcPr>
                <w:p w14:paraId="1A70048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④</w:t>
                  </w:r>
                </w:p>
              </w:tc>
              <w:tc>
                <w:tcPr>
                  <w:tcW w:w="440" w:type="pct"/>
                  <w:vMerge w:val="restart"/>
                  <w:vAlign w:val="center"/>
                </w:tcPr>
                <w:p w14:paraId="47E760A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冷却用水</w:t>
                  </w:r>
                </w:p>
              </w:tc>
              <w:tc>
                <w:tcPr>
                  <w:tcW w:w="444" w:type="pct"/>
                  <w:vAlign w:val="center"/>
                </w:tcPr>
                <w:p w14:paraId="559016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白酒</w:t>
                  </w:r>
                </w:p>
              </w:tc>
              <w:tc>
                <w:tcPr>
                  <w:tcW w:w="576" w:type="pct"/>
                  <w:vAlign w:val="center"/>
                </w:tcPr>
                <w:p w14:paraId="0EC32E6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77.532t</w:t>
                  </w:r>
                </w:p>
              </w:tc>
              <w:tc>
                <w:tcPr>
                  <w:tcW w:w="1533" w:type="pct"/>
                  <w:gridSpan w:val="2"/>
                  <w:vAlign w:val="center"/>
                </w:tcPr>
                <w:p w14:paraId="258B0C6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0.75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/t-基酒</w:t>
                  </w:r>
                </w:p>
              </w:tc>
              <w:tc>
                <w:tcPr>
                  <w:tcW w:w="661" w:type="pct"/>
                  <w:vAlign w:val="center"/>
                </w:tcPr>
                <w:p w14:paraId="73690E0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0.255</w:t>
                  </w:r>
                </w:p>
              </w:tc>
              <w:tc>
                <w:tcPr>
                  <w:tcW w:w="626" w:type="pct"/>
                  <w:vAlign w:val="center"/>
                </w:tcPr>
                <w:p w14:paraId="3565485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58.149</w:t>
                  </w:r>
                </w:p>
              </w:tc>
            </w:tr>
            <w:tr w14:paraId="21412953">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tcBorders>
                  <w:vAlign w:val="center"/>
                </w:tcPr>
                <w:p w14:paraId="19EEEB90">
                  <w:pPr>
                    <w:jc w:val="center"/>
                    <w:rPr>
                      <w:color w:val="000000" w:themeColor="text1"/>
                      <w:szCs w:val="21"/>
                      <w14:textFill>
                        <w14:solidFill>
                          <w14:schemeClr w14:val="tx1"/>
                        </w14:solidFill>
                      </w14:textFill>
                    </w:rPr>
                  </w:pPr>
                </w:p>
              </w:tc>
              <w:tc>
                <w:tcPr>
                  <w:tcW w:w="325" w:type="pct"/>
                  <w:vMerge w:val="continue"/>
                  <w:vAlign w:val="center"/>
                </w:tcPr>
                <w:p w14:paraId="1CA9586D">
                  <w:pPr>
                    <w:jc w:val="center"/>
                    <w:rPr>
                      <w:color w:val="000000" w:themeColor="text1"/>
                      <w:szCs w:val="21"/>
                      <w14:textFill>
                        <w14:solidFill>
                          <w14:schemeClr w14:val="tx1"/>
                        </w14:solidFill>
                      </w14:textFill>
                    </w:rPr>
                  </w:pPr>
                </w:p>
              </w:tc>
              <w:tc>
                <w:tcPr>
                  <w:tcW w:w="440" w:type="pct"/>
                  <w:vMerge w:val="continue"/>
                  <w:vAlign w:val="center"/>
                </w:tcPr>
                <w:p w14:paraId="78582B90">
                  <w:pPr>
                    <w:jc w:val="center"/>
                    <w:rPr>
                      <w:color w:val="000000" w:themeColor="text1"/>
                      <w:szCs w:val="21"/>
                      <w14:textFill>
                        <w14:solidFill>
                          <w14:schemeClr w14:val="tx1"/>
                        </w14:solidFill>
                      </w14:textFill>
                    </w:rPr>
                  </w:pPr>
                </w:p>
              </w:tc>
              <w:tc>
                <w:tcPr>
                  <w:tcW w:w="444" w:type="pct"/>
                  <w:vAlign w:val="center"/>
                </w:tcPr>
                <w:p w14:paraId="0293EBA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啤酒</w:t>
                  </w:r>
                </w:p>
              </w:tc>
              <w:tc>
                <w:tcPr>
                  <w:tcW w:w="576" w:type="pct"/>
                  <w:vAlign w:val="center"/>
                </w:tcPr>
                <w:p w14:paraId="75044A1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200t</w:t>
                  </w:r>
                </w:p>
              </w:tc>
              <w:tc>
                <w:tcPr>
                  <w:tcW w:w="1533" w:type="pct"/>
                  <w:gridSpan w:val="2"/>
                  <w:vAlign w:val="center"/>
                </w:tcPr>
                <w:p w14:paraId="3DAEB78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0.75</w:t>
                  </w:r>
                  <w:r>
                    <w:rPr>
                      <w:rFonts w:hint="eastAsia"/>
                      <w:color w:val="000000" w:themeColor="text1"/>
                      <w14:textFill>
                        <w14:solidFill>
                          <w14:schemeClr w14:val="tx1"/>
                        </w14:solidFill>
                      </w14:textFill>
                    </w:rPr>
                    <w:t>m</w:t>
                  </w:r>
                  <w:r>
                    <w:rPr>
                      <w:rFonts w:hint="eastAsia"/>
                      <w:color w:val="000000" w:themeColor="text1"/>
                      <w:vertAlign w:val="superscript"/>
                      <w14:textFill>
                        <w14:solidFill>
                          <w14:schemeClr w14:val="tx1"/>
                        </w14:solidFill>
                      </w14:textFill>
                    </w:rPr>
                    <w:t>3</w:t>
                  </w:r>
                  <w:r>
                    <w:rPr>
                      <w:rFonts w:hint="eastAsia"/>
                      <w:color w:val="000000" w:themeColor="text1"/>
                      <w14:textFill>
                        <w14:solidFill>
                          <w14:schemeClr w14:val="tx1"/>
                        </w14:solidFill>
                      </w14:textFill>
                    </w:rPr>
                    <w:t>/t-基酒</w:t>
                  </w:r>
                </w:p>
              </w:tc>
              <w:tc>
                <w:tcPr>
                  <w:tcW w:w="661" w:type="pct"/>
                  <w:vAlign w:val="center"/>
                </w:tcPr>
                <w:p w14:paraId="5513127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0.658</w:t>
                  </w:r>
                </w:p>
              </w:tc>
              <w:tc>
                <w:tcPr>
                  <w:tcW w:w="626" w:type="pct"/>
                  <w:vAlign w:val="center"/>
                </w:tcPr>
                <w:p w14:paraId="10EC08C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150.0</w:t>
                  </w:r>
                </w:p>
              </w:tc>
            </w:tr>
            <w:tr w14:paraId="0BCC3F9D">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Merge w:val="continue"/>
                  <w:tcBorders>
                    <w:top w:val="nil"/>
                  </w:tcBorders>
                  <w:vAlign w:val="center"/>
                </w:tcPr>
                <w:p w14:paraId="387B43F1">
                  <w:pPr>
                    <w:jc w:val="center"/>
                    <w:rPr>
                      <w:color w:val="000000" w:themeColor="text1"/>
                      <w:szCs w:val="21"/>
                      <w14:textFill>
                        <w14:solidFill>
                          <w14:schemeClr w14:val="tx1"/>
                        </w14:solidFill>
                      </w14:textFill>
                    </w:rPr>
                  </w:pPr>
                </w:p>
              </w:tc>
              <w:tc>
                <w:tcPr>
                  <w:tcW w:w="325" w:type="pct"/>
                  <w:vAlign w:val="center"/>
                </w:tcPr>
                <w:p w14:paraId="4959002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⑤</w:t>
                  </w:r>
                </w:p>
              </w:tc>
              <w:tc>
                <w:tcPr>
                  <w:tcW w:w="884" w:type="pct"/>
                  <w:gridSpan w:val="2"/>
                  <w:vAlign w:val="center"/>
                </w:tcPr>
                <w:p w14:paraId="248C08A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化验室用水</w:t>
                  </w:r>
                </w:p>
              </w:tc>
              <w:tc>
                <w:tcPr>
                  <w:tcW w:w="576" w:type="pct"/>
                  <w:vAlign w:val="center"/>
                </w:tcPr>
                <w:p w14:paraId="28991AB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533" w:type="pct"/>
                  <w:gridSpan w:val="2"/>
                  <w:vAlign w:val="center"/>
                </w:tcPr>
                <w:p w14:paraId="2189314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/d</w:t>
                  </w:r>
                </w:p>
              </w:tc>
              <w:tc>
                <w:tcPr>
                  <w:tcW w:w="661" w:type="pct"/>
                  <w:vAlign w:val="center"/>
                </w:tcPr>
                <w:p w14:paraId="24D0F43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w:t>
                  </w:r>
                </w:p>
              </w:tc>
              <w:tc>
                <w:tcPr>
                  <w:tcW w:w="626" w:type="pct"/>
                  <w:vAlign w:val="center"/>
                </w:tcPr>
                <w:p w14:paraId="0ED30AB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22.8</w:t>
                  </w:r>
                </w:p>
              </w:tc>
            </w:tr>
            <w:tr w14:paraId="4996E506">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392" w:type="pct"/>
                  <w:vAlign w:val="center"/>
                </w:tcPr>
                <w:p w14:paraId="48A3BE0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210" w:type="pct"/>
                  <w:gridSpan w:val="3"/>
                  <w:vAlign w:val="center"/>
                </w:tcPr>
                <w:p w14:paraId="7C667B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其他用水</w:t>
                  </w:r>
                  <w:r>
                    <w:rPr>
                      <w:rFonts w:hint="eastAsia"/>
                      <w:color w:val="000000" w:themeColor="text1"/>
                      <w:szCs w:val="21"/>
                      <w14:textFill>
                        <w14:solidFill>
                          <w14:schemeClr w14:val="tx1"/>
                        </w14:solidFill>
                      </w14:textFill>
                    </w:rPr>
                    <w:t>（职工生活）</w:t>
                  </w:r>
                </w:p>
              </w:tc>
              <w:tc>
                <w:tcPr>
                  <w:tcW w:w="576" w:type="pct"/>
                  <w:vAlign w:val="center"/>
                </w:tcPr>
                <w:p w14:paraId="013DEC4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45人，228d</w:t>
                  </w:r>
                </w:p>
              </w:tc>
              <w:tc>
                <w:tcPr>
                  <w:tcW w:w="1533" w:type="pct"/>
                  <w:gridSpan w:val="2"/>
                  <w:vAlign w:val="center"/>
                </w:tcPr>
                <w:p w14:paraId="3C1811E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50L/（人·d）</w:t>
                  </w:r>
                </w:p>
              </w:tc>
              <w:tc>
                <w:tcPr>
                  <w:tcW w:w="661" w:type="pct"/>
                  <w:vAlign w:val="center"/>
                </w:tcPr>
                <w:p w14:paraId="313714E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2.25</w:t>
                  </w:r>
                </w:p>
              </w:tc>
              <w:tc>
                <w:tcPr>
                  <w:tcW w:w="626" w:type="pct"/>
                  <w:vAlign w:val="center"/>
                </w:tcPr>
                <w:p w14:paraId="7900642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513</w:t>
                  </w:r>
                  <w:r>
                    <w:rPr>
                      <w:rFonts w:hint="eastAsia"/>
                      <w:color w:val="000000" w:themeColor="text1"/>
                      <w:szCs w:val="21"/>
                      <w14:textFill>
                        <w14:solidFill>
                          <w14:schemeClr w14:val="tx1"/>
                        </w14:solidFill>
                      </w14:textFill>
                    </w:rPr>
                    <w:t>.0</w:t>
                  </w:r>
                </w:p>
              </w:tc>
            </w:tr>
            <w:tr w14:paraId="33BEFC79">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000" w:type="pct"/>
                  <w:gridSpan w:val="9"/>
                  <w:vAlign w:val="center"/>
                </w:tcPr>
                <w:p w14:paraId="1D9AFED4">
                  <w:pPr>
                    <w:ind w:left="630" w:hanging="630" w:hangingChars="300"/>
                    <w:jc w:val="both"/>
                    <w:rPr>
                      <w:rFonts w:hint="eastAsia" w:cs="Times New Roman"/>
                      <w:color w:val="000000" w:themeColor="text1"/>
                      <w:spacing w:val="4"/>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注：</w:t>
                  </w:r>
                  <w:r>
                    <w:rPr>
                      <w:rFonts w:hint="eastAsia" w:cs="Times New Roman"/>
                      <w:color w:val="000000" w:themeColor="text1"/>
                      <w:spacing w:val="4"/>
                      <w:lang w:eastAsia="zh-CN"/>
                      <w14:textFill>
                        <w14:solidFill>
                          <w14:schemeClr w14:val="tx1"/>
                        </w14:solidFill>
                      </w14:textFill>
                    </w:rPr>
                    <w:t>【</w:t>
                  </w:r>
                  <w:r>
                    <w:rPr>
                      <w:rFonts w:hint="eastAsia" w:cs="Times New Roman"/>
                      <w:color w:val="000000" w:themeColor="text1"/>
                      <w:spacing w:val="4"/>
                      <w:lang w:val="en-US" w:eastAsia="zh-CN"/>
                      <w14:textFill>
                        <w14:solidFill>
                          <w14:schemeClr w14:val="tx1"/>
                        </w14:solidFill>
                      </w14:textFill>
                    </w:rPr>
                    <w:t>1】黄酒生产线糯米、小米总用量为79.65t/a，</w:t>
                  </w:r>
                  <w:r>
                    <w:rPr>
                      <w:rStyle w:val="67"/>
                      <w:rFonts w:hint="default"/>
                      <w:color w:val="000000" w:themeColor="text1"/>
                      <w:lang w:bidi="ar"/>
                      <w14:textFill>
                        <w14:solidFill>
                          <w14:schemeClr w14:val="tx1"/>
                        </w14:solidFill>
                      </w14:textFill>
                    </w:rPr>
                    <w:t>原料</w:t>
                  </w:r>
                  <w:r>
                    <w:rPr>
                      <w:rFonts w:hint="eastAsia" w:cs="Times New Roman"/>
                      <w:color w:val="000000" w:themeColor="text1"/>
                      <w:spacing w:val="4"/>
                      <w:lang w:val="en-US" w:eastAsia="zh-CN"/>
                      <w14:textFill>
                        <w14:solidFill>
                          <w14:schemeClr w14:val="tx1"/>
                        </w14:solidFill>
                      </w14:textFill>
                    </w:rPr>
                    <w:t>投料过程产生的粉尘为0.08t/a，因此浸米工序原料量为79.642t/a。</w:t>
                  </w:r>
                </w:p>
                <w:p w14:paraId="37A06E48">
                  <w:pPr>
                    <w:ind w:left="630" w:hanging="654" w:hangingChars="300"/>
                    <w:jc w:val="both"/>
                    <w:rPr>
                      <w:rFonts w:hint="default" w:cs="Times New Roman"/>
                      <w:color w:val="000000" w:themeColor="text1"/>
                      <w:spacing w:val="4"/>
                      <w:lang w:val="en-US" w:eastAsia="zh-CN"/>
                      <w14:textFill>
                        <w14:solidFill>
                          <w14:schemeClr w14:val="tx1"/>
                        </w14:solidFill>
                      </w14:textFill>
                    </w:rPr>
                  </w:pPr>
                  <w:r>
                    <w:rPr>
                      <w:rFonts w:hint="eastAsia" w:cs="Times New Roman"/>
                      <w:color w:val="000000" w:themeColor="text1"/>
                      <w:spacing w:val="4"/>
                      <w:lang w:val="en-US" w:eastAsia="zh-CN"/>
                      <w14:textFill>
                        <w14:solidFill>
                          <w14:schemeClr w14:val="tx1"/>
                        </w14:solidFill>
                      </w14:textFill>
                    </w:rPr>
                    <w:t xml:space="preserve">    【2】黄酒生产线浸米工序用水为79.642t/a，浸米过程损耗5%（约3.982t/a），则浸入蒸煮工序原料量为155.302t/a（其中，糯米、小米用量为79.642t/a，水量为75.660t/a），蒸煮后部分随着蒸汽损耗，另外一部分留在蒸煮后的米粒中，米粒含水率按45%左右计算。原料中糯米和小米中原有含水率12%左右。则经蒸煮后米粒中的总含水量为57.35t/a，物料总重量为127.43t/a（含水分量）。经蒸发的水量为27.872t/a。蒸煮后的米粒摊晾拌曲（酒曲用量为7.965t/a）过程损耗量为3.643t/a，摊晾拌曲后进入发酵工序原料量为131.752t/a。</w:t>
                  </w:r>
                </w:p>
              </w:tc>
            </w:tr>
          </w:tbl>
          <w:p w14:paraId="4A4CEE9D">
            <w:pPr>
              <w:widowControl/>
              <w:spacing w:line="360" w:lineRule="auto"/>
              <w:ind w:firstLine="480" w:firstLineChars="200"/>
              <w:rPr>
                <w:color w:val="000000" w:themeColor="text1"/>
                <w:kern w:val="0"/>
                <w:sz w:val="24"/>
                <w14:textFill>
                  <w14:solidFill>
                    <w14:schemeClr w14:val="tx1"/>
                  </w14:solidFill>
                </w14:textFill>
              </w:rPr>
            </w:pPr>
          </w:p>
        </w:tc>
      </w:tr>
    </w:tbl>
    <w:p w14:paraId="5CD41DB4">
      <w:pPr>
        <w:ind w:firstLine="1071"/>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5"/>
        <w:tblW w:w="505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31"/>
        <w:gridCol w:w="13699"/>
      </w:tblGrid>
      <w:tr w14:paraId="058CA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0" w:type="pct"/>
            <w:vAlign w:val="center"/>
          </w:tcPr>
          <w:p w14:paraId="61070F17">
            <w:pPr>
              <w:pStyle w:val="31"/>
              <w:rPr>
                <w:color w:val="000000" w:themeColor="text1"/>
                <w14:textFill>
                  <w14:solidFill>
                    <w14:schemeClr w14:val="tx1"/>
                  </w14:solidFill>
                </w14:textFill>
              </w:rPr>
            </w:pPr>
          </w:p>
        </w:tc>
        <w:tc>
          <w:tcPr>
            <w:tcW w:w="4779" w:type="pct"/>
          </w:tcPr>
          <w:p w14:paraId="686AF3F8">
            <w:pPr>
              <w:spacing w:line="360" w:lineRule="auto"/>
              <w:ind w:firstLine="482" w:firstLineChars="200"/>
              <w:rPr>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6.2排水</w:t>
            </w:r>
          </w:p>
          <w:p w14:paraId="66740DD9">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本项目各生产废水如下：</w:t>
            </w:r>
          </w:p>
          <w:p w14:paraId="25EB4491">
            <w:pPr>
              <w:spacing w:line="360" w:lineRule="auto"/>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表2-15  生产废水产生情况一览表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
              <w:gridCol w:w="2110"/>
              <w:gridCol w:w="1410"/>
              <w:gridCol w:w="1488"/>
              <w:gridCol w:w="1272"/>
              <w:gridCol w:w="1485"/>
              <w:gridCol w:w="1183"/>
              <w:gridCol w:w="1348"/>
              <w:gridCol w:w="1229"/>
              <w:gridCol w:w="1218"/>
            </w:tblGrid>
            <w:tr w14:paraId="02BB92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2" w:type="pct"/>
                  <w:gridSpan w:val="2"/>
                  <w:vAlign w:val="center"/>
                </w:tcPr>
                <w:p w14:paraId="67AFD36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名称</w:t>
                  </w:r>
                </w:p>
              </w:tc>
              <w:tc>
                <w:tcPr>
                  <w:tcW w:w="523" w:type="pct"/>
                  <w:vAlign w:val="center"/>
                </w:tcPr>
                <w:p w14:paraId="38B1536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废水量（m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/a）</w:t>
                  </w:r>
                </w:p>
              </w:tc>
              <w:tc>
                <w:tcPr>
                  <w:tcW w:w="552" w:type="pct"/>
                  <w:vAlign w:val="center"/>
                </w:tcPr>
                <w:p w14:paraId="6BB29B4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废水量（m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/d）</w:t>
                  </w:r>
                </w:p>
              </w:tc>
              <w:tc>
                <w:tcPr>
                  <w:tcW w:w="472" w:type="pct"/>
                  <w:vAlign w:val="center"/>
                </w:tcPr>
                <w:p w14:paraId="74EABD7A">
                  <w:pPr>
                    <w:jc w:val="center"/>
                    <w:rPr>
                      <w:color w:val="000000" w:themeColor="text1"/>
                      <w:szCs w:val="21"/>
                      <w14:textFill>
                        <w14:solidFill>
                          <w14:schemeClr w14:val="tx1"/>
                        </w14:solidFill>
                      </w14:textFill>
                    </w:rPr>
                  </w:pPr>
                  <w:r>
                    <w:rPr>
                      <w:rFonts w:ascii="Times" w:hAnsi="Times" w:eastAsia="Times" w:cs="Times"/>
                      <w:color w:val="000000" w:themeColor="text1"/>
                      <w:kern w:val="0"/>
                      <w:szCs w:val="21"/>
                      <w14:textFill>
                        <w14:solidFill>
                          <w14:schemeClr w14:val="tx1"/>
                        </w14:solidFill>
                      </w14:textFill>
                    </w:rPr>
                    <w:t>COD</w:t>
                  </w:r>
                  <w:r>
                    <w:rPr>
                      <w:rFonts w:hint="eastAsia" w:ascii="Times" w:hAnsi="Times" w:eastAsia="Times" w:cs="Times"/>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mg/L</w:t>
                  </w:r>
                  <w:r>
                    <w:rPr>
                      <w:rFonts w:hint="eastAsia" w:ascii="Times" w:hAnsi="Times" w:eastAsia="Times" w:cs="Times"/>
                      <w:color w:val="000000" w:themeColor="text1"/>
                      <w:kern w:val="0"/>
                      <w:szCs w:val="21"/>
                      <w14:textFill>
                        <w14:solidFill>
                          <w14:schemeClr w14:val="tx1"/>
                        </w14:solidFill>
                      </w14:textFill>
                    </w:rPr>
                    <w:t>）</w:t>
                  </w:r>
                </w:p>
              </w:tc>
              <w:tc>
                <w:tcPr>
                  <w:tcW w:w="551" w:type="pct"/>
                  <w:vAlign w:val="center"/>
                </w:tcPr>
                <w:p w14:paraId="2388CE1F">
                  <w:pPr>
                    <w:jc w:val="center"/>
                    <w:rPr>
                      <w:color w:val="000000" w:themeColor="text1"/>
                      <w:szCs w:val="21"/>
                      <w14:textFill>
                        <w14:solidFill>
                          <w14:schemeClr w14:val="tx1"/>
                        </w14:solidFill>
                      </w14:textFill>
                    </w:rPr>
                  </w:pPr>
                  <w:r>
                    <w:rPr>
                      <w:rFonts w:ascii="Times" w:hAnsi="Times" w:eastAsia="Times" w:cs="Times"/>
                      <w:color w:val="000000" w:themeColor="text1"/>
                      <w:kern w:val="0"/>
                      <w:szCs w:val="21"/>
                      <w14:textFill>
                        <w14:solidFill>
                          <w14:schemeClr w14:val="tx1"/>
                        </w14:solidFill>
                      </w14:textFill>
                    </w:rPr>
                    <w:t>BOD</w:t>
                  </w:r>
                  <w:r>
                    <w:rPr>
                      <w:rFonts w:ascii="Times" w:hAnsi="Times" w:eastAsia="Times" w:cs="Times"/>
                      <w:color w:val="000000" w:themeColor="text1"/>
                      <w:kern w:val="0"/>
                      <w:szCs w:val="21"/>
                      <w:vertAlign w:val="subscript"/>
                      <w14:textFill>
                        <w14:solidFill>
                          <w14:schemeClr w14:val="tx1"/>
                        </w14:solidFill>
                      </w14:textFill>
                    </w:rPr>
                    <w:t>5</w:t>
                  </w:r>
                  <w:r>
                    <w:rPr>
                      <w:rFonts w:hint="eastAsia" w:ascii="Times" w:hAnsi="Times" w:eastAsia="Times" w:cs="Times"/>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mg/L</w:t>
                  </w:r>
                  <w:r>
                    <w:rPr>
                      <w:rFonts w:hint="eastAsia" w:ascii="Times" w:hAnsi="Times" w:eastAsia="Times" w:cs="Times"/>
                      <w:color w:val="000000" w:themeColor="text1"/>
                      <w:kern w:val="0"/>
                      <w:szCs w:val="21"/>
                      <w14:textFill>
                        <w14:solidFill>
                          <w14:schemeClr w14:val="tx1"/>
                        </w14:solidFill>
                      </w14:textFill>
                    </w:rPr>
                    <w:t>）</w:t>
                  </w:r>
                </w:p>
              </w:tc>
              <w:tc>
                <w:tcPr>
                  <w:tcW w:w="439" w:type="pct"/>
                  <w:vAlign w:val="center"/>
                </w:tcPr>
                <w:p w14:paraId="3C72B4CB">
                  <w:pPr>
                    <w:jc w:val="center"/>
                    <w:rPr>
                      <w:color w:val="000000" w:themeColor="text1"/>
                      <w:szCs w:val="21"/>
                      <w14:textFill>
                        <w14:solidFill>
                          <w14:schemeClr w14:val="tx1"/>
                        </w14:solidFill>
                      </w14:textFill>
                    </w:rPr>
                  </w:pPr>
                  <w:r>
                    <w:rPr>
                      <w:rFonts w:ascii="Times" w:hAnsi="Times" w:eastAsia="Times" w:cs="Times"/>
                      <w:color w:val="000000" w:themeColor="text1"/>
                      <w:kern w:val="0"/>
                      <w:szCs w:val="21"/>
                      <w14:textFill>
                        <w14:solidFill>
                          <w14:schemeClr w14:val="tx1"/>
                        </w14:solidFill>
                      </w14:textFill>
                    </w:rPr>
                    <w:t>SS</w:t>
                  </w:r>
                  <w:r>
                    <w:rPr>
                      <w:rFonts w:hint="eastAsia" w:ascii="Times" w:hAnsi="Times" w:eastAsia="Times" w:cs="Times"/>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mg/L</w:t>
                  </w:r>
                  <w:r>
                    <w:rPr>
                      <w:rFonts w:hint="eastAsia" w:ascii="Times" w:hAnsi="Times" w:eastAsia="Times" w:cs="Times"/>
                      <w:color w:val="000000" w:themeColor="text1"/>
                      <w:kern w:val="0"/>
                      <w:szCs w:val="21"/>
                      <w14:textFill>
                        <w14:solidFill>
                          <w14:schemeClr w14:val="tx1"/>
                        </w14:solidFill>
                      </w14:textFill>
                    </w:rPr>
                    <w:t>）</w:t>
                  </w:r>
                </w:p>
              </w:tc>
              <w:tc>
                <w:tcPr>
                  <w:tcW w:w="500" w:type="pct"/>
                  <w:vAlign w:val="center"/>
                </w:tcPr>
                <w:p w14:paraId="616B1169">
                  <w:pPr>
                    <w:jc w:val="center"/>
                    <w:rPr>
                      <w:rFonts w:ascii="Times" w:hAnsi="Times" w:eastAsia="Times" w:cs="Times"/>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NH</w:t>
                  </w:r>
                  <w:r>
                    <w:rPr>
                      <w:rFonts w:hint="eastAsia" w:ascii="Times" w:hAnsi="Times" w:eastAsia="Times" w:cs="Times"/>
                      <w:color w:val="000000" w:themeColor="text1"/>
                      <w:kern w:val="0"/>
                      <w:szCs w:val="21"/>
                      <w:vertAlign w:val="subscript"/>
                      <w14:textFill>
                        <w14:solidFill>
                          <w14:schemeClr w14:val="tx1"/>
                        </w14:solidFill>
                      </w14:textFill>
                    </w:rPr>
                    <w:t>3</w:t>
                  </w:r>
                  <w:r>
                    <w:rPr>
                      <w:rFonts w:hint="eastAsia" w:ascii="Times" w:hAnsi="Times" w:eastAsia="Times" w:cs="Times"/>
                      <w:color w:val="000000" w:themeColor="text1"/>
                      <w:kern w:val="0"/>
                      <w:szCs w:val="21"/>
                      <w14:textFill>
                        <w14:solidFill>
                          <w14:schemeClr w14:val="tx1"/>
                        </w14:solidFill>
                      </w14:textFill>
                    </w:rPr>
                    <w:t>-N（</w:t>
                  </w:r>
                  <w:r>
                    <w:rPr>
                      <w:color w:val="000000" w:themeColor="text1"/>
                      <w:kern w:val="0"/>
                      <w:szCs w:val="21"/>
                      <w14:textFill>
                        <w14:solidFill>
                          <w14:schemeClr w14:val="tx1"/>
                        </w14:solidFill>
                      </w14:textFill>
                    </w:rPr>
                    <w:t>mg/L</w:t>
                  </w:r>
                  <w:r>
                    <w:rPr>
                      <w:rFonts w:hint="eastAsia" w:ascii="Times" w:hAnsi="Times" w:eastAsia="Times" w:cs="Times"/>
                      <w:color w:val="000000" w:themeColor="text1"/>
                      <w:kern w:val="0"/>
                      <w:szCs w:val="21"/>
                      <w14:textFill>
                        <w14:solidFill>
                          <w14:schemeClr w14:val="tx1"/>
                        </w14:solidFill>
                      </w14:textFill>
                    </w:rPr>
                    <w:t>）</w:t>
                  </w:r>
                </w:p>
              </w:tc>
              <w:tc>
                <w:tcPr>
                  <w:tcW w:w="456" w:type="pct"/>
                  <w:vAlign w:val="center"/>
                </w:tcPr>
                <w:p w14:paraId="46A37F4A">
                  <w:pPr>
                    <w:jc w:val="center"/>
                    <w:rPr>
                      <w:rFonts w:ascii="Times" w:hAnsi="Times" w:eastAsia="Times" w:cs="Times"/>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TN</w:t>
                  </w:r>
                  <w:r>
                    <w:rPr>
                      <w:rFonts w:hint="eastAsia" w:ascii="Times" w:hAnsi="Times" w:eastAsia="Times" w:cs="Times"/>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mg/L</w:t>
                  </w:r>
                  <w:r>
                    <w:rPr>
                      <w:rFonts w:hint="eastAsia" w:ascii="Times" w:hAnsi="Times" w:eastAsia="Times" w:cs="Times"/>
                      <w:color w:val="000000" w:themeColor="text1"/>
                      <w:kern w:val="0"/>
                      <w:szCs w:val="21"/>
                      <w14:textFill>
                        <w14:solidFill>
                          <w14:schemeClr w14:val="tx1"/>
                        </w14:solidFill>
                      </w14:textFill>
                    </w:rPr>
                    <w:t>）</w:t>
                  </w:r>
                </w:p>
              </w:tc>
              <w:tc>
                <w:tcPr>
                  <w:tcW w:w="452" w:type="pct"/>
                  <w:vAlign w:val="center"/>
                </w:tcPr>
                <w:p w14:paraId="6E891A67">
                  <w:pPr>
                    <w:jc w:val="center"/>
                    <w:rPr>
                      <w:rFonts w:ascii="Times" w:hAnsi="Times" w:eastAsia="Times" w:cs="Times"/>
                      <w:color w:val="000000" w:themeColor="text1"/>
                      <w:kern w:val="0"/>
                      <w:szCs w:val="21"/>
                      <w14:textFill>
                        <w14:solidFill>
                          <w14:schemeClr w14:val="tx1"/>
                        </w14:solidFill>
                      </w14:textFill>
                    </w:rPr>
                  </w:pPr>
                  <w:r>
                    <w:rPr>
                      <w:rFonts w:ascii="Times" w:hAnsi="Times" w:eastAsia="Times" w:cs="Times"/>
                      <w:color w:val="000000" w:themeColor="text1"/>
                      <w:kern w:val="0"/>
                      <w:szCs w:val="21"/>
                      <w14:textFill>
                        <w14:solidFill>
                          <w14:schemeClr w14:val="tx1"/>
                        </w14:solidFill>
                      </w14:textFill>
                    </w:rPr>
                    <w:t>T</w:t>
                  </w:r>
                  <w:r>
                    <w:rPr>
                      <w:rFonts w:hint="eastAsia" w:ascii="Times" w:hAnsi="Times" w:eastAsia="Times" w:cs="Times"/>
                      <w:color w:val="000000" w:themeColor="text1"/>
                      <w:kern w:val="0"/>
                      <w:szCs w:val="21"/>
                      <w14:textFill>
                        <w14:solidFill>
                          <w14:schemeClr w14:val="tx1"/>
                        </w14:solidFill>
                      </w14:textFill>
                    </w:rPr>
                    <w:t>P（</w:t>
                  </w:r>
                  <w:r>
                    <w:rPr>
                      <w:color w:val="000000" w:themeColor="text1"/>
                      <w:kern w:val="0"/>
                      <w:szCs w:val="21"/>
                      <w14:textFill>
                        <w14:solidFill>
                          <w14:schemeClr w14:val="tx1"/>
                        </w14:solidFill>
                      </w14:textFill>
                    </w:rPr>
                    <w:t>mg/L</w:t>
                  </w:r>
                  <w:r>
                    <w:rPr>
                      <w:rFonts w:hint="eastAsia" w:ascii="Times" w:hAnsi="Times" w:eastAsia="Times" w:cs="Times"/>
                      <w:color w:val="000000" w:themeColor="text1"/>
                      <w:kern w:val="0"/>
                      <w:szCs w:val="21"/>
                      <w14:textFill>
                        <w14:solidFill>
                          <w14:schemeClr w14:val="tx1"/>
                        </w14:solidFill>
                      </w14:textFill>
                    </w:rPr>
                    <w:t>）</w:t>
                  </w:r>
                </w:p>
              </w:tc>
            </w:tr>
            <w:tr w14:paraId="7668F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2" w:type="pct"/>
                  <w:gridSpan w:val="2"/>
                  <w:vAlign w:val="center"/>
                </w:tcPr>
                <w:p w14:paraId="54770A2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生活污水</w:t>
                  </w:r>
                </w:p>
              </w:tc>
              <w:tc>
                <w:tcPr>
                  <w:tcW w:w="523" w:type="pct"/>
                  <w:vAlign w:val="center"/>
                </w:tcPr>
                <w:p w14:paraId="7EC951BC">
                  <w:pPr>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410.4</w:t>
                  </w:r>
                </w:p>
              </w:tc>
              <w:tc>
                <w:tcPr>
                  <w:tcW w:w="552" w:type="pct"/>
                  <w:vAlign w:val="center"/>
                </w:tcPr>
                <w:p w14:paraId="60A50AE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1.8</w:t>
                  </w:r>
                </w:p>
              </w:tc>
              <w:tc>
                <w:tcPr>
                  <w:tcW w:w="472" w:type="pct"/>
                  <w:vAlign w:val="center"/>
                </w:tcPr>
                <w:p w14:paraId="78A366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w:t>
                  </w:r>
                </w:p>
              </w:tc>
              <w:tc>
                <w:tcPr>
                  <w:tcW w:w="551" w:type="pct"/>
                  <w:vAlign w:val="center"/>
                </w:tcPr>
                <w:p w14:paraId="38D5702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250</w:t>
                  </w:r>
                </w:p>
              </w:tc>
              <w:tc>
                <w:tcPr>
                  <w:tcW w:w="439" w:type="pct"/>
                  <w:vAlign w:val="center"/>
                </w:tcPr>
                <w:p w14:paraId="14AD082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280</w:t>
                  </w:r>
                </w:p>
              </w:tc>
              <w:tc>
                <w:tcPr>
                  <w:tcW w:w="500" w:type="pct"/>
                  <w:vAlign w:val="center"/>
                </w:tcPr>
                <w:p w14:paraId="12BF0E4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456" w:type="pct"/>
                  <w:vAlign w:val="center"/>
                </w:tcPr>
                <w:p w14:paraId="56A0515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452" w:type="pct"/>
                  <w:vAlign w:val="center"/>
                </w:tcPr>
                <w:p w14:paraId="57D7C75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27644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2" w:type="pct"/>
                  <w:gridSpan w:val="2"/>
                  <w:vAlign w:val="center"/>
                </w:tcPr>
                <w:p w14:paraId="5B60783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蒸汽发生器定期排水</w:t>
                  </w:r>
                </w:p>
              </w:tc>
              <w:tc>
                <w:tcPr>
                  <w:tcW w:w="523" w:type="pct"/>
                  <w:vAlign w:val="center"/>
                </w:tcPr>
                <w:p w14:paraId="0EF2DCB4">
                  <w:pPr>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41.04</w:t>
                  </w:r>
                </w:p>
              </w:tc>
              <w:tc>
                <w:tcPr>
                  <w:tcW w:w="552" w:type="pct"/>
                  <w:vAlign w:val="center"/>
                </w:tcPr>
                <w:p w14:paraId="3C59CB4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0.18</w:t>
                  </w:r>
                </w:p>
              </w:tc>
              <w:tc>
                <w:tcPr>
                  <w:tcW w:w="472" w:type="pct"/>
                  <w:vAlign w:val="center"/>
                </w:tcPr>
                <w:p w14:paraId="017F891A">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551" w:type="pct"/>
                  <w:vAlign w:val="center"/>
                </w:tcPr>
                <w:p w14:paraId="7BF1B088">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39" w:type="pct"/>
                  <w:vAlign w:val="center"/>
                </w:tcPr>
                <w:p w14:paraId="6938963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50</w:t>
                  </w:r>
                </w:p>
              </w:tc>
              <w:tc>
                <w:tcPr>
                  <w:tcW w:w="500" w:type="pct"/>
                  <w:vAlign w:val="center"/>
                </w:tcPr>
                <w:p w14:paraId="7CCBA22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vAlign w:val="center"/>
                </w:tcPr>
                <w:p w14:paraId="531E5C3F">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vAlign w:val="center"/>
                </w:tcPr>
                <w:p w14:paraId="089A1DE9">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2D345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restart"/>
                  <w:vAlign w:val="center"/>
                </w:tcPr>
                <w:p w14:paraId="5D95D79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白酒生产线</w:t>
                  </w:r>
                </w:p>
              </w:tc>
              <w:tc>
                <w:tcPr>
                  <w:tcW w:w="783" w:type="pct"/>
                  <w:vAlign w:val="center"/>
                </w:tcPr>
                <w:p w14:paraId="3481A68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甑锅清洗废水</w:t>
                  </w:r>
                </w:p>
              </w:tc>
              <w:tc>
                <w:tcPr>
                  <w:tcW w:w="523" w:type="pct"/>
                  <w:vAlign w:val="center"/>
                </w:tcPr>
                <w:p w14:paraId="00CA395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20.52</w:t>
                  </w:r>
                </w:p>
              </w:tc>
              <w:tc>
                <w:tcPr>
                  <w:tcW w:w="552" w:type="pct"/>
                  <w:vAlign w:val="center"/>
                </w:tcPr>
                <w:p w14:paraId="497F3A7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0.09</w:t>
                  </w:r>
                </w:p>
              </w:tc>
              <w:tc>
                <w:tcPr>
                  <w:tcW w:w="472" w:type="pct"/>
                  <w:vAlign w:val="center"/>
                </w:tcPr>
                <w:p w14:paraId="23A5881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12000</w:t>
                  </w:r>
                </w:p>
              </w:tc>
              <w:tc>
                <w:tcPr>
                  <w:tcW w:w="551" w:type="pct"/>
                  <w:vAlign w:val="center"/>
                </w:tcPr>
                <w:p w14:paraId="652318B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8500</w:t>
                  </w:r>
                </w:p>
              </w:tc>
              <w:tc>
                <w:tcPr>
                  <w:tcW w:w="439" w:type="pct"/>
                  <w:vAlign w:val="center"/>
                </w:tcPr>
                <w:p w14:paraId="2AD50D2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2000</w:t>
                  </w:r>
                </w:p>
              </w:tc>
              <w:tc>
                <w:tcPr>
                  <w:tcW w:w="500" w:type="pct"/>
                  <w:vAlign w:val="center"/>
                </w:tcPr>
                <w:p w14:paraId="34C1CC3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w:t>
                  </w:r>
                </w:p>
              </w:tc>
              <w:tc>
                <w:tcPr>
                  <w:tcW w:w="456" w:type="pct"/>
                  <w:vAlign w:val="center"/>
                </w:tcPr>
                <w:p w14:paraId="6B229C6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460</w:t>
                  </w:r>
                </w:p>
              </w:tc>
              <w:tc>
                <w:tcPr>
                  <w:tcW w:w="452" w:type="pct"/>
                  <w:vAlign w:val="center"/>
                </w:tcPr>
                <w:p w14:paraId="52033BA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50</w:t>
                  </w:r>
                </w:p>
              </w:tc>
            </w:tr>
            <w:tr w14:paraId="49B1A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3BD69A8D">
                  <w:pPr>
                    <w:jc w:val="center"/>
                    <w:rPr>
                      <w:color w:val="000000" w:themeColor="text1"/>
                      <w:szCs w:val="21"/>
                      <w14:textFill>
                        <w14:solidFill>
                          <w14:schemeClr w14:val="tx1"/>
                        </w14:solidFill>
                      </w14:textFill>
                    </w:rPr>
                  </w:pPr>
                </w:p>
              </w:tc>
              <w:tc>
                <w:tcPr>
                  <w:tcW w:w="783" w:type="pct"/>
                  <w:vAlign w:val="center"/>
                </w:tcPr>
                <w:p w14:paraId="6176360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丢糟渗滤液</w:t>
                  </w:r>
                </w:p>
              </w:tc>
              <w:tc>
                <w:tcPr>
                  <w:tcW w:w="523" w:type="pct"/>
                  <w:vAlign w:val="center"/>
                </w:tcPr>
                <w:p w14:paraId="781F071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23.009</w:t>
                  </w:r>
                </w:p>
              </w:tc>
              <w:tc>
                <w:tcPr>
                  <w:tcW w:w="552" w:type="pct"/>
                  <w:vAlign w:val="center"/>
                </w:tcPr>
                <w:p w14:paraId="17239A1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0.101</w:t>
                  </w:r>
                </w:p>
              </w:tc>
              <w:tc>
                <w:tcPr>
                  <w:tcW w:w="472" w:type="pct"/>
                  <w:vAlign w:val="center"/>
                </w:tcPr>
                <w:p w14:paraId="76EB054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12000</w:t>
                  </w:r>
                </w:p>
              </w:tc>
              <w:tc>
                <w:tcPr>
                  <w:tcW w:w="551" w:type="pct"/>
                  <w:vAlign w:val="center"/>
                </w:tcPr>
                <w:p w14:paraId="548ADB1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8500</w:t>
                  </w:r>
                </w:p>
              </w:tc>
              <w:tc>
                <w:tcPr>
                  <w:tcW w:w="439" w:type="pct"/>
                  <w:vAlign w:val="center"/>
                </w:tcPr>
                <w:p w14:paraId="45B6996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3000</w:t>
                  </w:r>
                </w:p>
              </w:tc>
              <w:tc>
                <w:tcPr>
                  <w:tcW w:w="500" w:type="pct"/>
                  <w:vAlign w:val="center"/>
                </w:tcPr>
                <w:p w14:paraId="04DD632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456" w:type="pct"/>
                  <w:vAlign w:val="center"/>
                </w:tcPr>
                <w:p w14:paraId="0399757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w:t>
                  </w:r>
                </w:p>
              </w:tc>
              <w:tc>
                <w:tcPr>
                  <w:tcW w:w="452" w:type="pct"/>
                  <w:vAlign w:val="center"/>
                </w:tcPr>
                <w:p w14:paraId="4047570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110</w:t>
                  </w:r>
                </w:p>
              </w:tc>
            </w:tr>
            <w:tr w14:paraId="42636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4B914BC8">
                  <w:pPr>
                    <w:jc w:val="center"/>
                    <w:rPr>
                      <w:color w:val="000000" w:themeColor="text1"/>
                      <w:szCs w:val="21"/>
                      <w14:textFill>
                        <w14:solidFill>
                          <w14:schemeClr w14:val="tx1"/>
                        </w14:solidFill>
                      </w14:textFill>
                    </w:rPr>
                  </w:pPr>
                </w:p>
              </w:tc>
              <w:tc>
                <w:tcPr>
                  <w:tcW w:w="783" w:type="pct"/>
                  <w:vAlign w:val="center"/>
                </w:tcPr>
                <w:p w14:paraId="2871776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其他酿造废水</w:t>
                  </w:r>
                </w:p>
              </w:tc>
              <w:tc>
                <w:tcPr>
                  <w:tcW w:w="523" w:type="pct"/>
                  <w:vAlign w:val="center"/>
                </w:tcPr>
                <w:p w14:paraId="2ED568E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256.631</w:t>
                  </w:r>
                </w:p>
              </w:tc>
              <w:tc>
                <w:tcPr>
                  <w:tcW w:w="552" w:type="pct"/>
                  <w:vAlign w:val="center"/>
                </w:tcPr>
                <w:p w14:paraId="31427D7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1.126</w:t>
                  </w:r>
                </w:p>
              </w:tc>
              <w:tc>
                <w:tcPr>
                  <w:tcW w:w="472" w:type="pct"/>
                  <w:vAlign w:val="center"/>
                </w:tcPr>
                <w:p w14:paraId="7B25F78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5000</w:t>
                  </w:r>
                </w:p>
              </w:tc>
              <w:tc>
                <w:tcPr>
                  <w:tcW w:w="551" w:type="pct"/>
                  <w:vAlign w:val="center"/>
                </w:tcPr>
                <w:p w14:paraId="783E430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2600</w:t>
                  </w:r>
                </w:p>
              </w:tc>
              <w:tc>
                <w:tcPr>
                  <w:tcW w:w="439" w:type="pct"/>
                  <w:vAlign w:val="center"/>
                </w:tcPr>
                <w:p w14:paraId="3A1822A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3500</w:t>
                  </w:r>
                </w:p>
              </w:tc>
              <w:tc>
                <w:tcPr>
                  <w:tcW w:w="500" w:type="pct"/>
                  <w:vAlign w:val="center"/>
                </w:tcPr>
                <w:p w14:paraId="4CB2CE5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130</w:t>
                  </w:r>
                </w:p>
              </w:tc>
              <w:tc>
                <w:tcPr>
                  <w:tcW w:w="456" w:type="pct"/>
                  <w:vAlign w:val="center"/>
                </w:tcPr>
                <w:p w14:paraId="55B020A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210</w:t>
                  </w:r>
                </w:p>
              </w:tc>
              <w:tc>
                <w:tcPr>
                  <w:tcW w:w="452" w:type="pct"/>
                  <w:vAlign w:val="center"/>
                </w:tcPr>
                <w:p w14:paraId="2653DF2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75</w:t>
                  </w:r>
                </w:p>
              </w:tc>
            </w:tr>
            <w:tr w14:paraId="03566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3644C111">
                  <w:pPr>
                    <w:jc w:val="center"/>
                    <w:rPr>
                      <w:color w:val="000000" w:themeColor="text1"/>
                      <w:szCs w:val="21"/>
                      <w14:textFill>
                        <w14:solidFill>
                          <w14:schemeClr w14:val="tx1"/>
                        </w14:solidFill>
                      </w14:textFill>
                    </w:rPr>
                  </w:pPr>
                </w:p>
              </w:tc>
              <w:tc>
                <w:tcPr>
                  <w:tcW w:w="783" w:type="pct"/>
                  <w:vAlign w:val="center"/>
                </w:tcPr>
                <w:p w14:paraId="15A0F594">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晾床</w:t>
                  </w:r>
                  <w:r>
                    <w:rPr>
                      <w:color w:val="000000" w:themeColor="text1"/>
                      <w:szCs w:val="21"/>
                      <w14:textFill>
                        <w14:solidFill>
                          <w14:schemeClr w14:val="tx1"/>
                        </w14:solidFill>
                      </w14:textFill>
                    </w:rPr>
                    <w:t>、</w:t>
                  </w:r>
                  <w:r>
                    <w:rPr>
                      <w:bCs/>
                      <w:color w:val="000000" w:themeColor="text1"/>
                      <w:szCs w:val="21"/>
                      <w14:textFill>
                        <w14:solidFill>
                          <w14:schemeClr w14:val="tx1"/>
                        </w14:solidFill>
                      </w14:textFill>
                    </w:rPr>
                    <w:t>过滤机</w:t>
                  </w:r>
                  <w:r>
                    <w:rPr>
                      <w:rFonts w:hint="eastAsia"/>
                      <w:bCs/>
                      <w:color w:val="000000" w:themeColor="text1"/>
                      <w:szCs w:val="21"/>
                      <w14:textFill>
                        <w14:solidFill>
                          <w14:schemeClr w14:val="tx1"/>
                        </w14:solidFill>
                      </w14:textFill>
                    </w:rPr>
                    <w:t>及灌装线</w:t>
                  </w:r>
                  <w:r>
                    <w:rPr>
                      <w:color w:val="000000" w:themeColor="text1"/>
                      <w:szCs w:val="21"/>
                      <w14:textFill>
                        <w14:solidFill>
                          <w14:schemeClr w14:val="tx1"/>
                        </w14:solidFill>
                      </w14:textFill>
                    </w:rPr>
                    <w:t>清洗废水</w:t>
                  </w:r>
                </w:p>
              </w:tc>
              <w:tc>
                <w:tcPr>
                  <w:tcW w:w="523" w:type="pct"/>
                  <w:vAlign w:val="center"/>
                </w:tcPr>
                <w:p w14:paraId="20DBE7F5">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15.624</w:t>
                  </w:r>
                </w:p>
              </w:tc>
              <w:tc>
                <w:tcPr>
                  <w:tcW w:w="552" w:type="pct"/>
                  <w:vAlign w:val="center"/>
                </w:tcPr>
                <w:p w14:paraId="360F99D6">
                  <w:pPr>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0.069</w:t>
                  </w:r>
                </w:p>
              </w:tc>
              <w:tc>
                <w:tcPr>
                  <w:tcW w:w="472" w:type="pct"/>
                  <w:vAlign w:val="center"/>
                </w:tcPr>
                <w:p w14:paraId="6479415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4000</w:t>
                  </w:r>
                </w:p>
              </w:tc>
              <w:tc>
                <w:tcPr>
                  <w:tcW w:w="551" w:type="pct"/>
                  <w:vAlign w:val="center"/>
                </w:tcPr>
                <w:p w14:paraId="3093D78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600</w:t>
                  </w:r>
                </w:p>
              </w:tc>
              <w:tc>
                <w:tcPr>
                  <w:tcW w:w="439" w:type="pct"/>
                  <w:vAlign w:val="center"/>
                </w:tcPr>
                <w:p w14:paraId="7A1F42B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2000</w:t>
                  </w:r>
                </w:p>
              </w:tc>
              <w:tc>
                <w:tcPr>
                  <w:tcW w:w="500" w:type="pct"/>
                  <w:vAlign w:val="center"/>
                </w:tcPr>
                <w:p w14:paraId="65AB00B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100</w:t>
                  </w:r>
                </w:p>
              </w:tc>
              <w:tc>
                <w:tcPr>
                  <w:tcW w:w="456" w:type="pct"/>
                  <w:vAlign w:val="center"/>
                </w:tcPr>
                <w:p w14:paraId="5DC785C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w:t>
                  </w:r>
                </w:p>
              </w:tc>
              <w:tc>
                <w:tcPr>
                  <w:tcW w:w="452" w:type="pct"/>
                  <w:vAlign w:val="center"/>
                </w:tcPr>
                <w:p w14:paraId="5A8DC26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w:t>
                  </w:r>
                </w:p>
              </w:tc>
            </w:tr>
            <w:tr w14:paraId="16ABA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12CF6B86">
                  <w:pPr>
                    <w:jc w:val="center"/>
                    <w:rPr>
                      <w:color w:val="000000" w:themeColor="text1"/>
                      <w:szCs w:val="21"/>
                      <w14:textFill>
                        <w14:solidFill>
                          <w14:schemeClr w14:val="tx1"/>
                        </w14:solidFill>
                      </w14:textFill>
                    </w:rPr>
                  </w:pPr>
                </w:p>
              </w:tc>
              <w:tc>
                <w:tcPr>
                  <w:tcW w:w="783" w:type="pct"/>
                  <w:vAlign w:val="center"/>
                </w:tcPr>
                <w:p w14:paraId="0A65543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锅底水</w:t>
                  </w:r>
                </w:p>
              </w:tc>
              <w:tc>
                <w:tcPr>
                  <w:tcW w:w="523" w:type="pct"/>
                  <w:vAlign w:val="center"/>
                </w:tcPr>
                <w:p w14:paraId="4E888F8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14.661</w:t>
                  </w:r>
                </w:p>
              </w:tc>
              <w:tc>
                <w:tcPr>
                  <w:tcW w:w="552" w:type="pct"/>
                  <w:vAlign w:val="center"/>
                </w:tcPr>
                <w:p w14:paraId="40A86278">
                  <w:pPr>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0.</w:t>
                  </w:r>
                  <w:r>
                    <w:rPr>
                      <w:rFonts w:hint="eastAsia"/>
                      <w:color w:val="000000" w:themeColor="text1"/>
                      <w:kern w:val="0"/>
                      <w:szCs w:val="21"/>
                      <w14:textFill>
                        <w14:solidFill>
                          <w14:schemeClr w14:val="tx1"/>
                        </w14:solidFill>
                      </w14:textFill>
                    </w:rPr>
                    <w:t>064</w:t>
                  </w:r>
                </w:p>
              </w:tc>
              <w:tc>
                <w:tcPr>
                  <w:tcW w:w="472" w:type="pct"/>
                  <w:vAlign w:val="center"/>
                </w:tcPr>
                <w:p w14:paraId="4723D01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12000</w:t>
                  </w:r>
                </w:p>
              </w:tc>
              <w:tc>
                <w:tcPr>
                  <w:tcW w:w="551" w:type="pct"/>
                  <w:vAlign w:val="center"/>
                </w:tcPr>
                <w:p w14:paraId="7AA1865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8500</w:t>
                  </w:r>
                </w:p>
              </w:tc>
              <w:tc>
                <w:tcPr>
                  <w:tcW w:w="439" w:type="pct"/>
                  <w:vAlign w:val="center"/>
                </w:tcPr>
                <w:p w14:paraId="1BCA3B2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3000</w:t>
                  </w:r>
                </w:p>
              </w:tc>
              <w:tc>
                <w:tcPr>
                  <w:tcW w:w="500" w:type="pct"/>
                  <w:vAlign w:val="center"/>
                </w:tcPr>
                <w:p w14:paraId="4308035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456" w:type="pct"/>
                  <w:vAlign w:val="center"/>
                </w:tcPr>
                <w:p w14:paraId="5D77128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w:t>
                  </w:r>
                </w:p>
              </w:tc>
              <w:tc>
                <w:tcPr>
                  <w:tcW w:w="452" w:type="pct"/>
                  <w:vAlign w:val="center"/>
                </w:tcPr>
                <w:p w14:paraId="5F8AE75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130</w:t>
                  </w:r>
                </w:p>
              </w:tc>
            </w:tr>
            <w:tr w14:paraId="71C2B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35C7AD8C">
                  <w:pPr>
                    <w:jc w:val="center"/>
                    <w:rPr>
                      <w:color w:val="000000" w:themeColor="text1"/>
                      <w:szCs w:val="21"/>
                      <w14:textFill>
                        <w14:solidFill>
                          <w14:schemeClr w14:val="tx1"/>
                        </w14:solidFill>
                      </w14:textFill>
                    </w:rPr>
                  </w:pPr>
                </w:p>
              </w:tc>
              <w:tc>
                <w:tcPr>
                  <w:tcW w:w="783" w:type="pct"/>
                  <w:vAlign w:val="center"/>
                </w:tcPr>
                <w:p w14:paraId="302ADC9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冷却废水</w:t>
                  </w:r>
                </w:p>
              </w:tc>
              <w:tc>
                <w:tcPr>
                  <w:tcW w:w="523" w:type="pct"/>
                  <w:vAlign w:val="center"/>
                </w:tcPr>
                <w:p w14:paraId="2CE6485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58.149</w:t>
                  </w:r>
                </w:p>
              </w:tc>
              <w:tc>
                <w:tcPr>
                  <w:tcW w:w="552" w:type="pct"/>
                  <w:vAlign w:val="center"/>
                </w:tcPr>
                <w:p w14:paraId="097BBD0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0.255</w:t>
                  </w:r>
                </w:p>
              </w:tc>
              <w:tc>
                <w:tcPr>
                  <w:tcW w:w="472" w:type="pct"/>
                  <w:vAlign w:val="center"/>
                </w:tcPr>
                <w:p w14:paraId="3CE1E765">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551" w:type="pct"/>
                  <w:vAlign w:val="center"/>
                </w:tcPr>
                <w:p w14:paraId="7A466B4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39" w:type="pct"/>
                  <w:vAlign w:val="center"/>
                </w:tcPr>
                <w:p w14:paraId="7616ABA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w:t>
                  </w:r>
                </w:p>
              </w:tc>
              <w:tc>
                <w:tcPr>
                  <w:tcW w:w="500" w:type="pct"/>
                  <w:vAlign w:val="center"/>
                </w:tcPr>
                <w:p w14:paraId="279A6402">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vAlign w:val="center"/>
                </w:tcPr>
                <w:p w14:paraId="1C13CED1">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vAlign w:val="center"/>
                </w:tcPr>
                <w:p w14:paraId="4D24869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1CE724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59DC1976">
                  <w:pPr>
                    <w:jc w:val="center"/>
                    <w:rPr>
                      <w:color w:val="000000" w:themeColor="text1"/>
                      <w:szCs w:val="21"/>
                      <w14:textFill>
                        <w14:solidFill>
                          <w14:schemeClr w14:val="tx1"/>
                        </w14:solidFill>
                      </w14:textFill>
                    </w:rPr>
                  </w:pPr>
                </w:p>
              </w:tc>
              <w:tc>
                <w:tcPr>
                  <w:tcW w:w="783" w:type="pct"/>
                  <w:vAlign w:val="center"/>
                </w:tcPr>
                <w:p w14:paraId="165552C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洗瓶废水</w:t>
                  </w:r>
                </w:p>
              </w:tc>
              <w:tc>
                <w:tcPr>
                  <w:tcW w:w="523" w:type="pct"/>
                  <w:vAlign w:val="center"/>
                </w:tcPr>
                <w:p w14:paraId="4D74C9D0">
                  <w:pPr>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77.737</w:t>
                  </w:r>
                </w:p>
              </w:tc>
              <w:tc>
                <w:tcPr>
                  <w:tcW w:w="552" w:type="pct"/>
                  <w:vAlign w:val="center"/>
                </w:tcPr>
                <w:p w14:paraId="659CF8A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0.341</w:t>
                  </w:r>
                </w:p>
              </w:tc>
              <w:tc>
                <w:tcPr>
                  <w:tcW w:w="472" w:type="pct"/>
                  <w:vAlign w:val="center"/>
                </w:tcPr>
                <w:p w14:paraId="64FFAEE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105</w:t>
                  </w:r>
                </w:p>
              </w:tc>
              <w:tc>
                <w:tcPr>
                  <w:tcW w:w="551" w:type="pct"/>
                  <w:vAlign w:val="center"/>
                </w:tcPr>
                <w:p w14:paraId="5EAE3B1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w:t>
                  </w:r>
                </w:p>
              </w:tc>
              <w:tc>
                <w:tcPr>
                  <w:tcW w:w="439" w:type="pct"/>
                  <w:vAlign w:val="center"/>
                </w:tcPr>
                <w:p w14:paraId="75D90A4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w:t>
                  </w:r>
                </w:p>
              </w:tc>
              <w:tc>
                <w:tcPr>
                  <w:tcW w:w="500" w:type="pct"/>
                  <w:vAlign w:val="center"/>
                </w:tcPr>
                <w:p w14:paraId="3D17E3F1">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vAlign w:val="center"/>
                </w:tcPr>
                <w:p w14:paraId="1920CD88">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vAlign w:val="center"/>
                </w:tcPr>
                <w:p w14:paraId="79F7E818">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06ABC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restart"/>
                  <w:vAlign w:val="center"/>
                </w:tcPr>
                <w:p w14:paraId="3B64BBF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黄酒生产线</w:t>
                  </w:r>
                </w:p>
              </w:tc>
              <w:tc>
                <w:tcPr>
                  <w:tcW w:w="783" w:type="pct"/>
                  <w:vAlign w:val="center"/>
                </w:tcPr>
                <w:p w14:paraId="1121184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浸米缸清洗废水</w:t>
                  </w:r>
                </w:p>
              </w:tc>
              <w:tc>
                <w:tcPr>
                  <w:tcW w:w="523" w:type="pct"/>
                  <w:vAlign w:val="center"/>
                </w:tcPr>
                <w:p w14:paraId="3F7F6581">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6.84</w:t>
                  </w:r>
                </w:p>
              </w:tc>
              <w:tc>
                <w:tcPr>
                  <w:tcW w:w="552" w:type="pct"/>
                  <w:vAlign w:val="center"/>
                </w:tcPr>
                <w:p w14:paraId="7A390E74">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0.03</w:t>
                  </w:r>
                </w:p>
              </w:tc>
              <w:tc>
                <w:tcPr>
                  <w:tcW w:w="472" w:type="pct"/>
                  <w:vAlign w:val="center"/>
                </w:tcPr>
                <w:p w14:paraId="7E5E47A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500</w:t>
                  </w:r>
                </w:p>
              </w:tc>
              <w:tc>
                <w:tcPr>
                  <w:tcW w:w="551" w:type="pct"/>
                  <w:vAlign w:val="center"/>
                </w:tcPr>
                <w:p w14:paraId="55C6958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350</w:t>
                  </w:r>
                </w:p>
              </w:tc>
              <w:tc>
                <w:tcPr>
                  <w:tcW w:w="439" w:type="pct"/>
                  <w:vAlign w:val="center"/>
                </w:tcPr>
                <w:p w14:paraId="51B0BE4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500" w:type="pct"/>
                  <w:vAlign w:val="center"/>
                </w:tcPr>
                <w:p w14:paraId="33F15A40">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vAlign w:val="center"/>
                </w:tcPr>
                <w:p w14:paraId="642FDEEA">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vAlign w:val="center"/>
                </w:tcPr>
                <w:p w14:paraId="77B77D1B">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646D4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3D4272E9">
                  <w:pPr>
                    <w:jc w:val="center"/>
                    <w:rPr>
                      <w:color w:val="000000" w:themeColor="text1"/>
                      <w:szCs w:val="21"/>
                      <w14:textFill>
                        <w14:solidFill>
                          <w14:schemeClr w14:val="tx1"/>
                        </w14:solidFill>
                      </w14:textFill>
                    </w:rPr>
                  </w:pPr>
                </w:p>
              </w:tc>
              <w:tc>
                <w:tcPr>
                  <w:tcW w:w="783" w:type="pct"/>
                  <w:vAlign w:val="center"/>
                </w:tcPr>
                <w:p w14:paraId="07B2D6D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前发酵缸清洗废水</w:t>
                  </w:r>
                </w:p>
              </w:tc>
              <w:tc>
                <w:tcPr>
                  <w:tcW w:w="523" w:type="pct"/>
                  <w:vAlign w:val="center"/>
                </w:tcPr>
                <w:p w14:paraId="7BAA749D">
                  <w:pPr>
                    <w:widowControl/>
                    <w:spacing w:line="360" w:lineRule="auto"/>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6.0</w:t>
                  </w:r>
                </w:p>
              </w:tc>
              <w:tc>
                <w:tcPr>
                  <w:tcW w:w="552" w:type="pct"/>
                  <w:vAlign w:val="center"/>
                </w:tcPr>
                <w:p w14:paraId="5522171B">
                  <w:pPr>
                    <w:widowControl/>
                    <w:spacing w:line="360" w:lineRule="auto"/>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0.0</w:t>
                  </w:r>
                  <w:r>
                    <w:rPr>
                      <w:rFonts w:hint="eastAsia"/>
                      <w:color w:val="000000" w:themeColor="text1"/>
                      <w:szCs w:val="21"/>
                      <w14:textFill>
                        <w14:solidFill>
                          <w14:schemeClr w14:val="tx1"/>
                        </w14:solidFill>
                      </w14:textFill>
                    </w:rPr>
                    <w:t>26</w:t>
                  </w:r>
                </w:p>
              </w:tc>
              <w:tc>
                <w:tcPr>
                  <w:tcW w:w="472" w:type="pct"/>
                  <w:vAlign w:val="center"/>
                </w:tcPr>
                <w:p w14:paraId="4B93C0D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850</w:t>
                  </w:r>
                </w:p>
              </w:tc>
              <w:tc>
                <w:tcPr>
                  <w:tcW w:w="551" w:type="pct"/>
                  <w:vAlign w:val="center"/>
                </w:tcPr>
                <w:p w14:paraId="1970824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520</w:t>
                  </w:r>
                </w:p>
              </w:tc>
              <w:tc>
                <w:tcPr>
                  <w:tcW w:w="439" w:type="pct"/>
                  <w:vAlign w:val="center"/>
                </w:tcPr>
                <w:p w14:paraId="3442D74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220</w:t>
                  </w:r>
                </w:p>
              </w:tc>
              <w:tc>
                <w:tcPr>
                  <w:tcW w:w="500" w:type="pct"/>
                  <w:vAlign w:val="center"/>
                </w:tcPr>
                <w:p w14:paraId="67338698">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vAlign w:val="center"/>
                </w:tcPr>
                <w:p w14:paraId="70D893B2">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vAlign w:val="center"/>
                </w:tcPr>
                <w:p w14:paraId="74D335B8">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27365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5E2FB1F2">
                  <w:pPr>
                    <w:jc w:val="center"/>
                    <w:rPr>
                      <w:color w:val="000000" w:themeColor="text1"/>
                      <w:szCs w:val="21"/>
                      <w14:textFill>
                        <w14:solidFill>
                          <w14:schemeClr w14:val="tx1"/>
                        </w14:solidFill>
                      </w14:textFill>
                    </w:rPr>
                  </w:pPr>
                </w:p>
              </w:tc>
              <w:tc>
                <w:tcPr>
                  <w:tcW w:w="783" w:type="pct"/>
                  <w:vAlign w:val="center"/>
                </w:tcPr>
                <w:p w14:paraId="4A3D6D2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后发酵缸清洗废水</w:t>
                  </w:r>
                </w:p>
              </w:tc>
              <w:tc>
                <w:tcPr>
                  <w:tcW w:w="523" w:type="pct"/>
                  <w:vAlign w:val="center"/>
                </w:tcPr>
                <w:p w14:paraId="7FA57305">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6.0</w:t>
                  </w:r>
                </w:p>
              </w:tc>
              <w:tc>
                <w:tcPr>
                  <w:tcW w:w="552" w:type="pct"/>
                  <w:vAlign w:val="center"/>
                </w:tcPr>
                <w:p w14:paraId="57639AB1">
                  <w:pPr>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0.0</w:t>
                  </w:r>
                  <w:r>
                    <w:rPr>
                      <w:rFonts w:hint="eastAsia"/>
                      <w:color w:val="000000" w:themeColor="text1"/>
                      <w:szCs w:val="21"/>
                      <w14:textFill>
                        <w14:solidFill>
                          <w14:schemeClr w14:val="tx1"/>
                        </w14:solidFill>
                      </w14:textFill>
                    </w:rPr>
                    <w:t>26</w:t>
                  </w:r>
                </w:p>
              </w:tc>
              <w:tc>
                <w:tcPr>
                  <w:tcW w:w="472" w:type="pct"/>
                  <w:vAlign w:val="center"/>
                </w:tcPr>
                <w:p w14:paraId="08B2DC0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250</w:t>
                  </w:r>
                </w:p>
              </w:tc>
              <w:tc>
                <w:tcPr>
                  <w:tcW w:w="551" w:type="pct"/>
                  <w:vAlign w:val="center"/>
                </w:tcPr>
                <w:p w14:paraId="756A790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w:t>
                  </w:r>
                </w:p>
              </w:tc>
              <w:tc>
                <w:tcPr>
                  <w:tcW w:w="439" w:type="pct"/>
                  <w:vAlign w:val="center"/>
                </w:tcPr>
                <w:p w14:paraId="3623EB1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60</w:t>
                  </w:r>
                </w:p>
              </w:tc>
              <w:tc>
                <w:tcPr>
                  <w:tcW w:w="500" w:type="pct"/>
                  <w:vAlign w:val="center"/>
                </w:tcPr>
                <w:p w14:paraId="515B131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vAlign w:val="center"/>
                </w:tcPr>
                <w:p w14:paraId="69FEC95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vAlign w:val="center"/>
                </w:tcPr>
                <w:p w14:paraId="0EAD283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13767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3A1D2A01">
                  <w:pPr>
                    <w:jc w:val="center"/>
                    <w:rPr>
                      <w:color w:val="000000" w:themeColor="text1"/>
                      <w:szCs w:val="21"/>
                      <w14:textFill>
                        <w14:solidFill>
                          <w14:schemeClr w14:val="tx1"/>
                        </w14:solidFill>
                      </w14:textFill>
                    </w:rPr>
                  </w:pPr>
                </w:p>
              </w:tc>
              <w:tc>
                <w:tcPr>
                  <w:tcW w:w="783" w:type="pct"/>
                  <w:vAlign w:val="center"/>
                </w:tcPr>
                <w:p w14:paraId="6CA4D67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压滤机滤布清洗废水</w:t>
                  </w:r>
                </w:p>
              </w:tc>
              <w:tc>
                <w:tcPr>
                  <w:tcW w:w="523" w:type="pct"/>
                  <w:vAlign w:val="center"/>
                </w:tcPr>
                <w:p w14:paraId="1C923D3D">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4.0</w:t>
                  </w:r>
                </w:p>
              </w:tc>
              <w:tc>
                <w:tcPr>
                  <w:tcW w:w="552" w:type="pct"/>
                  <w:vAlign w:val="center"/>
                </w:tcPr>
                <w:p w14:paraId="2F65B478">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0.018</w:t>
                  </w:r>
                </w:p>
              </w:tc>
              <w:tc>
                <w:tcPr>
                  <w:tcW w:w="472" w:type="pct"/>
                  <w:vAlign w:val="center"/>
                </w:tcPr>
                <w:p w14:paraId="287B203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2500</w:t>
                  </w:r>
                </w:p>
              </w:tc>
              <w:tc>
                <w:tcPr>
                  <w:tcW w:w="551" w:type="pct"/>
                  <w:vAlign w:val="center"/>
                </w:tcPr>
                <w:p w14:paraId="22E55F8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1500</w:t>
                  </w:r>
                </w:p>
              </w:tc>
              <w:tc>
                <w:tcPr>
                  <w:tcW w:w="439" w:type="pct"/>
                  <w:vAlign w:val="center"/>
                </w:tcPr>
                <w:p w14:paraId="6219F74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1000</w:t>
                  </w:r>
                </w:p>
              </w:tc>
              <w:tc>
                <w:tcPr>
                  <w:tcW w:w="500" w:type="pct"/>
                  <w:shd w:val="clear" w:color="auto" w:fill="auto"/>
                  <w:vAlign w:val="center"/>
                </w:tcPr>
                <w:p w14:paraId="3DD4888F">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shd w:val="clear" w:color="auto" w:fill="auto"/>
                  <w:vAlign w:val="center"/>
                </w:tcPr>
                <w:p w14:paraId="0265FD5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7F523D3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48A37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78F0F552">
                  <w:pPr>
                    <w:jc w:val="center"/>
                    <w:rPr>
                      <w:color w:val="000000" w:themeColor="text1"/>
                      <w:szCs w:val="21"/>
                      <w14:textFill>
                        <w14:solidFill>
                          <w14:schemeClr w14:val="tx1"/>
                        </w14:solidFill>
                      </w14:textFill>
                    </w:rPr>
                  </w:pPr>
                </w:p>
              </w:tc>
              <w:tc>
                <w:tcPr>
                  <w:tcW w:w="783" w:type="pct"/>
                  <w:shd w:val="clear" w:color="auto" w:fill="auto"/>
                  <w:vAlign w:val="center"/>
                </w:tcPr>
                <w:p w14:paraId="00D7409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硅藻土过滤机清洗废水</w:t>
                  </w:r>
                </w:p>
              </w:tc>
              <w:tc>
                <w:tcPr>
                  <w:tcW w:w="523" w:type="pct"/>
                  <w:shd w:val="clear" w:color="auto" w:fill="auto"/>
                  <w:vAlign w:val="center"/>
                </w:tcPr>
                <w:p w14:paraId="0FA1A25C">
                  <w:pPr>
                    <w:jc w:val="center"/>
                    <w:rPr>
                      <w:color w:val="000000" w:themeColor="text1"/>
                      <w:szCs w:val="21"/>
                      <w14:textFill>
                        <w14:solidFill>
                          <w14:schemeClr w14:val="tx1"/>
                        </w14:solidFill>
                      </w14:textFill>
                    </w:rPr>
                  </w:pPr>
                  <w:r>
                    <w:rPr>
                      <w:rFonts w:hint="eastAsia" w:eastAsia="Times"/>
                      <w:color w:val="000000" w:themeColor="text1"/>
                      <w:kern w:val="0"/>
                      <w:szCs w:val="21"/>
                      <w14:textFill>
                        <w14:solidFill>
                          <w14:schemeClr w14:val="tx1"/>
                        </w14:solidFill>
                      </w14:textFill>
                    </w:rPr>
                    <w:t>5.76</w:t>
                  </w:r>
                </w:p>
              </w:tc>
              <w:tc>
                <w:tcPr>
                  <w:tcW w:w="552" w:type="pct"/>
                  <w:shd w:val="clear" w:color="auto" w:fill="auto"/>
                  <w:vAlign w:val="center"/>
                </w:tcPr>
                <w:p w14:paraId="5B4A70BD">
                  <w:pPr>
                    <w:jc w:val="center"/>
                    <w:rPr>
                      <w:rFonts w:eastAsia="Time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0.025</w:t>
                  </w:r>
                </w:p>
              </w:tc>
              <w:tc>
                <w:tcPr>
                  <w:tcW w:w="472" w:type="pct"/>
                  <w:shd w:val="clear" w:color="auto" w:fill="auto"/>
                  <w:vAlign w:val="center"/>
                </w:tcPr>
                <w:p w14:paraId="2A6A1AC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2200</w:t>
                  </w:r>
                </w:p>
              </w:tc>
              <w:tc>
                <w:tcPr>
                  <w:tcW w:w="551" w:type="pct"/>
                  <w:shd w:val="clear" w:color="auto" w:fill="auto"/>
                  <w:vAlign w:val="center"/>
                </w:tcPr>
                <w:p w14:paraId="5F9AD70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800</w:t>
                  </w:r>
                </w:p>
              </w:tc>
              <w:tc>
                <w:tcPr>
                  <w:tcW w:w="439" w:type="pct"/>
                  <w:shd w:val="clear" w:color="auto" w:fill="auto"/>
                  <w:vAlign w:val="center"/>
                </w:tcPr>
                <w:p w14:paraId="62BF9F4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500" w:type="pct"/>
                  <w:shd w:val="clear" w:color="auto" w:fill="auto"/>
                  <w:vAlign w:val="center"/>
                </w:tcPr>
                <w:p w14:paraId="70F1FE0C">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shd w:val="clear" w:color="auto" w:fill="auto"/>
                  <w:vAlign w:val="center"/>
                </w:tcPr>
                <w:p w14:paraId="7A224A9B">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7FD1CFAA">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050A9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3743DE35">
                  <w:pPr>
                    <w:jc w:val="center"/>
                    <w:rPr>
                      <w:color w:val="000000" w:themeColor="text1"/>
                      <w:szCs w:val="21"/>
                      <w14:textFill>
                        <w14:solidFill>
                          <w14:schemeClr w14:val="tx1"/>
                        </w14:solidFill>
                      </w14:textFill>
                    </w:rPr>
                  </w:pPr>
                </w:p>
              </w:tc>
              <w:tc>
                <w:tcPr>
                  <w:tcW w:w="783" w:type="pct"/>
                  <w:shd w:val="clear" w:color="auto" w:fill="auto"/>
                  <w:vAlign w:val="center"/>
                </w:tcPr>
                <w:p w14:paraId="380F0A5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灌装线</w:t>
                  </w:r>
                  <w:r>
                    <w:rPr>
                      <w:color w:val="000000" w:themeColor="text1"/>
                      <w:szCs w:val="21"/>
                      <w14:textFill>
                        <w14:solidFill>
                          <w14:schemeClr w14:val="tx1"/>
                        </w14:solidFill>
                      </w14:textFill>
                    </w:rPr>
                    <w:t>清洗废水</w:t>
                  </w:r>
                </w:p>
              </w:tc>
              <w:tc>
                <w:tcPr>
                  <w:tcW w:w="523" w:type="pct"/>
                  <w:shd w:val="clear" w:color="auto" w:fill="auto"/>
                  <w:vAlign w:val="center"/>
                </w:tcPr>
                <w:p w14:paraId="5B5B3C78">
                  <w:pPr>
                    <w:jc w:val="center"/>
                    <w:rPr>
                      <w:rFonts w:eastAsia="Times"/>
                      <w:color w:val="000000" w:themeColor="text1"/>
                      <w:kern w:val="0"/>
                      <w:szCs w:val="21"/>
                      <w14:textFill>
                        <w14:solidFill>
                          <w14:schemeClr w14:val="tx1"/>
                        </w14:solidFill>
                      </w14:textFill>
                    </w:rPr>
                  </w:pPr>
                  <w:r>
                    <w:rPr>
                      <w:rFonts w:hint="eastAsia" w:eastAsia="Times"/>
                      <w:color w:val="000000" w:themeColor="text1"/>
                      <w:kern w:val="0"/>
                      <w:szCs w:val="21"/>
                      <w14:textFill>
                        <w14:solidFill>
                          <w14:schemeClr w14:val="tx1"/>
                        </w14:solidFill>
                      </w14:textFill>
                    </w:rPr>
                    <w:t>11.52</w:t>
                  </w:r>
                </w:p>
              </w:tc>
              <w:tc>
                <w:tcPr>
                  <w:tcW w:w="552" w:type="pct"/>
                  <w:shd w:val="clear" w:color="auto" w:fill="auto"/>
                  <w:vAlign w:val="center"/>
                </w:tcPr>
                <w:p w14:paraId="3D93D14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0.051</w:t>
                  </w:r>
                </w:p>
              </w:tc>
              <w:tc>
                <w:tcPr>
                  <w:tcW w:w="472" w:type="pct"/>
                  <w:shd w:val="clear" w:color="auto" w:fill="auto"/>
                  <w:vAlign w:val="center"/>
                </w:tcPr>
                <w:p w14:paraId="6FCE6B0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1800</w:t>
                  </w:r>
                </w:p>
              </w:tc>
              <w:tc>
                <w:tcPr>
                  <w:tcW w:w="551" w:type="pct"/>
                  <w:shd w:val="clear" w:color="auto" w:fill="auto"/>
                  <w:vAlign w:val="center"/>
                </w:tcPr>
                <w:p w14:paraId="57AD141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600</w:t>
                  </w:r>
                </w:p>
              </w:tc>
              <w:tc>
                <w:tcPr>
                  <w:tcW w:w="439" w:type="pct"/>
                  <w:shd w:val="clear" w:color="auto" w:fill="auto"/>
                  <w:vAlign w:val="center"/>
                </w:tcPr>
                <w:p w14:paraId="2FD0531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500" w:type="pct"/>
                  <w:shd w:val="clear" w:color="auto" w:fill="auto"/>
                  <w:vAlign w:val="center"/>
                </w:tcPr>
                <w:p w14:paraId="6213D41C">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shd w:val="clear" w:color="auto" w:fill="auto"/>
                  <w:vAlign w:val="center"/>
                </w:tcPr>
                <w:p w14:paraId="5C2E15F0">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1C717DB2">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23B2F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4E6375F9">
                  <w:pPr>
                    <w:jc w:val="center"/>
                    <w:rPr>
                      <w:color w:val="000000" w:themeColor="text1"/>
                      <w:szCs w:val="21"/>
                      <w14:textFill>
                        <w14:solidFill>
                          <w14:schemeClr w14:val="tx1"/>
                        </w14:solidFill>
                      </w14:textFill>
                    </w:rPr>
                  </w:pPr>
                </w:p>
              </w:tc>
              <w:tc>
                <w:tcPr>
                  <w:tcW w:w="783" w:type="pct"/>
                  <w:shd w:val="clear" w:color="auto" w:fill="auto"/>
                  <w:vAlign w:val="center"/>
                </w:tcPr>
                <w:p w14:paraId="2547682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酒糟渗滤液</w:t>
                  </w:r>
                </w:p>
              </w:tc>
              <w:tc>
                <w:tcPr>
                  <w:tcW w:w="523" w:type="pct"/>
                  <w:shd w:val="clear" w:color="auto" w:fill="auto"/>
                  <w:vAlign w:val="center"/>
                </w:tcPr>
                <w:p w14:paraId="2E7AF54D">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2.656</w:t>
                  </w:r>
                </w:p>
              </w:tc>
              <w:tc>
                <w:tcPr>
                  <w:tcW w:w="552" w:type="pct"/>
                  <w:shd w:val="clear" w:color="auto" w:fill="auto"/>
                  <w:vAlign w:val="center"/>
                </w:tcPr>
                <w:p w14:paraId="462749D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0.012</w:t>
                  </w:r>
                </w:p>
              </w:tc>
              <w:tc>
                <w:tcPr>
                  <w:tcW w:w="472" w:type="pct"/>
                  <w:shd w:val="clear" w:color="auto" w:fill="auto"/>
                  <w:vAlign w:val="center"/>
                </w:tcPr>
                <w:p w14:paraId="4D6592C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12000</w:t>
                  </w:r>
                </w:p>
              </w:tc>
              <w:tc>
                <w:tcPr>
                  <w:tcW w:w="551" w:type="pct"/>
                  <w:shd w:val="clear" w:color="auto" w:fill="auto"/>
                  <w:vAlign w:val="center"/>
                </w:tcPr>
                <w:p w14:paraId="511DE9B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8500</w:t>
                  </w:r>
                </w:p>
              </w:tc>
              <w:tc>
                <w:tcPr>
                  <w:tcW w:w="439" w:type="pct"/>
                  <w:shd w:val="clear" w:color="auto" w:fill="auto"/>
                  <w:vAlign w:val="center"/>
                </w:tcPr>
                <w:p w14:paraId="257E5AC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3000</w:t>
                  </w:r>
                </w:p>
              </w:tc>
              <w:tc>
                <w:tcPr>
                  <w:tcW w:w="500" w:type="pct"/>
                  <w:shd w:val="clear" w:color="auto" w:fill="auto"/>
                  <w:vAlign w:val="center"/>
                </w:tcPr>
                <w:p w14:paraId="74F7618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456" w:type="pct"/>
                  <w:shd w:val="clear" w:color="auto" w:fill="auto"/>
                  <w:vAlign w:val="center"/>
                </w:tcPr>
                <w:p w14:paraId="59A1915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w:t>
                  </w:r>
                </w:p>
              </w:tc>
              <w:tc>
                <w:tcPr>
                  <w:tcW w:w="452" w:type="pct"/>
                  <w:shd w:val="clear" w:color="auto" w:fill="auto"/>
                  <w:vAlign w:val="center"/>
                </w:tcPr>
                <w:p w14:paraId="4082FB2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110</w:t>
                  </w:r>
                </w:p>
              </w:tc>
            </w:tr>
            <w:tr w14:paraId="7FA78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4C8A4591">
                  <w:pPr>
                    <w:jc w:val="center"/>
                    <w:rPr>
                      <w:color w:val="000000" w:themeColor="text1"/>
                      <w:szCs w:val="21"/>
                      <w:u w:val="single"/>
                      <w14:textFill>
                        <w14:solidFill>
                          <w14:schemeClr w14:val="tx1"/>
                        </w14:solidFill>
                      </w14:textFill>
                    </w:rPr>
                  </w:pPr>
                </w:p>
              </w:tc>
              <w:tc>
                <w:tcPr>
                  <w:tcW w:w="783" w:type="pct"/>
                  <w:shd w:val="clear" w:color="auto" w:fill="auto"/>
                  <w:vAlign w:val="center"/>
                </w:tcPr>
                <w:p w14:paraId="33685C1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洗瓶废水</w:t>
                  </w:r>
                </w:p>
              </w:tc>
              <w:tc>
                <w:tcPr>
                  <w:tcW w:w="523" w:type="pct"/>
                  <w:shd w:val="clear" w:color="auto" w:fill="auto"/>
                  <w:vAlign w:val="center"/>
                </w:tcPr>
                <w:p w14:paraId="42D835E3">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147.065</w:t>
                  </w:r>
                </w:p>
              </w:tc>
              <w:tc>
                <w:tcPr>
                  <w:tcW w:w="552" w:type="pct"/>
                  <w:shd w:val="clear" w:color="auto" w:fill="auto"/>
                  <w:vAlign w:val="center"/>
                </w:tcPr>
                <w:p w14:paraId="0E92710B">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0.645</w:t>
                  </w:r>
                </w:p>
              </w:tc>
              <w:tc>
                <w:tcPr>
                  <w:tcW w:w="472" w:type="pct"/>
                  <w:shd w:val="clear" w:color="auto" w:fill="auto"/>
                  <w:vAlign w:val="center"/>
                </w:tcPr>
                <w:p w14:paraId="2906D8C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105</w:t>
                  </w:r>
                </w:p>
              </w:tc>
              <w:tc>
                <w:tcPr>
                  <w:tcW w:w="551" w:type="pct"/>
                  <w:shd w:val="clear" w:color="auto" w:fill="auto"/>
                  <w:vAlign w:val="center"/>
                </w:tcPr>
                <w:p w14:paraId="433C68F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w:t>
                  </w:r>
                </w:p>
              </w:tc>
              <w:tc>
                <w:tcPr>
                  <w:tcW w:w="439" w:type="pct"/>
                  <w:shd w:val="clear" w:color="auto" w:fill="auto"/>
                  <w:vAlign w:val="center"/>
                </w:tcPr>
                <w:p w14:paraId="052AB50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w:t>
                  </w:r>
                </w:p>
              </w:tc>
              <w:tc>
                <w:tcPr>
                  <w:tcW w:w="500" w:type="pct"/>
                  <w:shd w:val="clear" w:color="auto" w:fill="auto"/>
                  <w:vAlign w:val="center"/>
                </w:tcPr>
                <w:p w14:paraId="418870D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shd w:val="clear" w:color="auto" w:fill="auto"/>
                  <w:vAlign w:val="center"/>
                </w:tcPr>
                <w:p w14:paraId="588D48AC">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2B76DC8E">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1392B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restart"/>
                  <w:vAlign w:val="center"/>
                </w:tcPr>
                <w:p w14:paraId="0E4EB67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啤酒生产线</w:t>
                  </w:r>
                </w:p>
              </w:tc>
              <w:tc>
                <w:tcPr>
                  <w:tcW w:w="783" w:type="pct"/>
                  <w:vAlign w:val="center"/>
                </w:tcPr>
                <w:p w14:paraId="4F80539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w:t>
                  </w:r>
                  <w:r>
                    <w:rPr>
                      <w:color w:val="000000" w:themeColor="text1"/>
                      <w:szCs w:val="21"/>
                      <w14:textFill>
                        <w14:solidFill>
                          <w14:schemeClr w14:val="tx1"/>
                        </w14:solidFill>
                      </w14:textFill>
                    </w:rPr>
                    <w:t>麦糟、废酵母、废啤酒花及热凝固物渗滤液</w:t>
                  </w:r>
                  <w:r>
                    <w:rPr>
                      <w:rFonts w:hint="eastAsia"/>
                      <w:color w:val="000000" w:themeColor="text1"/>
                      <w:szCs w:val="21"/>
                      <w14:textFill>
                        <w14:solidFill>
                          <w14:schemeClr w14:val="tx1"/>
                        </w14:solidFill>
                      </w14:textFill>
                    </w:rPr>
                    <w:t>、CIP清洗系统废水</w:t>
                  </w:r>
                </w:p>
              </w:tc>
              <w:tc>
                <w:tcPr>
                  <w:tcW w:w="523" w:type="pct"/>
                  <w:vAlign w:val="center"/>
                </w:tcPr>
                <w:p w14:paraId="308052F4">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507.103</w:t>
                  </w:r>
                </w:p>
              </w:tc>
              <w:tc>
                <w:tcPr>
                  <w:tcW w:w="552" w:type="pct"/>
                  <w:shd w:val="clear" w:color="auto" w:fill="auto"/>
                  <w:vAlign w:val="center"/>
                </w:tcPr>
                <w:p w14:paraId="07E4A3DE">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2.224</w:t>
                  </w:r>
                </w:p>
              </w:tc>
              <w:tc>
                <w:tcPr>
                  <w:tcW w:w="472" w:type="pct"/>
                  <w:shd w:val="clear" w:color="auto" w:fill="auto"/>
                  <w:vAlign w:val="center"/>
                </w:tcPr>
                <w:p w14:paraId="4778FF9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1200</w:t>
                  </w:r>
                </w:p>
              </w:tc>
              <w:tc>
                <w:tcPr>
                  <w:tcW w:w="551" w:type="pct"/>
                  <w:shd w:val="clear" w:color="auto" w:fill="auto"/>
                  <w:vAlign w:val="center"/>
                </w:tcPr>
                <w:p w14:paraId="258880E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600</w:t>
                  </w:r>
                </w:p>
              </w:tc>
              <w:tc>
                <w:tcPr>
                  <w:tcW w:w="439" w:type="pct"/>
                  <w:shd w:val="clear" w:color="auto" w:fill="auto"/>
                  <w:vAlign w:val="center"/>
                </w:tcPr>
                <w:p w14:paraId="23FDB11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500" w:type="pct"/>
                  <w:shd w:val="clear" w:color="auto" w:fill="auto"/>
                  <w:vAlign w:val="center"/>
                </w:tcPr>
                <w:p w14:paraId="3794AEF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90</w:t>
                  </w:r>
                </w:p>
              </w:tc>
              <w:tc>
                <w:tcPr>
                  <w:tcW w:w="456" w:type="pct"/>
                  <w:shd w:val="clear" w:color="auto" w:fill="auto"/>
                  <w:vAlign w:val="center"/>
                </w:tcPr>
                <w:p w14:paraId="1CA5856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w:t>
                  </w:r>
                </w:p>
              </w:tc>
              <w:tc>
                <w:tcPr>
                  <w:tcW w:w="452" w:type="pct"/>
                  <w:shd w:val="clear" w:color="auto" w:fill="auto"/>
                  <w:vAlign w:val="center"/>
                </w:tcPr>
                <w:p w14:paraId="6F07CE0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w:t>
                  </w:r>
                </w:p>
              </w:tc>
            </w:tr>
            <w:tr w14:paraId="02B34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5FB229AC">
                  <w:pPr>
                    <w:jc w:val="center"/>
                    <w:rPr>
                      <w:color w:val="000000" w:themeColor="text1"/>
                      <w:szCs w:val="21"/>
                      <w14:textFill>
                        <w14:solidFill>
                          <w14:schemeClr w14:val="tx1"/>
                        </w14:solidFill>
                      </w14:textFill>
                    </w:rPr>
                  </w:pPr>
                </w:p>
              </w:tc>
              <w:tc>
                <w:tcPr>
                  <w:tcW w:w="783" w:type="pct"/>
                  <w:vAlign w:val="center"/>
                </w:tcPr>
                <w:p w14:paraId="0B46061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冷却废水</w:t>
                  </w:r>
                </w:p>
              </w:tc>
              <w:tc>
                <w:tcPr>
                  <w:tcW w:w="523" w:type="pct"/>
                  <w:vAlign w:val="center"/>
                </w:tcPr>
                <w:p w14:paraId="10CDA3B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150.0</w:t>
                  </w:r>
                </w:p>
              </w:tc>
              <w:tc>
                <w:tcPr>
                  <w:tcW w:w="552" w:type="pct"/>
                  <w:shd w:val="clear" w:color="auto" w:fill="auto"/>
                  <w:vAlign w:val="center"/>
                </w:tcPr>
                <w:p w14:paraId="7D850B2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0.658</w:t>
                  </w:r>
                </w:p>
              </w:tc>
              <w:tc>
                <w:tcPr>
                  <w:tcW w:w="472" w:type="pct"/>
                  <w:shd w:val="clear" w:color="auto" w:fill="auto"/>
                  <w:vAlign w:val="center"/>
                </w:tcPr>
                <w:p w14:paraId="6AFA84D4">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551" w:type="pct"/>
                  <w:shd w:val="clear" w:color="auto" w:fill="auto"/>
                  <w:vAlign w:val="center"/>
                </w:tcPr>
                <w:p w14:paraId="0A8F8D7F">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39" w:type="pct"/>
                  <w:shd w:val="clear" w:color="auto" w:fill="auto"/>
                  <w:vAlign w:val="center"/>
                </w:tcPr>
                <w:p w14:paraId="640DBED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w:t>
                  </w:r>
                </w:p>
              </w:tc>
              <w:tc>
                <w:tcPr>
                  <w:tcW w:w="500" w:type="pct"/>
                  <w:shd w:val="clear" w:color="auto" w:fill="auto"/>
                  <w:vAlign w:val="center"/>
                </w:tcPr>
                <w:p w14:paraId="7958819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shd w:val="clear" w:color="auto" w:fill="auto"/>
                  <w:vAlign w:val="center"/>
                </w:tcPr>
                <w:p w14:paraId="748E4C91">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6B577D15">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6DA2C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324BE6A7">
                  <w:pPr>
                    <w:jc w:val="center"/>
                    <w:rPr>
                      <w:color w:val="000000" w:themeColor="text1"/>
                      <w:szCs w:val="21"/>
                      <w14:textFill>
                        <w14:solidFill>
                          <w14:schemeClr w14:val="tx1"/>
                        </w14:solidFill>
                      </w14:textFill>
                    </w:rPr>
                  </w:pPr>
                </w:p>
              </w:tc>
              <w:tc>
                <w:tcPr>
                  <w:tcW w:w="783" w:type="pct"/>
                  <w:vAlign w:val="center"/>
                </w:tcPr>
                <w:p w14:paraId="6AD81BE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洗瓶废水</w:t>
                  </w:r>
                </w:p>
              </w:tc>
              <w:tc>
                <w:tcPr>
                  <w:tcW w:w="523" w:type="pct"/>
                  <w:shd w:val="clear" w:color="auto" w:fill="auto"/>
                  <w:vAlign w:val="center"/>
                </w:tcPr>
                <w:p w14:paraId="4A5E2C59">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164.530</w:t>
                  </w:r>
                </w:p>
              </w:tc>
              <w:tc>
                <w:tcPr>
                  <w:tcW w:w="552" w:type="pct"/>
                  <w:shd w:val="clear" w:color="auto" w:fill="auto"/>
                  <w:vAlign w:val="center"/>
                </w:tcPr>
                <w:p w14:paraId="19CACD9E">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0.722</w:t>
                  </w:r>
                </w:p>
              </w:tc>
              <w:tc>
                <w:tcPr>
                  <w:tcW w:w="472" w:type="pct"/>
                  <w:shd w:val="clear" w:color="auto" w:fill="auto"/>
                  <w:vAlign w:val="center"/>
                </w:tcPr>
                <w:p w14:paraId="244B471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105</w:t>
                  </w:r>
                </w:p>
              </w:tc>
              <w:tc>
                <w:tcPr>
                  <w:tcW w:w="551" w:type="pct"/>
                  <w:shd w:val="clear" w:color="auto" w:fill="auto"/>
                  <w:vAlign w:val="center"/>
                </w:tcPr>
                <w:p w14:paraId="5114779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w:t>
                  </w:r>
                </w:p>
              </w:tc>
              <w:tc>
                <w:tcPr>
                  <w:tcW w:w="439" w:type="pct"/>
                  <w:shd w:val="clear" w:color="auto" w:fill="auto"/>
                  <w:vAlign w:val="center"/>
                </w:tcPr>
                <w:p w14:paraId="7BEF72B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w:t>
                  </w:r>
                </w:p>
              </w:tc>
              <w:tc>
                <w:tcPr>
                  <w:tcW w:w="500" w:type="pct"/>
                  <w:shd w:val="clear" w:color="auto" w:fill="auto"/>
                  <w:vAlign w:val="center"/>
                </w:tcPr>
                <w:p w14:paraId="3EBB8190">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shd w:val="clear" w:color="auto" w:fill="auto"/>
                  <w:vAlign w:val="center"/>
                </w:tcPr>
                <w:p w14:paraId="0AAB639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6E6355C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3D3C7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restart"/>
                  <w:vAlign w:val="center"/>
                </w:tcPr>
                <w:p w14:paraId="3F6B93E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果酒生产线</w:t>
                  </w:r>
                </w:p>
              </w:tc>
              <w:tc>
                <w:tcPr>
                  <w:tcW w:w="783" w:type="pct"/>
                  <w:vAlign w:val="center"/>
                </w:tcPr>
                <w:p w14:paraId="2749B2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水果清洗废水</w:t>
                  </w:r>
                </w:p>
              </w:tc>
              <w:tc>
                <w:tcPr>
                  <w:tcW w:w="523" w:type="pct"/>
                  <w:vAlign w:val="center"/>
                </w:tcPr>
                <w:p w14:paraId="5DA0046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369.36</w:t>
                  </w:r>
                </w:p>
              </w:tc>
              <w:tc>
                <w:tcPr>
                  <w:tcW w:w="552" w:type="pct"/>
                  <w:vAlign w:val="center"/>
                </w:tcPr>
                <w:p w14:paraId="42115F1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1.62</w:t>
                  </w:r>
                </w:p>
              </w:tc>
              <w:tc>
                <w:tcPr>
                  <w:tcW w:w="472" w:type="pct"/>
                  <w:vAlign w:val="center"/>
                </w:tcPr>
                <w:p w14:paraId="7C41511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250</w:t>
                  </w:r>
                </w:p>
              </w:tc>
              <w:tc>
                <w:tcPr>
                  <w:tcW w:w="551" w:type="pct"/>
                  <w:vAlign w:val="center"/>
                </w:tcPr>
                <w:p w14:paraId="4387369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w:t>
                  </w:r>
                </w:p>
              </w:tc>
              <w:tc>
                <w:tcPr>
                  <w:tcW w:w="439" w:type="pct"/>
                  <w:vAlign w:val="center"/>
                </w:tcPr>
                <w:p w14:paraId="4DDB114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170</w:t>
                  </w:r>
                </w:p>
              </w:tc>
              <w:tc>
                <w:tcPr>
                  <w:tcW w:w="500" w:type="pct"/>
                  <w:shd w:val="clear" w:color="auto" w:fill="auto"/>
                  <w:vAlign w:val="center"/>
                </w:tcPr>
                <w:p w14:paraId="424BBB5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w:t>
                  </w:r>
                </w:p>
              </w:tc>
              <w:tc>
                <w:tcPr>
                  <w:tcW w:w="456" w:type="pct"/>
                  <w:shd w:val="clear" w:color="auto" w:fill="auto"/>
                  <w:vAlign w:val="center"/>
                </w:tcPr>
                <w:p w14:paraId="3300DA0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5C71B13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7857E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4DD23A6E">
                  <w:pPr>
                    <w:jc w:val="center"/>
                    <w:rPr>
                      <w:color w:val="000000" w:themeColor="text1"/>
                      <w:szCs w:val="21"/>
                      <w14:textFill>
                        <w14:solidFill>
                          <w14:schemeClr w14:val="tx1"/>
                        </w14:solidFill>
                      </w14:textFill>
                    </w:rPr>
                  </w:pPr>
                </w:p>
              </w:tc>
              <w:tc>
                <w:tcPr>
                  <w:tcW w:w="783" w:type="pct"/>
                  <w:vAlign w:val="center"/>
                </w:tcPr>
                <w:p w14:paraId="34F9BE7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果酒糟</w:t>
                  </w:r>
                  <w:r>
                    <w:rPr>
                      <w:rFonts w:hint="eastAsia"/>
                      <w:color w:val="000000" w:themeColor="text1"/>
                      <w:szCs w:val="21"/>
                      <w14:textFill>
                        <w14:solidFill>
                          <w14:schemeClr w14:val="tx1"/>
                        </w14:solidFill>
                      </w14:textFill>
                    </w:rPr>
                    <w:t>、果皮、果渣及果梗</w:t>
                  </w:r>
                  <w:r>
                    <w:rPr>
                      <w:color w:val="000000" w:themeColor="text1"/>
                      <w:szCs w:val="21"/>
                      <w14:textFill>
                        <w14:solidFill>
                          <w14:schemeClr w14:val="tx1"/>
                        </w14:solidFill>
                      </w14:textFill>
                    </w:rPr>
                    <w:t>渗滤液</w:t>
                  </w:r>
                </w:p>
              </w:tc>
              <w:tc>
                <w:tcPr>
                  <w:tcW w:w="523" w:type="pct"/>
                  <w:vAlign w:val="center"/>
                </w:tcPr>
                <w:p w14:paraId="5D78CE4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11.850</w:t>
                  </w:r>
                </w:p>
              </w:tc>
              <w:tc>
                <w:tcPr>
                  <w:tcW w:w="552" w:type="pct"/>
                  <w:vAlign w:val="center"/>
                </w:tcPr>
                <w:p w14:paraId="7856CA5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0.052</w:t>
                  </w:r>
                </w:p>
              </w:tc>
              <w:tc>
                <w:tcPr>
                  <w:tcW w:w="472" w:type="pct"/>
                  <w:vAlign w:val="center"/>
                </w:tcPr>
                <w:p w14:paraId="121B177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4000</w:t>
                  </w:r>
                </w:p>
              </w:tc>
              <w:tc>
                <w:tcPr>
                  <w:tcW w:w="551" w:type="pct"/>
                  <w:vAlign w:val="center"/>
                </w:tcPr>
                <w:p w14:paraId="670627B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3000</w:t>
                  </w:r>
                </w:p>
              </w:tc>
              <w:tc>
                <w:tcPr>
                  <w:tcW w:w="439" w:type="pct"/>
                  <w:vAlign w:val="center"/>
                </w:tcPr>
                <w:p w14:paraId="075805C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1500</w:t>
                  </w:r>
                </w:p>
              </w:tc>
              <w:tc>
                <w:tcPr>
                  <w:tcW w:w="500" w:type="pct"/>
                  <w:shd w:val="clear" w:color="auto" w:fill="auto"/>
                  <w:vAlign w:val="center"/>
                </w:tcPr>
                <w:p w14:paraId="0FC517D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w:t>
                  </w:r>
                </w:p>
              </w:tc>
              <w:tc>
                <w:tcPr>
                  <w:tcW w:w="456" w:type="pct"/>
                  <w:shd w:val="clear" w:color="auto" w:fill="auto"/>
                  <w:vAlign w:val="center"/>
                </w:tcPr>
                <w:p w14:paraId="4379187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260</w:t>
                  </w:r>
                </w:p>
              </w:tc>
              <w:tc>
                <w:tcPr>
                  <w:tcW w:w="452" w:type="pct"/>
                  <w:shd w:val="clear" w:color="auto" w:fill="auto"/>
                  <w:vAlign w:val="center"/>
                </w:tcPr>
                <w:p w14:paraId="5C47C07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100</w:t>
                  </w:r>
                </w:p>
              </w:tc>
            </w:tr>
            <w:tr w14:paraId="67887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706AE889">
                  <w:pPr>
                    <w:jc w:val="center"/>
                    <w:rPr>
                      <w:color w:val="000000" w:themeColor="text1"/>
                      <w:szCs w:val="21"/>
                      <w14:textFill>
                        <w14:solidFill>
                          <w14:schemeClr w14:val="tx1"/>
                        </w14:solidFill>
                      </w14:textFill>
                    </w:rPr>
                  </w:pPr>
                </w:p>
              </w:tc>
              <w:tc>
                <w:tcPr>
                  <w:tcW w:w="783" w:type="pct"/>
                  <w:vAlign w:val="center"/>
                </w:tcPr>
                <w:p w14:paraId="7612548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清洗机、粉碎机清洗废水</w:t>
                  </w:r>
                </w:p>
              </w:tc>
              <w:tc>
                <w:tcPr>
                  <w:tcW w:w="523" w:type="pct"/>
                  <w:vAlign w:val="center"/>
                </w:tcPr>
                <w:p w14:paraId="7994828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205.2</w:t>
                  </w:r>
                </w:p>
              </w:tc>
              <w:tc>
                <w:tcPr>
                  <w:tcW w:w="552" w:type="pct"/>
                  <w:vAlign w:val="center"/>
                </w:tcPr>
                <w:p w14:paraId="5DDF088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0.9</w:t>
                  </w:r>
                </w:p>
              </w:tc>
              <w:tc>
                <w:tcPr>
                  <w:tcW w:w="472" w:type="pct"/>
                  <w:vAlign w:val="center"/>
                </w:tcPr>
                <w:p w14:paraId="7931A7C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1600</w:t>
                  </w:r>
                </w:p>
              </w:tc>
              <w:tc>
                <w:tcPr>
                  <w:tcW w:w="551" w:type="pct"/>
                  <w:vAlign w:val="center"/>
                </w:tcPr>
                <w:p w14:paraId="42EA90D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900</w:t>
                  </w:r>
                </w:p>
              </w:tc>
              <w:tc>
                <w:tcPr>
                  <w:tcW w:w="439" w:type="pct"/>
                  <w:vAlign w:val="center"/>
                </w:tcPr>
                <w:p w14:paraId="3EB6687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700</w:t>
                  </w:r>
                </w:p>
              </w:tc>
              <w:tc>
                <w:tcPr>
                  <w:tcW w:w="500" w:type="pct"/>
                  <w:vAlign w:val="center"/>
                </w:tcPr>
                <w:p w14:paraId="7F2F835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w:t>
                  </w:r>
                </w:p>
              </w:tc>
              <w:tc>
                <w:tcPr>
                  <w:tcW w:w="456" w:type="pct"/>
                  <w:vAlign w:val="center"/>
                </w:tcPr>
                <w:p w14:paraId="121B67A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w:t>
                  </w:r>
                </w:p>
              </w:tc>
              <w:tc>
                <w:tcPr>
                  <w:tcW w:w="452" w:type="pct"/>
                  <w:vAlign w:val="center"/>
                </w:tcPr>
                <w:p w14:paraId="032D96C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w:t>
                  </w:r>
                </w:p>
              </w:tc>
            </w:tr>
            <w:tr w14:paraId="72E7E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0A46DDCE">
                  <w:pPr>
                    <w:jc w:val="center"/>
                    <w:rPr>
                      <w:color w:val="000000" w:themeColor="text1"/>
                      <w:szCs w:val="21"/>
                      <w14:textFill>
                        <w14:solidFill>
                          <w14:schemeClr w14:val="tx1"/>
                        </w14:solidFill>
                      </w14:textFill>
                    </w:rPr>
                  </w:pPr>
                </w:p>
              </w:tc>
              <w:tc>
                <w:tcPr>
                  <w:tcW w:w="783" w:type="pct"/>
                  <w:vAlign w:val="center"/>
                </w:tcPr>
                <w:p w14:paraId="5C2CDA8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发酵（浸渍）罐</w:t>
                  </w:r>
                  <w:r>
                    <w:rPr>
                      <w:rFonts w:hint="eastAsia"/>
                      <w:color w:val="000000" w:themeColor="text1"/>
                      <w:szCs w:val="21"/>
                      <w14:textFill>
                        <w14:solidFill>
                          <w14:schemeClr w14:val="tx1"/>
                        </w14:solidFill>
                      </w14:textFill>
                    </w:rPr>
                    <w:t>、陈酿罐、压榨机、过滤机、灌装机设备清洗废水</w:t>
                  </w:r>
                </w:p>
              </w:tc>
              <w:tc>
                <w:tcPr>
                  <w:tcW w:w="523" w:type="pct"/>
                  <w:vAlign w:val="center"/>
                </w:tcPr>
                <w:p w14:paraId="328934B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160.2</w:t>
                  </w:r>
                </w:p>
              </w:tc>
              <w:tc>
                <w:tcPr>
                  <w:tcW w:w="552" w:type="pct"/>
                  <w:vAlign w:val="center"/>
                </w:tcPr>
                <w:p w14:paraId="378B778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0.703</w:t>
                  </w:r>
                </w:p>
              </w:tc>
              <w:tc>
                <w:tcPr>
                  <w:tcW w:w="472" w:type="pct"/>
                  <w:vAlign w:val="center"/>
                </w:tcPr>
                <w:p w14:paraId="490BDDC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2500</w:t>
                  </w:r>
                </w:p>
              </w:tc>
              <w:tc>
                <w:tcPr>
                  <w:tcW w:w="551" w:type="pct"/>
                  <w:vAlign w:val="center"/>
                </w:tcPr>
                <w:p w14:paraId="6333A4C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1600</w:t>
                  </w:r>
                </w:p>
              </w:tc>
              <w:tc>
                <w:tcPr>
                  <w:tcW w:w="439" w:type="pct"/>
                  <w:vAlign w:val="center"/>
                </w:tcPr>
                <w:p w14:paraId="19BECCF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900</w:t>
                  </w:r>
                </w:p>
              </w:tc>
              <w:tc>
                <w:tcPr>
                  <w:tcW w:w="500" w:type="pct"/>
                  <w:vAlign w:val="center"/>
                </w:tcPr>
                <w:p w14:paraId="01E06D5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45</w:t>
                  </w:r>
                </w:p>
              </w:tc>
              <w:tc>
                <w:tcPr>
                  <w:tcW w:w="456" w:type="pct"/>
                  <w:vAlign w:val="center"/>
                </w:tcPr>
                <w:p w14:paraId="6BA49E6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160</w:t>
                  </w:r>
                </w:p>
              </w:tc>
              <w:tc>
                <w:tcPr>
                  <w:tcW w:w="452" w:type="pct"/>
                  <w:vAlign w:val="center"/>
                </w:tcPr>
                <w:p w14:paraId="3872F61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40</w:t>
                  </w:r>
                </w:p>
              </w:tc>
            </w:tr>
            <w:tr w14:paraId="648A6D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6139693C">
                  <w:pPr>
                    <w:jc w:val="center"/>
                    <w:rPr>
                      <w:color w:val="000000" w:themeColor="text1"/>
                      <w:szCs w:val="21"/>
                      <w14:textFill>
                        <w14:solidFill>
                          <w14:schemeClr w14:val="tx1"/>
                        </w14:solidFill>
                      </w14:textFill>
                    </w:rPr>
                  </w:pPr>
                </w:p>
              </w:tc>
              <w:tc>
                <w:tcPr>
                  <w:tcW w:w="783" w:type="pct"/>
                  <w:vAlign w:val="center"/>
                </w:tcPr>
                <w:p w14:paraId="3793F8B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洗瓶废水</w:t>
                  </w:r>
                </w:p>
              </w:tc>
              <w:tc>
                <w:tcPr>
                  <w:tcW w:w="523" w:type="pct"/>
                  <w:vAlign w:val="center"/>
                </w:tcPr>
                <w:p w14:paraId="75AE83D5">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169.744</w:t>
                  </w:r>
                </w:p>
              </w:tc>
              <w:tc>
                <w:tcPr>
                  <w:tcW w:w="552" w:type="pct"/>
                  <w:shd w:val="clear" w:color="auto" w:fill="auto"/>
                  <w:vAlign w:val="center"/>
                </w:tcPr>
                <w:p w14:paraId="0AA2712D">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0.744</w:t>
                  </w:r>
                </w:p>
              </w:tc>
              <w:tc>
                <w:tcPr>
                  <w:tcW w:w="472" w:type="pct"/>
                  <w:shd w:val="clear" w:color="auto" w:fill="auto"/>
                  <w:vAlign w:val="center"/>
                </w:tcPr>
                <w:p w14:paraId="4346BC7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105</w:t>
                  </w:r>
                </w:p>
              </w:tc>
              <w:tc>
                <w:tcPr>
                  <w:tcW w:w="551" w:type="pct"/>
                  <w:shd w:val="clear" w:color="auto" w:fill="auto"/>
                  <w:vAlign w:val="center"/>
                </w:tcPr>
                <w:p w14:paraId="050D002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w:t>
                  </w:r>
                </w:p>
              </w:tc>
              <w:tc>
                <w:tcPr>
                  <w:tcW w:w="439" w:type="pct"/>
                  <w:shd w:val="clear" w:color="auto" w:fill="auto"/>
                  <w:vAlign w:val="center"/>
                </w:tcPr>
                <w:p w14:paraId="279D201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w:t>
                  </w:r>
                </w:p>
              </w:tc>
              <w:tc>
                <w:tcPr>
                  <w:tcW w:w="500" w:type="pct"/>
                  <w:shd w:val="clear" w:color="auto" w:fill="auto"/>
                  <w:vAlign w:val="center"/>
                </w:tcPr>
                <w:p w14:paraId="6CBA21A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shd w:val="clear" w:color="auto" w:fill="auto"/>
                  <w:vAlign w:val="center"/>
                </w:tcPr>
                <w:p w14:paraId="084D00B3">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1252F918">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2AC7FD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restart"/>
                  <w:vAlign w:val="center"/>
                </w:tcPr>
                <w:p w14:paraId="27ABDDA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植物饮料生产线</w:t>
                  </w:r>
                </w:p>
              </w:tc>
              <w:tc>
                <w:tcPr>
                  <w:tcW w:w="783" w:type="pct"/>
                  <w:vAlign w:val="center"/>
                </w:tcPr>
                <w:p w14:paraId="30B71C8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原料清洗废水</w:t>
                  </w:r>
                </w:p>
              </w:tc>
              <w:tc>
                <w:tcPr>
                  <w:tcW w:w="523" w:type="pct"/>
                  <w:vAlign w:val="center"/>
                </w:tcPr>
                <w:p w14:paraId="75367438">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246.24</w:t>
                  </w:r>
                </w:p>
              </w:tc>
              <w:tc>
                <w:tcPr>
                  <w:tcW w:w="552" w:type="pct"/>
                  <w:shd w:val="clear" w:color="auto" w:fill="auto"/>
                  <w:vAlign w:val="center"/>
                </w:tcPr>
                <w:p w14:paraId="3E8A2F19">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1.08</w:t>
                  </w:r>
                </w:p>
              </w:tc>
              <w:tc>
                <w:tcPr>
                  <w:tcW w:w="472" w:type="pct"/>
                  <w:shd w:val="clear" w:color="auto" w:fill="auto"/>
                  <w:vAlign w:val="center"/>
                </w:tcPr>
                <w:p w14:paraId="2E32414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280</w:t>
                  </w:r>
                </w:p>
              </w:tc>
              <w:tc>
                <w:tcPr>
                  <w:tcW w:w="551" w:type="pct"/>
                  <w:shd w:val="clear" w:color="auto" w:fill="auto"/>
                  <w:vAlign w:val="center"/>
                </w:tcPr>
                <w:p w14:paraId="5CC07CD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439" w:type="pct"/>
                  <w:shd w:val="clear" w:color="auto" w:fill="auto"/>
                  <w:vAlign w:val="center"/>
                </w:tcPr>
                <w:p w14:paraId="5F2FED7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170</w:t>
                  </w:r>
                </w:p>
              </w:tc>
              <w:tc>
                <w:tcPr>
                  <w:tcW w:w="500" w:type="pct"/>
                  <w:shd w:val="clear" w:color="auto" w:fill="auto"/>
                  <w:vAlign w:val="center"/>
                </w:tcPr>
                <w:p w14:paraId="200F28B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w:t>
                  </w:r>
                </w:p>
              </w:tc>
              <w:tc>
                <w:tcPr>
                  <w:tcW w:w="456" w:type="pct"/>
                  <w:shd w:val="clear" w:color="auto" w:fill="auto"/>
                  <w:vAlign w:val="center"/>
                </w:tcPr>
                <w:p w14:paraId="3052974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0A143DA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36E32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043C69F8">
                  <w:pPr>
                    <w:jc w:val="center"/>
                    <w:rPr>
                      <w:color w:val="000000" w:themeColor="text1"/>
                      <w:szCs w:val="21"/>
                      <w14:textFill>
                        <w14:solidFill>
                          <w14:schemeClr w14:val="tx1"/>
                        </w14:solidFill>
                      </w14:textFill>
                    </w:rPr>
                  </w:pPr>
                </w:p>
              </w:tc>
              <w:tc>
                <w:tcPr>
                  <w:tcW w:w="783" w:type="pct"/>
                  <w:vAlign w:val="center"/>
                </w:tcPr>
                <w:p w14:paraId="52FA29E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清洗机、粉碎机、混合罐等</w:t>
                  </w:r>
                </w:p>
              </w:tc>
              <w:tc>
                <w:tcPr>
                  <w:tcW w:w="523" w:type="pct"/>
                  <w:vAlign w:val="center"/>
                </w:tcPr>
                <w:p w14:paraId="7D59C669">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34.2</w:t>
                  </w:r>
                </w:p>
              </w:tc>
              <w:tc>
                <w:tcPr>
                  <w:tcW w:w="552" w:type="pct"/>
                  <w:shd w:val="clear" w:color="auto" w:fill="auto"/>
                  <w:vAlign w:val="center"/>
                </w:tcPr>
                <w:p w14:paraId="36DA667F">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0.15</w:t>
                  </w:r>
                </w:p>
              </w:tc>
              <w:tc>
                <w:tcPr>
                  <w:tcW w:w="472" w:type="pct"/>
                  <w:shd w:val="clear" w:color="auto" w:fill="auto"/>
                  <w:vAlign w:val="center"/>
                </w:tcPr>
                <w:p w14:paraId="06C2757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1500</w:t>
                  </w:r>
                </w:p>
              </w:tc>
              <w:tc>
                <w:tcPr>
                  <w:tcW w:w="551" w:type="pct"/>
                  <w:shd w:val="clear" w:color="auto" w:fill="auto"/>
                  <w:vAlign w:val="center"/>
                </w:tcPr>
                <w:p w14:paraId="65E7221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900</w:t>
                  </w:r>
                </w:p>
              </w:tc>
              <w:tc>
                <w:tcPr>
                  <w:tcW w:w="439" w:type="pct"/>
                  <w:shd w:val="clear" w:color="auto" w:fill="auto"/>
                  <w:vAlign w:val="center"/>
                </w:tcPr>
                <w:p w14:paraId="0CD4CD5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700</w:t>
                  </w:r>
                </w:p>
              </w:tc>
              <w:tc>
                <w:tcPr>
                  <w:tcW w:w="500" w:type="pct"/>
                  <w:shd w:val="clear" w:color="auto" w:fill="auto"/>
                  <w:vAlign w:val="center"/>
                </w:tcPr>
                <w:p w14:paraId="2698433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w:t>
                  </w:r>
                </w:p>
              </w:tc>
              <w:tc>
                <w:tcPr>
                  <w:tcW w:w="456" w:type="pct"/>
                  <w:shd w:val="clear" w:color="auto" w:fill="auto"/>
                  <w:vAlign w:val="center"/>
                </w:tcPr>
                <w:p w14:paraId="3B5B88A3">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1B99220B">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2AD1A7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56807B58">
                  <w:pPr>
                    <w:jc w:val="center"/>
                    <w:rPr>
                      <w:color w:val="000000" w:themeColor="text1"/>
                      <w:szCs w:val="21"/>
                      <w14:textFill>
                        <w14:solidFill>
                          <w14:schemeClr w14:val="tx1"/>
                        </w14:solidFill>
                      </w14:textFill>
                    </w:rPr>
                  </w:pPr>
                </w:p>
              </w:tc>
              <w:tc>
                <w:tcPr>
                  <w:tcW w:w="783" w:type="pct"/>
                  <w:vAlign w:val="center"/>
                </w:tcPr>
                <w:p w14:paraId="732F10F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洗瓶废水</w:t>
                  </w:r>
                </w:p>
              </w:tc>
              <w:tc>
                <w:tcPr>
                  <w:tcW w:w="523" w:type="pct"/>
                  <w:vAlign w:val="center"/>
                </w:tcPr>
                <w:p w14:paraId="6BD93967">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173.077</w:t>
                  </w:r>
                </w:p>
              </w:tc>
              <w:tc>
                <w:tcPr>
                  <w:tcW w:w="552" w:type="pct"/>
                  <w:shd w:val="clear" w:color="auto" w:fill="auto"/>
                  <w:vAlign w:val="center"/>
                </w:tcPr>
                <w:p w14:paraId="5DC04090">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0.759</w:t>
                  </w:r>
                </w:p>
              </w:tc>
              <w:tc>
                <w:tcPr>
                  <w:tcW w:w="472" w:type="pct"/>
                  <w:shd w:val="clear" w:color="auto" w:fill="auto"/>
                  <w:vAlign w:val="center"/>
                </w:tcPr>
                <w:p w14:paraId="377F210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105</w:t>
                  </w:r>
                </w:p>
              </w:tc>
              <w:tc>
                <w:tcPr>
                  <w:tcW w:w="551" w:type="pct"/>
                  <w:shd w:val="clear" w:color="auto" w:fill="auto"/>
                  <w:vAlign w:val="center"/>
                </w:tcPr>
                <w:p w14:paraId="40D321E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w:t>
                  </w:r>
                </w:p>
              </w:tc>
              <w:tc>
                <w:tcPr>
                  <w:tcW w:w="439" w:type="pct"/>
                  <w:shd w:val="clear" w:color="auto" w:fill="auto"/>
                  <w:vAlign w:val="center"/>
                </w:tcPr>
                <w:p w14:paraId="718BA9D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w:t>
                  </w:r>
                </w:p>
              </w:tc>
              <w:tc>
                <w:tcPr>
                  <w:tcW w:w="500" w:type="pct"/>
                  <w:shd w:val="clear" w:color="auto" w:fill="auto"/>
                  <w:vAlign w:val="center"/>
                </w:tcPr>
                <w:p w14:paraId="260188E1">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6" w:type="pct"/>
                  <w:shd w:val="clear" w:color="auto" w:fill="auto"/>
                  <w:vAlign w:val="center"/>
                </w:tcPr>
                <w:p w14:paraId="641B1FC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52" w:type="pct"/>
                  <w:shd w:val="clear" w:color="auto" w:fill="auto"/>
                  <w:vAlign w:val="center"/>
                </w:tcPr>
                <w:p w14:paraId="1DEA62AC">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46376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restart"/>
                  <w:vAlign w:val="center"/>
                </w:tcPr>
                <w:p w14:paraId="7EDBF76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医疗器械生产线</w:t>
                  </w:r>
                </w:p>
              </w:tc>
              <w:tc>
                <w:tcPr>
                  <w:tcW w:w="2110" w:type="dxa"/>
                  <w:vAlign w:val="center"/>
                </w:tcPr>
                <w:p w14:paraId="7B296EE4">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原料清洗废水</w:t>
                  </w:r>
                </w:p>
              </w:tc>
              <w:tc>
                <w:tcPr>
                  <w:tcW w:w="1410" w:type="dxa"/>
                  <w:vAlign w:val="center"/>
                </w:tcPr>
                <w:p w14:paraId="5891201E">
                  <w:pPr>
                    <w:jc w:val="center"/>
                    <w:rPr>
                      <w:rFonts w:hint="eastAsia"/>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246.24</w:t>
                  </w:r>
                </w:p>
              </w:tc>
              <w:tc>
                <w:tcPr>
                  <w:tcW w:w="1488" w:type="dxa"/>
                  <w:vAlign w:val="center"/>
                </w:tcPr>
                <w:p w14:paraId="47A37A01">
                  <w:pPr>
                    <w:jc w:val="center"/>
                    <w:rPr>
                      <w:rFonts w:hint="eastAsia"/>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1.08</w:t>
                  </w:r>
                </w:p>
              </w:tc>
              <w:tc>
                <w:tcPr>
                  <w:tcW w:w="1272" w:type="dxa"/>
                  <w:vAlign w:val="center"/>
                </w:tcPr>
                <w:p w14:paraId="51114A51">
                  <w:pPr>
                    <w:widowControl/>
                    <w:jc w:val="center"/>
                    <w:textAlignment w:val="center"/>
                    <w:rPr>
                      <w:rFonts w:hint="eastAsia"/>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280</w:t>
                  </w:r>
                </w:p>
              </w:tc>
              <w:tc>
                <w:tcPr>
                  <w:tcW w:w="1485" w:type="dxa"/>
                  <w:vAlign w:val="center"/>
                </w:tcPr>
                <w:p w14:paraId="387AAA90">
                  <w:pPr>
                    <w:widowControl/>
                    <w:jc w:val="center"/>
                    <w:textAlignment w:val="center"/>
                    <w:rPr>
                      <w:rFonts w:hint="eastAsia"/>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1183" w:type="dxa"/>
                  <w:vAlign w:val="center"/>
                </w:tcPr>
                <w:p w14:paraId="794C9FEE">
                  <w:pPr>
                    <w:widowControl/>
                    <w:jc w:val="center"/>
                    <w:textAlignment w:val="center"/>
                    <w:rPr>
                      <w:rFonts w:hint="eastAsia"/>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170</w:t>
                  </w:r>
                </w:p>
              </w:tc>
              <w:tc>
                <w:tcPr>
                  <w:tcW w:w="1348" w:type="dxa"/>
                  <w:vAlign w:val="center"/>
                </w:tcPr>
                <w:p w14:paraId="77A50759">
                  <w:pPr>
                    <w:widowControl/>
                    <w:jc w:val="center"/>
                    <w:textAlignment w:val="center"/>
                    <w:rPr>
                      <w:rFonts w:hint="eastAsia"/>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w:t>
                  </w:r>
                </w:p>
              </w:tc>
              <w:tc>
                <w:tcPr>
                  <w:tcW w:w="1229" w:type="dxa"/>
                  <w:vAlign w:val="center"/>
                </w:tcPr>
                <w:p w14:paraId="61A4C6AF">
                  <w:pPr>
                    <w:widowControl/>
                    <w:jc w:val="center"/>
                    <w:textAlignment w:val="center"/>
                    <w:rPr>
                      <w:rFonts w:hint="eastAsia"/>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1218" w:type="dxa"/>
                  <w:vAlign w:val="center"/>
                </w:tcPr>
                <w:p w14:paraId="036A5E34">
                  <w:pPr>
                    <w:widowControl/>
                    <w:jc w:val="center"/>
                    <w:textAlignment w:val="center"/>
                    <w:rPr>
                      <w:rFonts w:hint="eastAsia"/>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6EF4E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69" w:type="pct"/>
                  <w:vMerge w:val="continue"/>
                  <w:vAlign w:val="center"/>
                </w:tcPr>
                <w:p w14:paraId="73D8E658">
                  <w:pPr>
                    <w:jc w:val="center"/>
                    <w:rPr>
                      <w:color w:val="000000" w:themeColor="text1"/>
                      <w:szCs w:val="21"/>
                      <w14:textFill>
                        <w14:solidFill>
                          <w14:schemeClr w14:val="tx1"/>
                        </w14:solidFill>
                      </w14:textFill>
                    </w:rPr>
                  </w:pPr>
                </w:p>
              </w:tc>
              <w:tc>
                <w:tcPr>
                  <w:tcW w:w="783" w:type="pct"/>
                  <w:vAlign w:val="center"/>
                </w:tcPr>
                <w:p w14:paraId="7045D0A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设备及车间清洗废水</w:t>
                  </w:r>
                </w:p>
              </w:tc>
              <w:tc>
                <w:tcPr>
                  <w:tcW w:w="523" w:type="pct"/>
                  <w:vAlign w:val="center"/>
                </w:tcPr>
                <w:p w14:paraId="615C4C8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1067.04</w:t>
                  </w:r>
                </w:p>
              </w:tc>
              <w:tc>
                <w:tcPr>
                  <w:tcW w:w="552" w:type="pct"/>
                  <w:vAlign w:val="center"/>
                </w:tcPr>
                <w:p w14:paraId="09884C4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4.68</w:t>
                  </w:r>
                </w:p>
              </w:tc>
              <w:tc>
                <w:tcPr>
                  <w:tcW w:w="472" w:type="pct"/>
                  <w:vAlign w:val="center"/>
                </w:tcPr>
                <w:p w14:paraId="17CC979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585</w:t>
                  </w:r>
                </w:p>
              </w:tc>
              <w:tc>
                <w:tcPr>
                  <w:tcW w:w="551" w:type="pct"/>
                  <w:vAlign w:val="center"/>
                </w:tcPr>
                <w:p w14:paraId="7CB4620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334</w:t>
                  </w:r>
                </w:p>
              </w:tc>
              <w:tc>
                <w:tcPr>
                  <w:tcW w:w="439" w:type="pct"/>
                  <w:vAlign w:val="center"/>
                </w:tcPr>
                <w:p w14:paraId="12601E5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84</w:t>
                  </w:r>
                </w:p>
              </w:tc>
              <w:tc>
                <w:tcPr>
                  <w:tcW w:w="500" w:type="pct"/>
                  <w:vAlign w:val="center"/>
                </w:tcPr>
                <w:p w14:paraId="17DC7A4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3.19</w:t>
                  </w:r>
                </w:p>
              </w:tc>
              <w:tc>
                <w:tcPr>
                  <w:tcW w:w="456" w:type="pct"/>
                  <w:vAlign w:val="center"/>
                </w:tcPr>
                <w:p w14:paraId="4A49A07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68.2</w:t>
                  </w:r>
                </w:p>
              </w:tc>
              <w:tc>
                <w:tcPr>
                  <w:tcW w:w="452" w:type="pct"/>
                  <w:vAlign w:val="center"/>
                </w:tcPr>
                <w:p w14:paraId="1D741EC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0.56</w:t>
                  </w:r>
                </w:p>
              </w:tc>
            </w:tr>
            <w:tr w14:paraId="661E0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2" w:type="pct"/>
                  <w:gridSpan w:val="2"/>
                  <w:vAlign w:val="center"/>
                </w:tcPr>
                <w:p w14:paraId="1F2AAB8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纯水制备浓水</w:t>
                  </w:r>
                </w:p>
              </w:tc>
              <w:tc>
                <w:tcPr>
                  <w:tcW w:w="523" w:type="pct"/>
                  <w:vAlign w:val="center"/>
                </w:tcPr>
                <w:p w14:paraId="73558CD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1214.</w:t>
                  </w:r>
                  <w:r>
                    <w:rPr>
                      <w:rFonts w:hint="eastAsia"/>
                      <w:color w:val="000000" w:themeColor="text1"/>
                      <w:szCs w:val="21"/>
                      <w:lang w:val="en-US" w:eastAsia="zh-CN"/>
                      <w14:textFill>
                        <w14:solidFill>
                          <w14:schemeClr w14:val="tx1"/>
                        </w14:solidFill>
                      </w14:textFill>
                    </w:rPr>
                    <w:t>99</w:t>
                  </w:r>
                  <w:r>
                    <w:rPr>
                      <w:rFonts w:hint="eastAsia"/>
                      <w:color w:val="000000" w:themeColor="text1"/>
                      <w:szCs w:val="21"/>
                      <w14:textFill>
                        <w14:solidFill>
                          <w14:schemeClr w14:val="tx1"/>
                        </w14:solidFill>
                      </w14:textFill>
                    </w:rPr>
                    <w:t>3</w:t>
                  </w:r>
                </w:p>
              </w:tc>
              <w:tc>
                <w:tcPr>
                  <w:tcW w:w="552" w:type="pct"/>
                  <w:vAlign w:val="center"/>
                </w:tcPr>
                <w:p w14:paraId="4E9B2BB7">
                  <w:pPr>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14:textFill>
                        <w14:solidFill>
                          <w14:schemeClr w14:val="tx1"/>
                        </w14:solidFill>
                      </w14:textFill>
                    </w:rPr>
                    <w:t>5.32</w:t>
                  </w:r>
                  <w:r>
                    <w:rPr>
                      <w:rFonts w:hint="eastAsia"/>
                      <w:color w:val="000000" w:themeColor="text1"/>
                      <w:szCs w:val="21"/>
                      <w:lang w:val="en-US" w:eastAsia="zh-CN"/>
                      <w14:textFill>
                        <w14:solidFill>
                          <w14:schemeClr w14:val="tx1"/>
                        </w14:solidFill>
                      </w14:textFill>
                    </w:rPr>
                    <w:t>9</w:t>
                  </w:r>
                </w:p>
              </w:tc>
              <w:tc>
                <w:tcPr>
                  <w:tcW w:w="472" w:type="pct"/>
                  <w:vAlign w:val="center"/>
                </w:tcPr>
                <w:p w14:paraId="4EBCA5B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551" w:type="pct"/>
                  <w:vAlign w:val="center"/>
                </w:tcPr>
                <w:p w14:paraId="7F69EC9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439" w:type="pct"/>
                  <w:vAlign w:val="center"/>
                </w:tcPr>
                <w:p w14:paraId="0C0185D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500" w:type="pct"/>
                  <w:vAlign w:val="center"/>
                </w:tcPr>
                <w:p w14:paraId="767D6615">
                  <w:pPr>
                    <w:jc w:val="center"/>
                    <w:rPr>
                      <w:rFonts w:ascii="Times" w:hAnsi="Times" w:eastAsia="Times" w:cs="Times"/>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c>
                <w:tcPr>
                  <w:tcW w:w="456" w:type="pct"/>
                  <w:vAlign w:val="center"/>
                </w:tcPr>
                <w:p w14:paraId="15BCEE37">
                  <w:pPr>
                    <w:jc w:val="center"/>
                    <w:rPr>
                      <w:rFonts w:ascii="Times" w:hAnsi="Times" w:eastAsia="Times" w:cs="Times"/>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c>
                <w:tcPr>
                  <w:tcW w:w="452" w:type="pct"/>
                  <w:vAlign w:val="center"/>
                </w:tcPr>
                <w:p w14:paraId="24686915">
                  <w:pPr>
                    <w:jc w:val="center"/>
                    <w:rPr>
                      <w:rFonts w:ascii="Times" w:hAnsi="Times" w:eastAsia="Times" w:cs="Times"/>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r>
            <w:tr w14:paraId="5093F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2" w:type="pct"/>
                  <w:gridSpan w:val="2"/>
                  <w:vAlign w:val="center"/>
                </w:tcPr>
                <w:p w14:paraId="6E794FA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黄酒及综合车间地面清洁废水</w:t>
                  </w:r>
                </w:p>
              </w:tc>
              <w:tc>
                <w:tcPr>
                  <w:tcW w:w="523" w:type="pct"/>
                  <w:vAlign w:val="center"/>
                </w:tcPr>
                <w:p w14:paraId="0FEA9B7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352.836</w:t>
                  </w:r>
                </w:p>
              </w:tc>
              <w:tc>
                <w:tcPr>
                  <w:tcW w:w="552" w:type="pct"/>
                  <w:vAlign w:val="center"/>
                </w:tcPr>
                <w:p w14:paraId="5E2524F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1.548</w:t>
                  </w:r>
                </w:p>
              </w:tc>
              <w:tc>
                <w:tcPr>
                  <w:tcW w:w="472" w:type="pct"/>
                  <w:vAlign w:val="center"/>
                </w:tcPr>
                <w:p w14:paraId="1E9335F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370</w:t>
                  </w:r>
                </w:p>
              </w:tc>
              <w:tc>
                <w:tcPr>
                  <w:tcW w:w="551" w:type="pct"/>
                  <w:vAlign w:val="center"/>
                </w:tcPr>
                <w:p w14:paraId="473F5FE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120</w:t>
                  </w:r>
                </w:p>
              </w:tc>
              <w:tc>
                <w:tcPr>
                  <w:tcW w:w="439" w:type="pct"/>
                  <w:vAlign w:val="center"/>
                </w:tcPr>
                <w:p w14:paraId="315E7D9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660</w:t>
                  </w:r>
                </w:p>
              </w:tc>
              <w:tc>
                <w:tcPr>
                  <w:tcW w:w="500" w:type="pct"/>
                  <w:vAlign w:val="center"/>
                </w:tcPr>
                <w:p w14:paraId="3E101542">
                  <w:pPr>
                    <w:jc w:val="center"/>
                    <w:rPr>
                      <w:rFonts w:ascii="Times" w:hAnsi="Times" w:eastAsia="Times" w:cs="Times"/>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c>
                <w:tcPr>
                  <w:tcW w:w="456" w:type="pct"/>
                  <w:vAlign w:val="center"/>
                </w:tcPr>
                <w:p w14:paraId="22D2A86C">
                  <w:pPr>
                    <w:jc w:val="center"/>
                    <w:rPr>
                      <w:rFonts w:ascii="Times" w:hAnsi="Times" w:eastAsia="Times" w:cs="Times"/>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c>
                <w:tcPr>
                  <w:tcW w:w="452" w:type="pct"/>
                  <w:vAlign w:val="center"/>
                </w:tcPr>
                <w:p w14:paraId="0DE4332E">
                  <w:pPr>
                    <w:jc w:val="center"/>
                    <w:rPr>
                      <w:rFonts w:ascii="Times" w:hAnsi="Times" w:eastAsia="Times" w:cs="Times"/>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r>
            <w:tr w14:paraId="7313B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52" w:type="pct"/>
                  <w:gridSpan w:val="2"/>
                  <w:vAlign w:val="center"/>
                </w:tcPr>
                <w:p w14:paraId="497E8D0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化验室废水</w:t>
                  </w:r>
                </w:p>
              </w:tc>
              <w:tc>
                <w:tcPr>
                  <w:tcW w:w="523" w:type="pct"/>
                  <w:vAlign w:val="center"/>
                </w:tcPr>
                <w:p w14:paraId="31F6662D">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20.52</w:t>
                  </w:r>
                </w:p>
              </w:tc>
              <w:tc>
                <w:tcPr>
                  <w:tcW w:w="552" w:type="pct"/>
                  <w:vAlign w:val="center"/>
                </w:tcPr>
                <w:p w14:paraId="66331085">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0.09</w:t>
                  </w:r>
                </w:p>
              </w:tc>
              <w:tc>
                <w:tcPr>
                  <w:tcW w:w="472" w:type="pct"/>
                  <w:vAlign w:val="center"/>
                </w:tcPr>
                <w:p w14:paraId="7850078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w:t>
                  </w:r>
                </w:p>
              </w:tc>
              <w:tc>
                <w:tcPr>
                  <w:tcW w:w="551" w:type="pct"/>
                  <w:vAlign w:val="center"/>
                </w:tcPr>
                <w:p w14:paraId="212DDEF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439" w:type="pct"/>
                  <w:vAlign w:val="center"/>
                </w:tcPr>
                <w:p w14:paraId="22DFE49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500" w:type="pct"/>
                  <w:vAlign w:val="center"/>
                </w:tcPr>
                <w:p w14:paraId="513A7879">
                  <w:pPr>
                    <w:jc w:val="center"/>
                    <w:rPr>
                      <w:rFonts w:ascii="Times" w:hAnsi="Times" w:eastAsia="Times" w:cs="Times"/>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5</w:t>
                  </w:r>
                </w:p>
              </w:tc>
              <w:tc>
                <w:tcPr>
                  <w:tcW w:w="456" w:type="pct"/>
                  <w:vAlign w:val="center"/>
                </w:tcPr>
                <w:p w14:paraId="2D8BD02F">
                  <w:pPr>
                    <w:jc w:val="center"/>
                    <w:rPr>
                      <w:rFonts w:ascii="Times" w:hAnsi="Times" w:eastAsia="Times" w:cs="Times"/>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c>
                <w:tcPr>
                  <w:tcW w:w="452" w:type="pct"/>
                  <w:vAlign w:val="center"/>
                </w:tcPr>
                <w:p w14:paraId="7775E399">
                  <w:pPr>
                    <w:jc w:val="center"/>
                    <w:rPr>
                      <w:rFonts w:ascii="Times" w:hAnsi="Times" w:eastAsia="Times" w:cs="Times"/>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r>
          </w:tbl>
          <w:p w14:paraId="5265C4F9">
            <w:pPr>
              <w:widowControl/>
              <w:spacing w:line="360" w:lineRule="auto"/>
              <w:rPr>
                <w:color w:val="000000" w:themeColor="text1"/>
                <w:kern w:val="0"/>
                <w:sz w:val="24"/>
                <w14:textFill>
                  <w14:solidFill>
                    <w14:schemeClr w14:val="tx1"/>
                  </w14:solidFill>
                </w14:textFill>
              </w:rPr>
            </w:pPr>
          </w:p>
        </w:tc>
      </w:tr>
    </w:tbl>
    <w:p w14:paraId="6C28D501">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5"/>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1"/>
        <w:gridCol w:w="13703"/>
      </w:tblGrid>
      <w:tr w14:paraId="1BF65B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166" w:type="pct"/>
            <w:vAlign w:val="center"/>
          </w:tcPr>
          <w:p w14:paraId="039A7190">
            <w:pPr>
              <w:jc w:val="center"/>
              <w:rPr>
                <w:color w:val="000000" w:themeColor="text1"/>
                <w14:textFill>
                  <w14:solidFill>
                    <w14:schemeClr w14:val="tx1"/>
                  </w14:solidFill>
                </w14:textFill>
              </w:rPr>
            </w:pPr>
          </w:p>
        </w:tc>
        <w:tc>
          <w:tcPr>
            <w:tcW w:w="4833" w:type="pct"/>
            <w:vAlign w:val="center"/>
          </w:tcPr>
          <w:p w14:paraId="44AFDC65">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6324600" cy="5648325"/>
                  <wp:effectExtent l="0" t="0" r="0" b="9525"/>
                  <wp:docPr id="2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pic:cNvPicPr>
                            <a:picLocks noChangeAspect="1"/>
                          </pic:cNvPicPr>
                        </pic:nvPicPr>
                        <pic:blipFill>
                          <a:blip r:embed="rId27"/>
                          <a:stretch>
                            <a:fillRect/>
                          </a:stretch>
                        </pic:blipFill>
                        <pic:spPr>
                          <a:xfrm>
                            <a:off x="0" y="0"/>
                            <a:ext cx="6324600" cy="5648325"/>
                          </a:xfrm>
                          <a:prstGeom prst="rect">
                            <a:avLst/>
                          </a:prstGeom>
                          <a:noFill/>
                          <a:ln>
                            <a:noFill/>
                          </a:ln>
                        </pic:spPr>
                      </pic:pic>
                    </a:graphicData>
                  </a:graphic>
                </wp:inline>
              </w:drawing>
            </w:r>
          </w:p>
          <w:p w14:paraId="61434FB3">
            <w:pPr>
              <w:spacing w:line="360" w:lineRule="auto"/>
              <w:jc w:val="center"/>
              <w:rPr>
                <w:color w:val="000000" w:themeColor="text1"/>
                <w14:textFill>
                  <w14:solidFill>
                    <w14:schemeClr w14:val="tx1"/>
                  </w14:solidFill>
                </w14:textFill>
              </w:rPr>
            </w:pPr>
            <w:r>
              <w:rPr>
                <w:b/>
                <w:bCs/>
                <w:color w:val="000000" w:themeColor="text1"/>
                <w:sz w:val="24"/>
                <w14:textFill>
                  <w14:solidFill>
                    <w14:schemeClr w14:val="tx1"/>
                  </w14:solidFill>
                </w14:textFill>
              </w:rPr>
              <w:t>图2-</w:t>
            </w:r>
            <w:r>
              <w:rPr>
                <w:rFonts w:hint="eastAsia"/>
                <w:b/>
                <w:bCs/>
                <w:color w:val="000000" w:themeColor="text1"/>
                <w:sz w:val="24"/>
                <w14:textFill>
                  <w14:solidFill>
                    <w14:schemeClr w14:val="tx1"/>
                  </w14:solidFill>
                </w14:textFill>
              </w:rPr>
              <w:t xml:space="preserve">6 </w:t>
            </w:r>
            <w:r>
              <w:rPr>
                <w:b/>
                <w:bCs/>
                <w:color w:val="000000" w:themeColor="text1"/>
                <w:sz w:val="24"/>
                <w14:textFill>
                  <w14:solidFill>
                    <w14:schemeClr w14:val="tx1"/>
                  </w14:solidFill>
                </w14:textFill>
              </w:rPr>
              <w:t xml:space="preserve"> 营运期</w:t>
            </w:r>
            <w:r>
              <w:rPr>
                <w:rFonts w:hint="eastAsia"/>
                <w:b/>
                <w:bCs/>
                <w:color w:val="000000" w:themeColor="text1"/>
                <w:sz w:val="24"/>
                <w14:textFill>
                  <w14:solidFill>
                    <w14:schemeClr w14:val="tx1"/>
                  </w14:solidFill>
                </w14:textFill>
              </w:rPr>
              <w:t>白酒生产线</w:t>
            </w:r>
            <w:r>
              <w:rPr>
                <w:b/>
                <w:bCs/>
                <w:color w:val="000000" w:themeColor="text1"/>
                <w:sz w:val="24"/>
                <w14:textFill>
                  <w14:solidFill>
                    <w14:schemeClr w14:val="tx1"/>
                  </w14:solidFill>
                </w14:textFill>
              </w:rPr>
              <w:t>水平衡图  单位：m</w:t>
            </w:r>
            <w:r>
              <w:rPr>
                <w:b/>
                <w:bCs/>
                <w:color w:val="000000" w:themeColor="text1"/>
                <w:sz w:val="24"/>
                <w:vertAlign w:val="superscript"/>
                <w14:textFill>
                  <w14:solidFill>
                    <w14:schemeClr w14:val="tx1"/>
                  </w14:solidFill>
                </w14:textFill>
              </w:rPr>
              <w:t>3</w:t>
            </w: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a</w:t>
            </w:r>
          </w:p>
        </w:tc>
      </w:tr>
      <w:tr w14:paraId="195957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 w:type="pct"/>
            <w:vAlign w:val="center"/>
          </w:tcPr>
          <w:p w14:paraId="5E5919E1">
            <w:pPr>
              <w:jc w:val="center"/>
              <w:rPr>
                <w:color w:val="000000" w:themeColor="text1"/>
                <w14:textFill>
                  <w14:solidFill>
                    <w14:schemeClr w14:val="tx1"/>
                  </w14:solidFill>
                </w14:textFill>
              </w:rPr>
            </w:pPr>
          </w:p>
        </w:tc>
        <w:tc>
          <w:tcPr>
            <w:tcW w:w="4833" w:type="pct"/>
            <w:vAlign w:val="center"/>
          </w:tcPr>
          <w:p w14:paraId="3D3029BA">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8557260" cy="5631180"/>
                  <wp:effectExtent l="0" t="0" r="15240" b="7620"/>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28"/>
                          <a:stretch>
                            <a:fillRect/>
                          </a:stretch>
                        </pic:blipFill>
                        <pic:spPr>
                          <a:xfrm>
                            <a:off x="0" y="0"/>
                            <a:ext cx="8557260" cy="5631180"/>
                          </a:xfrm>
                          <a:prstGeom prst="rect">
                            <a:avLst/>
                          </a:prstGeom>
                          <a:noFill/>
                          <a:ln>
                            <a:noFill/>
                          </a:ln>
                        </pic:spPr>
                      </pic:pic>
                    </a:graphicData>
                  </a:graphic>
                </wp:inline>
              </w:drawing>
            </w:r>
          </w:p>
          <w:p w14:paraId="2F5FAF5F">
            <w:pPr>
              <w:spacing w:line="360" w:lineRule="auto"/>
              <w:jc w:val="center"/>
              <w:rPr>
                <w:color w:val="000000" w:themeColor="text1"/>
                <w14:textFill>
                  <w14:solidFill>
                    <w14:schemeClr w14:val="tx1"/>
                  </w14:solidFill>
                </w14:textFill>
              </w:rPr>
            </w:pPr>
            <w:r>
              <w:rPr>
                <w:b/>
                <w:bCs/>
                <w:color w:val="000000" w:themeColor="text1"/>
                <w:sz w:val="24"/>
                <w14:textFill>
                  <w14:solidFill>
                    <w14:schemeClr w14:val="tx1"/>
                  </w14:solidFill>
                </w14:textFill>
              </w:rPr>
              <w:t>图2-</w:t>
            </w:r>
            <w:r>
              <w:rPr>
                <w:rFonts w:hint="eastAsia"/>
                <w:b/>
                <w:bCs/>
                <w:color w:val="000000" w:themeColor="text1"/>
                <w:sz w:val="24"/>
                <w14:textFill>
                  <w14:solidFill>
                    <w14:schemeClr w14:val="tx1"/>
                  </w14:solidFill>
                </w14:textFill>
              </w:rPr>
              <w:t xml:space="preserve">7 </w:t>
            </w:r>
            <w:r>
              <w:rPr>
                <w:b/>
                <w:bCs/>
                <w:color w:val="000000" w:themeColor="text1"/>
                <w:sz w:val="24"/>
                <w14:textFill>
                  <w14:solidFill>
                    <w14:schemeClr w14:val="tx1"/>
                  </w14:solidFill>
                </w14:textFill>
              </w:rPr>
              <w:t xml:space="preserve"> 营运期</w:t>
            </w:r>
            <w:r>
              <w:rPr>
                <w:rFonts w:hint="eastAsia"/>
                <w:b/>
                <w:bCs/>
                <w:color w:val="000000" w:themeColor="text1"/>
                <w:sz w:val="24"/>
                <w14:textFill>
                  <w14:solidFill>
                    <w14:schemeClr w14:val="tx1"/>
                  </w14:solidFill>
                </w14:textFill>
              </w:rPr>
              <w:t>黄酒生产线</w:t>
            </w:r>
            <w:r>
              <w:rPr>
                <w:b/>
                <w:bCs/>
                <w:color w:val="000000" w:themeColor="text1"/>
                <w:sz w:val="24"/>
                <w14:textFill>
                  <w14:solidFill>
                    <w14:schemeClr w14:val="tx1"/>
                  </w14:solidFill>
                </w14:textFill>
              </w:rPr>
              <w:t>水平衡图  单位：m</w:t>
            </w:r>
            <w:r>
              <w:rPr>
                <w:b/>
                <w:bCs/>
                <w:color w:val="000000" w:themeColor="text1"/>
                <w:sz w:val="24"/>
                <w:vertAlign w:val="superscript"/>
                <w14:textFill>
                  <w14:solidFill>
                    <w14:schemeClr w14:val="tx1"/>
                  </w14:solidFill>
                </w14:textFill>
              </w:rPr>
              <w:t>3</w:t>
            </w: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a</w:t>
            </w:r>
          </w:p>
        </w:tc>
      </w:tr>
      <w:tr w14:paraId="114E3A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 w:type="pct"/>
            <w:vAlign w:val="center"/>
          </w:tcPr>
          <w:p w14:paraId="256641AE">
            <w:pPr>
              <w:jc w:val="center"/>
              <w:rPr>
                <w:color w:val="000000" w:themeColor="text1"/>
                <w14:textFill>
                  <w14:solidFill>
                    <w14:schemeClr w14:val="tx1"/>
                  </w14:solidFill>
                </w14:textFill>
              </w:rPr>
            </w:pPr>
          </w:p>
          <w:p w14:paraId="5E70F555">
            <w:pPr>
              <w:jc w:val="center"/>
              <w:rPr>
                <w:color w:val="000000" w:themeColor="text1"/>
                <w14:textFill>
                  <w14:solidFill>
                    <w14:schemeClr w14:val="tx1"/>
                  </w14:solidFill>
                </w14:textFill>
              </w:rPr>
            </w:pPr>
          </w:p>
        </w:tc>
        <w:tc>
          <w:tcPr>
            <w:tcW w:w="4833" w:type="pct"/>
            <w:vAlign w:val="center"/>
          </w:tcPr>
          <w:p w14:paraId="3712D919">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8557895" cy="5469255"/>
                  <wp:effectExtent l="0" t="0" r="14605" b="17145"/>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29"/>
                          <a:stretch>
                            <a:fillRect/>
                          </a:stretch>
                        </pic:blipFill>
                        <pic:spPr>
                          <a:xfrm>
                            <a:off x="0" y="0"/>
                            <a:ext cx="8557895" cy="5469255"/>
                          </a:xfrm>
                          <a:prstGeom prst="rect">
                            <a:avLst/>
                          </a:prstGeom>
                          <a:noFill/>
                          <a:ln>
                            <a:noFill/>
                          </a:ln>
                        </pic:spPr>
                      </pic:pic>
                    </a:graphicData>
                  </a:graphic>
                </wp:inline>
              </w:drawing>
            </w:r>
          </w:p>
          <w:p w14:paraId="7D592E8A">
            <w:pPr>
              <w:spacing w:line="360" w:lineRule="auto"/>
              <w:jc w:val="center"/>
              <w:rPr>
                <w:color w:val="000000" w:themeColor="text1"/>
                <w14:textFill>
                  <w14:solidFill>
                    <w14:schemeClr w14:val="tx1"/>
                  </w14:solidFill>
                </w14:textFill>
              </w:rPr>
            </w:pPr>
            <w:r>
              <w:rPr>
                <w:b/>
                <w:bCs/>
                <w:color w:val="000000" w:themeColor="text1"/>
                <w:sz w:val="24"/>
                <w14:textFill>
                  <w14:solidFill>
                    <w14:schemeClr w14:val="tx1"/>
                  </w14:solidFill>
                </w14:textFill>
              </w:rPr>
              <w:t>图2-</w:t>
            </w:r>
            <w:r>
              <w:rPr>
                <w:rFonts w:hint="eastAsia"/>
                <w:b/>
                <w:bCs/>
                <w:color w:val="000000" w:themeColor="text1"/>
                <w:sz w:val="24"/>
                <w14:textFill>
                  <w14:solidFill>
                    <w14:schemeClr w14:val="tx1"/>
                  </w14:solidFill>
                </w14:textFill>
              </w:rPr>
              <w:t xml:space="preserve">8 </w:t>
            </w:r>
            <w:r>
              <w:rPr>
                <w:b/>
                <w:bCs/>
                <w:color w:val="000000" w:themeColor="text1"/>
                <w:sz w:val="24"/>
                <w14:textFill>
                  <w14:solidFill>
                    <w14:schemeClr w14:val="tx1"/>
                  </w14:solidFill>
                </w14:textFill>
              </w:rPr>
              <w:t xml:space="preserve"> 营运期</w:t>
            </w:r>
            <w:r>
              <w:rPr>
                <w:rFonts w:hint="eastAsia"/>
                <w:b/>
                <w:bCs/>
                <w:color w:val="000000" w:themeColor="text1"/>
                <w:sz w:val="24"/>
                <w14:textFill>
                  <w14:solidFill>
                    <w14:schemeClr w14:val="tx1"/>
                  </w14:solidFill>
                </w14:textFill>
              </w:rPr>
              <w:t>啤酒生产线</w:t>
            </w:r>
            <w:r>
              <w:rPr>
                <w:b/>
                <w:bCs/>
                <w:color w:val="000000" w:themeColor="text1"/>
                <w:sz w:val="24"/>
                <w14:textFill>
                  <w14:solidFill>
                    <w14:schemeClr w14:val="tx1"/>
                  </w14:solidFill>
                </w14:textFill>
              </w:rPr>
              <w:t>水平衡图  单位：m</w:t>
            </w:r>
            <w:r>
              <w:rPr>
                <w:b/>
                <w:bCs/>
                <w:color w:val="000000" w:themeColor="text1"/>
                <w:sz w:val="24"/>
                <w:vertAlign w:val="superscript"/>
                <w14:textFill>
                  <w14:solidFill>
                    <w14:schemeClr w14:val="tx1"/>
                  </w14:solidFill>
                </w14:textFill>
              </w:rPr>
              <w:t>3</w:t>
            </w:r>
            <w:r>
              <w:rPr>
                <w:b/>
                <w:bCs/>
                <w:color w:val="000000" w:themeColor="text1"/>
                <w:sz w:val="24"/>
                <w14:textFill>
                  <w14:solidFill>
                    <w14:schemeClr w14:val="tx1"/>
                  </w14:solidFill>
                </w14:textFill>
              </w:rPr>
              <w:t>/</w:t>
            </w:r>
            <w:r>
              <w:rPr>
                <w:rStyle w:val="30"/>
                <w:rFonts w:hint="eastAsia"/>
                <w:b/>
                <w:bCs/>
                <w:color w:val="000000" w:themeColor="text1"/>
                <w:sz w:val="24"/>
                <w:szCs w:val="24"/>
                <w14:textFill>
                  <w14:solidFill>
                    <w14:schemeClr w14:val="tx1"/>
                  </w14:solidFill>
                </w14:textFill>
              </w:rPr>
              <w:t>a</w:t>
            </w:r>
          </w:p>
        </w:tc>
      </w:tr>
      <w:tr w14:paraId="7EA329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66" w:type="pct"/>
            <w:vAlign w:val="center"/>
          </w:tcPr>
          <w:p w14:paraId="48FC0D84">
            <w:pPr>
              <w:jc w:val="center"/>
              <w:rPr>
                <w:color w:val="000000" w:themeColor="text1"/>
                <w14:textFill>
                  <w14:solidFill>
                    <w14:schemeClr w14:val="tx1"/>
                  </w14:solidFill>
                </w14:textFill>
              </w:rPr>
            </w:pPr>
          </w:p>
        </w:tc>
        <w:tc>
          <w:tcPr>
            <w:tcW w:w="4833" w:type="pct"/>
            <w:tcBorders>
              <w:bottom w:val="single" w:color="auto" w:sz="4" w:space="0"/>
            </w:tcBorders>
            <w:vAlign w:val="center"/>
          </w:tcPr>
          <w:p w14:paraId="2E26F2AA">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8557260" cy="5718175"/>
                  <wp:effectExtent l="0" t="0" r="15240" b="15875"/>
                  <wp:docPr id="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pic:cNvPicPr>
                            <a:picLocks noChangeAspect="1"/>
                          </pic:cNvPicPr>
                        </pic:nvPicPr>
                        <pic:blipFill>
                          <a:blip r:embed="rId30"/>
                          <a:stretch>
                            <a:fillRect/>
                          </a:stretch>
                        </pic:blipFill>
                        <pic:spPr>
                          <a:xfrm>
                            <a:off x="0" y="0"/>
                            <a:ext cx="8557260" cy="5718175"/>
                          </a:xfrm>
                          <a:prstGeom prst="rect">
                            <a:avLst/>
                          </a:prstGeom>
                          <a:noFill/>
                          <a:ln>
                            <a:noFill/>
                          </a:ln>
                        </pic:spPr>
                      </pic:pic>
                    </a:graphicData>
                  </a:graphic>
                </wp:inline>
              </w:drawing>
            </w:r>
          </w:p>
          <w:p w14:paraId="72CE4FD1">
            <w:pPr>
              <w:spacing w:line="360" w:lineRule="auto"/>
              <w:jc w:val="center"/>
              <w:rPr>
                <w:color w:val="000000" w:themeColor="text1"/>
                <w14:textFill>
                  <w14:solidFill>
                    <w14:schemeClr w14:val="tx1"/>
                  </w14:solidFill>
                </w14:textFill>
              </w:rPr>
            </w:pPr>
            <w:r>
              <w:rPr>
                <w:b/>
                <w:bCs/>
                <w:color w:val="000000" w:themeColor="text1"/>
                <w:sz w:val="24"/>
                <w14:textFill>
                  <w14:solidFill>
                    <w14:schemeClr w14:val="tx1"/>
                  </w14:solidFill>
                </w14:textFill>
              </w:rPr>
              <w:t>图2-</w:t>
            </w:r>
            <w:r>
              <w:rPr>
                <w:rFonts w:hint="eastAsia"/>
                <w:b/>
                <w:bCs/>
                <w:color w:val="000000" w:themeColor="text1"/>
                <w:sz w:val="24"/>
                <w14:textFill>
                  <w14:solidFill>
                    <w14:schemeClr w14:val="tx1"/>
                  </w14:solidFill>
                </w14:textFill>
              </w:rPr>
              <w:t xml:space="preserve">9 </w:t>
            </w:r>
            <w:r>
              <w:rPr>
                <w:b/>
                <w:bCs/>
                <w:color w:val="000000" w:themeColor="text1"/>
                <w:sz w:val="24"/>
                <w14:textFill>
                  <w14:solidFill>
                    <w14:schemeClr w14:val="tx1"/>
                  </w14:solidFill>
                </w14:textFill>
              </w:rPr>
              <w:t xml:space="preserve"> 营运期</w:t>
            </w:r>
            <w:r>
              <w:rPr>
                <w:rFonts w:hint="eastAsia"/>
                <w:b/>
                <w:bCs/>
                <w:color w:val="000000" w:themeColor="text1"/>
                <w:sz w:val="24"/>
                <w14:textFill>
                  <w14:solidFill>
                    <w14:schemeClr w14:val="tx1"/>
                  </w14:solidFill>
                </w14:textFill>
              </w:rPr>
              <w:t>果酒生产线</w:t>
            </w:r>
            <w:r>
              <w:rPr>
                <w:b/>
                <w:bCs/>
                <w:color w:val="000000" w:themeColor="text1"/>
                <w:sz w:val="24"/>
                <w14:textFill>
                  <w14:solidFill>
                    <w14:schemeClr w14:val="tx1"/>
                  </w14:solidFill>
                </w14:textFill>
              </w:rPr>
              <w:t>水平衡图  单位：m</w:t>
            </w:r>
            <w:r>
              <w:rPr>
                <w:b/>
                <w:bCs/>
                <w:color w:val="000000" w:themeColor="text1"/>
                <w:sz w:val="24"/>
                <w:vertAlign w:val="superscript"/>
                <w14:textFill>
                  <w14:solidFill>
                    <w14:schemeClr w14:val="tx1"/>
                  </w14:solidFill>
                </w14:textFill>
              </w:rPr>
              <w:t>3</w:t>
            </w:r>
            <w:r>
              <w:rPr>
                <w:b/>
                <w:bCs/>
                <w:color w:val="000000" w:themeColor="text1"/>
                <w:sz w:val="24"/>
                <w14:textFill>
                  <w14:solidFill>
                    <w14:schemeClr w14:val="tx1"/>
                  </w14:solidFill>
                </w14:textFill>
              </w:rPr>
              <w:t>/</w:t>
            </w:r>
            <w:r>
              <w:rPr>
                <w:rStyle w:val="30"/>
                <w:rFonts w:hint="eastAsia"/>
                <w:b/>
                <w:bCs/>
                <w:color w:val="000000" w:themeColor="text1"/>
                <w14:textFill>
                  <w14:solidFill>
                    <w14:schemeClr w14:val="tx1"/>
                  </w14:solidFill>
                </w14:textFill>
              </w:rPr>
              <w:t>a</w:t>
            </w:r>
          </w:p>
        </w:tc>
      </w:tr>
    </w:tbl>
    <w:p w14:paraId="625DA6D8">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5"/>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1"/>
        <w:gridCol w:w="13703"/>
      </w:tblGrid>
      <w:tr w14:paraId="77F4C0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16" w:hRule="atLeast"/>
        </w:trPr>
        <w:tc>
          <w:tcPr>
            <w:tcW w:w="166" w:type="pct"/>
            <w:vAlign w:val="center"/>
          </w:tcPr>
          <w:p w14:paraId="4898FB3B">
            <w:pPr>
              <w:jc w:val="center"/>
              <w:rPr>
                <w:color w:val="000000" w:themeColor="text1"/>
                <w14:textFill>
                  <w14:solidFill>
                    <w14:schemeClr w14:val="tx1"/>
                  </w14:solidFill>
                </w14:textFill>
              </w:rPr>
            </w:pPr>
          </w:p>
        </w:tc>
        <w:tc>
          <w:tcPr>
            <w:tcW w:w="4833" w:type="pct"/>
            <w:tcBorders>
              <w:bottom w:val="single" w:color="auto" w:sz="4" w:space="0"/>
            </w:tcBorders>
            <w:vAlign w:val="center"/>
          </w:tcPr>
          <w:p w14:paraId="1A237019">
            <w:pPr>
              <w:spacing w:line="360" w:lineRule="auto"/>
              <w:jc w:val="center"/>
              <w:rPr>
                <w:b/>
                <w:bCs/>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8557895" cy="5706110"/>
                  <wp:effectExtent l="0" t="0" r="14605" b="8890"/>
                  <wp:docPr id="5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1"/>
                          <pic:cNvPicPr>
                            <a:picLocks noChangeAspect="1"/>
                          </pic:cNvPicPr>
                        </pic:nvPicPr>
                        <pic:blipFill>
                          <a:blip r:embed="rId31"/>
                          <a:stretch>
                            <a:fillRect/>
                          </a:stretch>
                        </pic:blipFill>
                        <pic:spPr>
                          <a:xfrm>
                            <a:off x="0" y="0"/>
                            <a:ext cx="8557895" cy="5706110"/>
                          </a:xfrm>
                          <a:prstGeom prst="rect">
                            <a:avLst/>
                          </a:prstGeom>
                          <a:noFill/>
                          <a:ln>
                            <a:noFill/>
                          </a:ln>
                        </pic:spPr>
                      </pic:pic>
                    </a:graphicData>
                  </a:graphic>
                </wp:inline>
              </w:drawing>
            </w:r>
          </w:p>
          <w:p w14:paraId="25F7B765">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图2-</w:t>
            </w:r>
            <w:r>
              <w:rPr>
                <w:rFonts w:hint="eastAsia"/>
                <w:b/>
                <w:bCs/>
                <w:color w:val="000000" w:themeColor="text1"/>
                <w:sz w:val="24"/>
                <w14:textFill>
                  <w14:solidFill>
                    <w14:schemeClr w14:val="tx1"/>
                  </w14:solidFill>
                </w14:textFill>
              </w:rPr>
              <w:t xml:space="preserve">10 </w:t>
            </w:r>
            <w:r>
              <w:rPr>
                <w:b/>
                <w:bCs/>
                <w:color w:val="000000" w:themeColor="text1"/>
                <w:sz w:val="24"/>
                <w14:textFill>
                  <w14:solidFill>
                    <w14:schemeClr w14:val="tx1"/>
                  </w14:solidFill>
                </w14:textFill>
              </w:rPr>
              <w:t xml:space="preserve"> 营运期</w:t>
            </w:r>
            <w:r>
              <w:rPr>
                <w:rFonts w:hint="eastAsia"/>
                <w:b/>
                <w:bCs/>
                <w:color w:val="000000" w:themeColor="text1"/>
                <w:sz w:val="24"/>
                <w14:textFill>
                  <w14:solidFill>
                    <w14:schemeClr w14:val="tx1"/>
                  </w14:solidFill>
                </w14:textFill>
              </w:rPr>
              <w:t>全厂</w:t>
            </w:r>
            <w:r>
              <w:rPr>
                <w:b/>
                <w:bCs/>
                <w:color w:val="000000" w:themeColor="text1"/>
                <w:sz w:val="24"/>
                <w14:textFill>
                  <w14:solidFill>
                    <w14:schemeClr w14:val="tx1"/>
                  </w14:solidFill>
                </w14:textFill>
              </w:rPr>
              <w:t>水平衡图  单位：m</w:t>
            </w:r>
            <w:r>
              <w:rPr>
                <w:b/>
                <w:bCs/>
                <w:color w:val="000000" w:themeColor="text1"/>
                <w:sz w:val="24"/>
                <w:vertAlign w:val="superscript"/>
                <w14:textFill>
                  <w14:solidFill>
                    <w14:schemeClr w14:val="tx1"/>
                  </w14:solidFill>
                </w14:textFill>
              </w:rPr>
              <w:t>3</w:t>
            </w: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a</w:t>
            </w:r>
          </w:p>
        </w:tc>
      </w:tr>
    </w:tbl>
    <w:p w14:paraId="2D551007">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5"/>
        <w:tblW w:w="4999"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5"/>
        <w:gridCol w:w="9459"/>
      </w:tblGrid>
      <w:tr w14:paraId="7401AC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51" w:type="pct"/>
            <w:vAlign w:val="center"/>
          </w:tcPr>
          <w:p w14:paraId="7E3AB4E7">
            <w:pPr>
              <w:jc w:val="center"/>
              <w:rPr>
                <w:color w:val="000000" w:themeColor="text1"/>
                <w14:textFill>
                  <w14:solidFill>
                    <w14:schemeClr w14:val="tx1"/>
                  </w14:solidFill>
                </w14:textFill>
              </w:rPr>
            </w:pPr>
          </w:p>
        </w:tc>
        <w:tc>
          <w:tcPr>
            <w:tcW w:w="4748" w:type="pct"/>
            <w:tcBorders>
              <w:top w:val="single" w:color="auto" w:sz="4" w:space="0"/>
            </w:tcBorders>
            <w:vAlign w:val="center"/>
          </w:tcPr>
          <w:p w14:paraId="6447C6F7">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6.3供电</w:t>
            </w:r>
          </w:p>
          <w:p w14:paraId="48492401">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根据业主提供资料，本项目年用电量约90万kW·h，由镇平县先进制造业开发区市政供电系统提供。</w:t>
            </w:r>
          </w:p>
          <w:p w14:paraId="1DE221E5">
            <w:pPr>
              <w:spacing w:line="360" w:lineRule="auto"/>
              <w:ind w:firstLine="482" w:firstLineChars="200"/>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6.4供气</w:t>
            </w:r>
          </w:p>
          <w:p w14:paraId="6EF80340">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本项目天然气由市政天然气管道输送，</w:t>
            </w:r>
            <w:r>
              <w:rPr>
                <w:rFonts w:hint="eastAsia"/>
                <w:color w:val="000000" w:themeColor="text1"/>
                <w:sz w:val="24"/>
                <w14:textFill>
                  <w14:solidFill>
                    <w14:schemeClr w14:val="tx1"/>
                  </w14:solidFill>
                </w14:textFill>
              </w:rPr>
              <w:t>项目0.3t/h蒸汽发生器</w:t>
            </w:r>
            <w:r>
              <w:rPr>
                <w:rFonts w:hint="eastAsia"/>
                <w:color w:val="000000" w:themeColor="text1"/>
                <w:kern w:val="0"/>
                <w:sz w:val="24"/>
                <w14:textFill>
                  <w14:solidFill>
                    <w14:schemeClr w14:val="tx1"/>
                  </w14:solidFill>
                </w14:textFill>
              </w:rPr>
              <w:t>天然气</w:t>
            </w:r>
            <w:r>
              <w:rPr>
                <w:rFonts w:hint="eastAsia"/>
                <w:color w:val="000000" w:themeColor="text1"/>
                <w:sz w:val="24"/>
                <w14:textFill>
                  <w14:solidFill>
                    <w14:schemeClr w14:val="tx1"/>
                  </w14:solidFill>
                </w14:textFill>
              </w:rPr>
              <w:t>用气量为23.166m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rFonts w:hint="eastAsia"/>
                <w:color w:val="000000" w:themeColor="text1"/>
                <w:sz w:val="24"/>
                <w14:textFill>
                  <w14:solidFill>
                    <w14:schemeClr w14:val="tx1"/>
                  </w14:solidFill>
                </w14:textFill>
              </w:rPr>
              <w:t>*4h*228d=21127.392m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w:t>
            </w:r>
            <w:r>
              <w:rPr>
                <w:rFonts w:hint="eastAsia"/>
                <w:color w:val="000000" w:themeColor="text1"/>
                <w:kern w:val="0"/>
                <w:sz w:val="24"/>
                <w14:textFill>
                  <w14:solidFill>
                    <w14:schemeClr w14:val="tx1"/>
                  </w14:solidFill>
                </w14:textFill>
              </w:rPr>
              <w:t>0.5</w:t>
            </w:r>
            <w:r>
              <w:rPr>
                <w:color w:val="000000" w:themeColor="text1"/>
                <w:kern w:val="0"/>
                <w:sz w:val="24"/>
                <w14:textFill>
                  <w14:solidFill>
                    <w14:schemeClr w14:val="tx1"/>
                  </w14:solidFill>
                </w14:textFill>
              </w:rPr>
              <w:t>t/h</w:t>
            </w:r>
            <w:r>
              <w:rPr>
                <w:rFonts w:hint="eastAsia"/>
                <w:color w:val="000000" w:themeColor="text1"/>
                <w:kern w:val="0"/>
                <w:sz w:val="24"/>
                <w14:textFill>
                  <w14:solidFill>
                    <w14:schemeClr w14:val="tx1"/>
                  </w14:solidFill>
                </w14:textFill>
              </w:rPr>
              <w:t>蒸汽发生器天然气</w:t>
            </w:r>
            <w:r>
              <w:rPr>
                <w:rFonts w:hint="eastAsia"/>
                <w:color w:val="000000" w:themeColor="text1"/>
                <w:sz w:val="24"/>
                <w14:textFill>
                  <w14:solidFill>
                    <w14:schemeClr w14:val="tx1"/>
                  </w14:solidFill>
                </w14:textFill>
              </w:rPr>
              <w:t>用气量为38.611m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rFonts w:hint="eastAsia"/>
                <w:color w:val="000000" w:themeColor="text1"/>
                <w:sz w:val="24"/>
                <w14:textFill>
                  <w14:solidFill>
                    <w14:schemeClr w14:val="tx1"/>
                  </w14:solidFill>
                </w14:textFill>
              </w:rPr>
              <w:t>*4h*228d=35213.232m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w:t>
            </w:r>
            <w:r>
              <w:rPr>
                <w:rFonts w:hint="eastAsia"/>
                <w:color w:val="000000" w:themeColor="text1"/>
                <w:kern w:val="0"/>
                <w:sz w:val="24"/>
                <w14:textFill>
                  <w14:solidFill>
                    <w14:schemeClr w14:val="tx1"/>
                  </w14:solidFill>
                </w14:textFill>
              </w:rPr>
              <w:t>1.0</w:t>
            </w:r>
            <w:r>
              <w:rPr>
                <w:color w:val="000000" w:themeColor="text1"/>
                <w:kern w:val="0"/>
                <w:sz w:val="24"/>
                <w14:textFill>
                  <w14:solidFill>
                    <w14:schemeClr w14:val="tx1"/>
                  </w14:solidFill>
                </w14:textFill>
              </w:rPr>
              <w:t>t/h</w:t>
            </w:r>
            <w:r>
              <w:rPr>
                <w:rFonts w:hint="eastAsia"/>
                <w:color w:val="000000" w:themeColor="text1"/>
                <w:kern w:val="0"/>
                <w:sz w:val="24"/>
                <w14:textFill>
                  <w14:solidFill>
                    <w14:schemeClr w14:val="tx1"/>
                  </w14:solidFill>
                </w14:textFill>
              </w:rPr>
              <w:t>蒸汽发生器天然气</w:t>
            </w:r>
            <w:r>
              <w:rPr>
                <w:rFonts w:hint="eastAsia"/>
                <w:color w:val="000000" w:themeColor="text1"/>
                <w:sz w:val="24"/>
                <w14:textFill>
                  <w14:solidFill>
                    <w14:schemeClr w14:val="tx1"/>
                  </w14:solidFill>
                </w14:textFill>
              </w:rPr>
              <w:t>用气量为77.221m</w:t>
            </w:r>
            <w:r>
              <w:rPr>
                <w:rFonts w:hint="eastAsia"/>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rFonts w:hint="eastAsia"/>
                <w:color w:val="000000" w:themeColor="text1"/>
                <w:sz w:val="24"/>
                <w14:textFill>
                  <w14:solidFill>
                    <w14:schemeClr w14:val="tx1"/>
                  </w14:solidFill>
                </w14:textFill>
              </w:rPr>
              <w:t>*6h*228d=105638.328m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；本项目全厂天然气总用量为161978.952m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/a。</w:t>
            </w:r>
          </w:p>
          <w:p w14:paraId="1D9AE059">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7、物料平衡</w:t>
            </w:r>
          </w:p>
          <w:p w14:paraId="5EBCE3C6">
            <w:pPr>
              <w:adjustRightInd w:val="0"/>
              <w:snapToGrid w:val="0"/>
              <w:spacing w:line="360" w:lineRule="auto"/>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表2-16  白酒生产线物料平衡表</w:t>
            </w:r>
          </w:p>
          <w:tbl>
            <w:tblPr>
              <w:tblStyle w:val="25"/>
              <w:tblW w:w="5000" w:type="pct"/>
              <w:tblInd w:w="0" w:type="dxa"/>
              <w:tblLayout w:type="autofit"/>
              <w:tblCellMar>
                <w:top w:w="0" w:type="dxa"/>
                <w:left w:w="108" w:type="dxa"/>
                <w:bottom w:w="0" w:type="dxa"/>
                <w:right w:w="108" w:type="dxa"/>
              </w:tblCellMar>
            </w:tblPr>
            <w:tblGrid>
              <w:gridCol w:w="1936"/>
              <w:gridCol w:w="2585"/>
              <w:gridCol w:w="2805"/>
              <w:gridCol w:w="1917"/>
            </w:tblGrid>
            <w:tr w14:paraId="685DEEE7">
              <w:tblPrEx>
                <w:tblCellMar>
                  <w:top w:w="0" w:type="dxa"/>
                  <w:left w:w="108" w:type="dxa"/>
                  <w:bottom w:w="0" w:type="dxa"/>
                  <w:right w:w="108" w:type="dxa"/>
                </w:tblCellMar>
              </w:tblPrEx>
              <w:trPr>
                <w:trHeight w:val="454" w:hRule="atLeast"/>
              </w:trPr>
              <w:tc>
                <w:tcPr>
                  <w:tcW w:w="244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E4C1D2">
                  <w:pPr>
                    <w:widowControl/>
                    <w:jc w:val="center"/>
                    <w:textAlignment w:val="center"/>
                    <w:rPr>
                      <w:color w:val="000000" w:themeColor="text1"/>
                      <w:szCs w:val="21"/>
                      <w14:textFill>
                        <w14:solidFill>
                          <w14:schemeClr w14:val="tx1"/>
                        </w14:solidFill>
                      </w14:textFill>
                    </w:rPr>
                  </w:pPr>
                  <w:r>
                    <w:rPr>
                      <w:rStyle w:val="63"/>
                      <w:rFonts w:hint="default" w:ascii="Times New Roman" w:hAnsi="Times New Roman" w:cs="Times New Roman"/>
                      <w:color w:val="000000" w:themeColor="text1"/>
                      <w:sz w:val="21"/>
                      <w:szCs w:val="21"/>
                      <w:lang w:bidi="ar"/>
                      <w14:textFill>
                        <w14:solidFill>
                          <w14:schemeClr w14:val="tx1"/>
                        </w14:solidFill>
                      </w14:textFill>
                    </w:rPr>
                    <w:t>输入</w:t>
                  </w:r>
                </w:p>
              </w:tc>
              <w:tc>
                <w:tcPr>
                  <w:tcW w:w="255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3E0B47">
                  <w:pPr>
                    <w:widowControl/>
                    <w:jc w:val="center"/>
                    <w:textAlignment w:val="center"/>
                    <w:rPr>
                      <w:color w:val="000000" w:themeColor="text1"/>
                      <w:szCs w:val="21"/>
                      <w14:textFill>
                        <w14:solidFill>
                          <w14:schemeClr w14:val="tx1"/>
                        </w14:solidFill>
                      </w14:textFill>
                    </w:rPr>
                  </w:pPr>
                  <w:r>
                    <w:rPr>
                      <w:rStyle w:val="63"/>
                      <w:rFonts w:hint="default" w:ascii="Times New Roman" w:hAnsi="Times New Roman" w:cs="Times New Roman"/>
                      <w:color w:val="000000" w:themeColor="text1"/>
                      <w:sz w:val="21"/>
                      <w:szCs w:val="21"/>
                      <w:lang w:bidi="ar"/>
                      <w14:textFill>
                        <w14:solidFill>
                          <w14:schemeClr w14:val="tx1"/>
                        </w14:solidFill>
                      </w14:textFill>
                    </w:rPr>
                    <w:t>输出</w:t>
                  </w:r>
                </w:p>
              </w:tc>
            </w:tr>
            <w:tr w14:paraId="0A8F1314">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2A288E">
                  <w:pPr>
                    <w:widowControl/>
                    <w:jc w:val="center"/>
                    <w:textAlignment w:val="center"/>
                    <w:rPr>
                      <w:color w:val="000000" w:themeColor="text1"/>
                      <w:szCs w:val="21"/>
                      <w14:textFill>
                        <w14:solidFill>
                          <w14:schemeClr w14:val="tx1"/>
                        </w14:solidFill>
                      </w14:textFill>
                    </w:rPr>
                  </w:pPr>
                  <w:r>
                    <w:rPr>
                      <w:rStyle w:val="64"/>
                      <w:rFonts w:hint="default" w:ascii="Times New Roman" w:hAnsi="Times New Roman" w:cs="Times New Roman"/>
                      <w:color w:val="000000" w:themeColor="text1"/>
                      <w:lang w:bidi="ar"/>
                      <w14:textFill>
                        <w14:solidFill>
                          <w14:schemeClr w14:val="tx1"/>
                        </w14:solidFill>
                      </w14:textFill>
                    </w:rPr>
                    <w:t>高粱（含水12%）</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C33A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83.735</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23BC89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基酒</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79DC2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77.532</w:t>
                  </w:r>
                </w:p>
              </w:tc>
            </w:tr>
            <w:tr w14:paraId="0A41DBAC">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044FE7">
                  <w:pPr>
                    <w:widowControl/>
                    <w:jc w:val="center"/>
                    <w:textAlignment w:val="center"/>
                    <w:rPr>
                      <w:color w:val="000000" w:themeColor="text1"/>
                      <w:szCs w:val="21"/>
                      <w14:textFill>
                        <w14:solidFill>
                          <w14:schemeClr w14:val="tx1"/>
                        </w14:solidFill>
                      </w14:textFill>
                    </w:rPr>
                  </w:pPr>
                  <w:r>
                    <w:rPr>
                      <w:rStyle w:val="64"/>
                      <w:rFonts w:hint="default" w:ascii="Times New Roman" w:hAnsi="Times New Roman" w:cs="Times New Roman"/>
                      <w:color w:val="000000" w:themeColor="text1"/>
                      <w:lang w:bidi="ar"/>
                      <w14:textFill>
                        <w14:solidFill>
                          <w14:schemeClr w14:val="tx1"/>
                        </w14:solidFill>
                      </w14:textFill>
                    </w:rPr>
                    <w:t>大米（含水12%）</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98718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51.171</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6F3CE7B">
                  <w:pPr>
                    <w:widowControl/>
                    <w:jc w:val="center"/>
                    <w:textAlignment w:val="center"/>
                    <w:rPr>
                      <w:color w:val="000000" w:themeColor="text1"/>
                      <w:szCs w:val="21"/>
                      <w14:textFill>
                        <w14:solidFill>
                          <w14:schemeClr w14:val="tx1"/>
                        </w14:solidFill>
                      </w14:textFill>
                    </w:rPr>
                  </w:pPr>
                  <w:r>
                    <w:rPr>
                      <w:rStyle w:val="67"/>
                      <w:rFonts w:hint="default"/>
                      <w:color w:val="000000" w:themeColor="text1"/>
                      <w:lang w:bidi="ar"/>
                      <w14:textFill>
                        <w14:solidFill>
                          <w14:schemeClr w14:val="tx1"/>
                        </w14:solidFill>
                      </w14:textFill>
                    </w:rPr>
                    <w:t>蒸发损耗废气</w:t>
                  </w:r>
                  <w:r>
                    <w:rPr>
                      <w:rStyle w:val="65"/>
                      <w:rFonts w:hint="default" w:ascii="Times New Roman" w:hAnsi="Times New Roman" w:cs="Times New Roman"/>
                      <w:color w:val="000000" w:themeColor="text1"/>
                      <w:lang w:bidi="ar"/>
                      <w14:textFill>
                        <w14:solidFill>
                          <w14:schemeClr w14:val="tx1"/>
                        </w14:solidFill>
                      </w14:textFill>
                    </w:rPr>
                    <w:t>（含冷凝水）</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FEDE4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756.079</w:t>
                  </w:r>
                </w:p>
              </w:tc>
            </w:tr>
            <w:tr w14:paraId="676FB269">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B22AD7">
                  <w:pPr>
                    <w:widowControl/>
                    <w:jc w:val="center"/>
                    <w:textAlignment w:val="center"/>
                    <w:rPr>
                      <w:color w:val="000000" w:themeColor="text1"/>
                      <w:szCs w:val="21"/>
                      <w14:textFill>
                        <w14:solidFill>
                          <w14:schemeClr w14:val="tx1"/>
                        </w14:solidFill>
                      </w14:textFill>
                    </w:rPr>
                  </w:pPr>
                  <w:r>
                    <w:rPr>
                      <w:rStyle w:val="64"/>
                      <w:rFonts w:hint="default" w:ascii="Times New Roman" w:hAnsi="Times New Roman" w:cs="Times New Roman"/>
                      <w:color w:val="000000" w:themeColor="text1"/>
                      <w:lang w:bidi="ar"/>
                      <w14:textFill>
                        <w14:solidFill>
                          <w14:schemeClr w14:val="tx1"/>
                        </w14:solidFill>
                      </w14:textFill>
                    </w:rPr>
                    <w:t>糯米（含水12%）</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4E157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41.867</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63C771">
                  <w:pPr>
                    <w:widowControl/>
                    <w:jc w:val="center"/>
                    <w:textAlignment w:val="center"/>
                    <w:rPr>
                      <w:color w:val="000000" w:themeColor="text1"/>
                      <w:szCs w:val="21"/>
                      <w14:textFill>
                        <w14:solidFill>
                          <w14:schemeClr w14:val="tx1"/>
                        </w14:solidFill>
                      </w14:textFill>
                    </w:rPr>
                  </w:pPr>
                  <w:r>
                    <w:rPr>
                      <w:rStyle w:val="65"/>
                      <w:rFonts w:hint="default" w:ascii="Times New Roman" w:hAnsi="Times New Roman" w:cs="Times New Roman"/>
                      <w:color w:val="000000" w:themeColor="text1"/>
                      <w:lang w:bidi="ar"/>
                      <w14:textFill>
                        <w14:solidFill>
                          <w14:schemeClr w14:val="tx1"/>
                        </w14:solidFill>
                      </w14:textFill>
                    </w:rPr>
                    <w:t>原料投料过程粉尘</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AD2D3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0.023</w:t>
                  </w:r>
                </w:p>
              </w:tc>
            </w:tr>
            <w:tr w14:paraId="4A2A1799">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38468C">
                  <w:pPr>
                    <w:widowControl/>
                    <w:jc w:val="center"/>
                    <w:textAlignment w:val="center"/>
                    <w:rPr>
                      <w:color w:val="000000" w:themeColor="text1"/>
                      <w:szCs w:val="21"/>
                      <w14:textFill>
                        <w14:solidFill>
                          <w14:schemeClr w14:val="tx1"/>
                        </w14:solidFill>
                      </w14:textFill>
                    </w:rPr>
                  </w:pPr>
                  <w:r>
                    <w:rPr>
                      <w:rStyle w:val="64"/>
                      <w:rFonts w:hint="default" w:ascii="Times New Roman" w:hAnsi="Times New Roman" w:cs="Times New Roman"/>
                      <w:color w:val="000000" w:themeColor="text1"/>
                      <w:lang w:bidi="ar"/>
                      <w14:textFill>
                        <w14:solidFill>
                          <w14:schemeClr w14:val="tx1"/>
                        </w14:solidFill>
                      </w14:textFill>
                    </w:rPr>
                    <w:t>玉米（含水12%）</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13CA7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18.608</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2B201A">
                  <w:pPr>
                    <w:widowControl/>
                    <w:jc w:val="center"/>
                    <w:textAlignment w:val="center"/>
                    <w:rPr>
                      <w:color w:val="000000" w:themeColor="text1"/>
                      <w:szCs w:val="21"/>
                      <w14:textFill>
                        <w14:solidFill>
                          <w14:schemeClr w14:val="tx1"/>
                        </w14:solidFill>
                      </w14:textFill>
                    </w:rPr>
                  </w:pPr>
                  <w:r>
                    <w:rPr>
                      <w:rStyle w:val="65"/>
                      <w:rFonts w:hint="default" w:ascii="Times New Roman" w:hAnsi="Times New Roman" w:cs="Times New Roman"/>
                      <w:color w:val="000000" w:themeColor="text1"/>
                      <w:lang w:bidi="ar"/>
                      <w14:textFill>
                        <w14:solidFill>
                          <w14:schemeClr w14:val="tx1"/>
                        </w14:solidFill>
                      </w14:textFill>
                    </w:rPr>
                    <w:t>原料破碎粉尘</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0C16FD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0.388</w:t>
                  </w:r>
                </w:p>
              </w:tc>
            </w:tr>
            <w:tr w14:paraId="62E92ED4">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917296">
                  <w:pPr>
                    <w:widowControl/>
                    <w:jc w:val="center"/>
                    <w:textAlignment w:val="center"/>
                    <w:rPr>
                      <w:color w:val="000000" w:themeColor="text1"/>
                      <w:szCs w:val="21"/>
                      <w14:textFill>
                        <w14:solidFill>
                          <w14:schemeClr w14:val="tx1"/>
                        </w14:solidFill>
                      </w14:textFill>
                    </w:rPr>
                  </w:pPr>
                  <w:r>
                    <w:rPr>
                      <w:rStyle w:val="64"/>
                      <w:rFonts w:hint="default" w:ascii="Times New Roman" w:hAnsi="Times New Roman" w:cs="Times New Roman"/>
                      <w:color w:val="000000" w:themeColor="text1"/>
                      <w:lang w:bidi="ar"/>
                      <w14:textFill>
                        <w14:solidFill>
                          <w14:schemeClr w14:val="tx1"/>
                        </w14:solidFill>
                      </w14:textFill>
                    </w:rPr>
                    <w:t>小麦（含水12%）</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A8716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37.215</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032B64">
                  <w:pPr>
                    <w:widowControl/>
                    <w:jc w:val="center"/>
                    <w:textAlignment w:val="center"/>
                    <w:rPr>
                      <w:color w:val="000000" w:themeColor="text1"/>
                      <w:szCs w:val="21"/>
                      <w14:textFill>
                        <w14:solidFill>
                          <w14:schemeClr w14:val="tx1"/>
                        </w14:solidFill>
                      </w14:textFill>
                    </w:rPr>
                  </w:pPr>
                  <w:r>
                    <w:rPr>
                      <w:rStyle w:val="65"/>
                      <w:rFonts w:hint="default" w:ascii="Times New Roman" w:hAnsi="Times New Roman" w:cs="Times New Roman"/>
                      <w:color w:val="000000" w:themeColor="text1"/>
                      <w:lang w:bidi="ar"/>
                      <w14:textFill>
                        <w14:solidFill>
                          <w14:schemeClr w14:val="tx1"/>
                        </w14:solidFill>
                      </w14:textFill>
                    </w:rPr>
                    <w:t>酒糟（</w:t>
                  </w:r>
                  <w:r>
                    <w:rPr>
                      <w:rStyle w:val="66"/>
                      <w:color w:val="000000" w:themeColor="text1"/>
                      <w:lang w:bidi="ar"/>
                      <w14:textFill>
                        <w14:solidFill>
                          <w14:schemeClr w14:val="tx1"/>
                        </w14:solidFill>
                      </w14:textFill>
                    </w:rPr>
                    <w:t>50%</w:t>
                  </w:r>
                  <w:r>
                    <w:rPr>
                      <w:rStyle w:val="65"/>
                      <w:rFonts w:hint="default" w:ascii="Times New Roman" w:hAnsi="Times New Roman" w:cs="Times New Roman"/>
                      <w:color w:val="000000" w:themeColor="text1"/>
                      <w:lang w:bidi="ar"/>
                      <w14:textFill>
                        <w14:solidFill>
                          <w14:schemeClr w14:val="tx1"/>
                        </w14:solidFill>
                      </w14:textFill>
                    </w:rPr>
                    <w:t>）</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91F99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460.170</w:t>
                  </w:r>
                </w:p>
              </w:tc>
            </w:tr>
            <w:tr w14:paraId="4DBE8637">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6B48B6">
                  <w:pPr>
                    <w:widowControl/>
                    <w:jc w:val="center"/>
                    <w:textAlignment w:val="center"/>
                    <w:rPr>
                      <w:color w:val="000000" w:themeColor="text1"/>
                      <w:szCs w:val="21"/>
                      <w14:textFill>
                        <w14:solidFill>
                          <w14:schemeClr w14:val="tx1"/>
                        </w14:solidFill>
                      </w14:textFill>
                    </w:rPr>
                  </w:pPr>
                  <w:r>
                    <w:rPr>
                      <w:rStyle w:val="64"/>
                      <w:rFonts w:hint="default" w:ascii="Times New Roman" w:hAnsi="Times New Roman" w:cs="Times New Roman"/>
                      <w:color w:val="000000" w:themeColor="text1"/>
                      <w:lang w:bidi="ar"/>
                      <w14:textFill>
                        <w14:solidFill>
                          <w14:schemeClr w14:val="tx1"/>
                        </w14:solidFill>
                      </w14:textFill>
                    </w:rPr>
                    <w:t>酒曲（含水12%）</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2592BE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69.779</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4A8FE1">
                  <w:pPr>
                    <w:widowControl/>
                    <w:jc w:val="center"/>
                    <w:textAlignment w:val="center"/>
                    <w:rPr>
                      <w:color w:val="000000" w:themeColor="text1"/>
                      <w:szCs w:val="21"/>
                      <w14:textFill>
                        <w14:solidFill>
                          <w14:schemeClr w14:val="tx1"/>
                        </w14:solidFill>
                      </w14:textFill>
                    </w:rPr>
                  </w:pPr>
                  <w:r>
                    <w:rPr>
                      <w:rStyle w:val="65"/>
                      <w:rFonts w:hint="default" w:ascii="Times New Roman" w:hAnsi="Times New Roman" w:cs="Times New Roman"/>
                      <w:color w:val="000000" w:themeColor="text1"/>
                      <w:lang w:bidi="ar"/>
                      <w14:textFill>
                        <w14:solidFill>
                          <w14:schemeClr w14:val="tx1"/>
                        </w14:solidFill>
                      </w14:textFill>
                    </w:rPr>
                    <w:t>锅底水</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F47FEA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14.661</w:t>
                  </w:r>
                </w:p>
              </w:tc>
            </w:tr>
            <w:tr w14:paraId="49A34902">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BE26858">
                  <w:pPr>
                    <w:widowControl/>
                    <w:jc w:val="center"/>
                    <w:textAlignment w:val="center"/>
                    <w:rPr>
                      <w:color w:val="000000" w:themeColor="text1"/>
                      <w:szCs w:val="21"/>
                      <w14:textFill>
                        <w14:solidFill>
                          <w14:schemeClr w14:val="tx1"/>
                        </w14:solidFill>
                      </w14:textFill>
                    </w:rPr>
                  </w:pPr>
                  <w:r>
                    <w:rPr>
                      <w:rStyle w:val="64"/>
                      <w:rFonts w:hint="default" w:ascii="Times New Roman" w:hAnsi="Times New Roman" w:cs="Times New Roman"/>
                      <w:color w:val="000000" w:themeColor="text1"/>
                      <w:lang w:bidi="ar"/>
                      <w14:textFill>
                        <w14:solidFill>
                          <w14:schemeClr w14:val="tx1"/>
                        </w14:solidFill>
                      </w14:textFill>
                    </w:rPr>
                    <w:t>稻壳（含水12%）</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29BD9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58.149</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360EBC">
                  <w:pPr>
                    <w:widowControl/>
                    <w:jc w:val="center"/>
                    <w:textAlignment w:val="center"/>
                    <w:rPr>
                      <w:color w:val="000000" w:themeColor="text1"/>
                      <w:szCs w:val="21"/>
                      <w14:textFill>
                        <w14:solidFill>
                          <w14:schemeClr w14:val="tx1"/>
                        </w14:solidFill>
                      </w14:textFill>
                    </w:rPr>
                  </w:pPr>
                  <w:r>
                    <w:rPr>
                      <w:rStyle w:val="63"/>
                      <w:rFonts w:hint="default" w:ascii="Times New Roman" w:hAnsi="Times New Roman" w:cs="Times New Roman"/>
                      <w:color w:val="000000" w:themeColor="text1"/>
                      <w:sz w:val="21"/>
                      <w:szCs w:val="21"/>
                      <w:lang w:bidi="ar"/>
                      <w14:textFill>
                        <w14:solidFill>
                          <w14:schemeClr w14:val="tx1"/>
                        </w14:solidFill>
                      </w14:textFill>
                    </w:rPr>
                    <w:t>发酵废气</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5FEF36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42.385</w:t>
                  </w:r>
                </w:p>
              </w:tc>
            </w:tr>
            <w:tr w14:paraId="2D23FC9F">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D91168E">
                  <w:pPr>
                    <w:widowControl/>
                    <w:jc w:val="center"/>
                    <w:textAlignment w:val="center"/>
                    <w:rPr>
                      <w:color w:val="000000" w:themeColor="text1"/>
                      <w:szCs w:val="21"/>
                      <w14:textFill>
                        <w14:solidFill>
                          <w14:schemeClr w14:val="tx1"/>
                        </w14:solidFill>
                      </w14:textFill>
                    </w:rPr>
                  </w:pPr>
                  <w:r>
                    <w:rPr>
                      <w:rStyle w:val="64"/>
                      <w:rFonts w:hint="default" w:ascii="Times New Roman" w:hAnsi="Times New Roman" w:cs="Times New Roman"/>
                      <w:color w:val="000000" w:themeColor="text1"/>
                      <w:lang w:bidi="ar"/>
                      <w14:textFill>
                        <w14:solidFill>
                          <w14:schemeClr w14:val="tx1"/>
                        </w14:solidFill>
                      </w14:textFill>
                    </w:rPr>
                    <w:t>酿造用水</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FB344D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775.320</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F30E0C">
                  <w:pPr>
                    <w:widowControl/>
                    <w:jc w:val="center"/>
                    <w:textAlignment w:val="center"/>
                    <w:rPr>
                      <w:color w:val="000000" w:themeColor="text1"/>
                      <w:szCs w:val="21"/>
                      <w14:textFill>
                        <w14:solidFill>
                          <w14:schemeClr w14:val="tx1"/>
                        </w14:solidFill>
                      </w14:textFill>
                    </w:rPr>
                  </w:pPr>
                  <w:r>
                    <w:rPr>
                      <w:rStyle w:val="63"/>
                      <w:rFonts w:hint="default" w:ascii="Times New Roman" w:hAnsi="Times New Roman" w:cs="Times New Roman"/>
                      <w:color w:val="000000" w:themeColor="text1"/>
                      <w:sz w:val="21"/>
                      <w:szCs w:val="21"/>
                      <w:lang w:bidi="ar"/>
                      <w14:textFill>
                        <w14:solidFill>
                          <w14:schemeClr w14:val="tx1"/>
                        </w14:solidFill>
                      </w14:textFill>
                    </w:rPr>
                    <w:t>黄水</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5E0C8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29.462</w:t>
                  </w:r>
                </w:p>
              </w:tc>
            </w:tr>
            <w:tr w14:paraId="7354E17F">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9271244">
                  <w:pPr>
                    <w:widowControl/>
                    <w:jc w:val="center"/>
                    <w:textAlignment w:val="center"/>
                    <w:rPr>
                      <w:color w:val="000000" w:themeColor="text1"/>
                      <w:szCs w:val="21"/>
                      <w14:textFill>
                        <w14:solidFill>
                          <w14:schemeClr w14:val="tx1"/>
                        </w14:solidFill>
                      </w14:textFill>
                    </w:rPr>
                  </w:pPr>
                  <w:r>
                    <w:rPr>
                      <w:rStyle w:val="63"/>
                      <w:rFonts w:hint="default" w:ascii="Times New Roman" w:hAnsi="Times New Roman" w:cs="Times New Roman"/>
                      <w:color w:val="000000" w:themeColor="text1"/>
                      <w:sz w:val="21"/>
                      <w:szCs w:val="21"/>
                      <w:lang w:bidi="ar"/>
                      <w14:textFill>
                        <w14:solidFill>
                          <w14:schemeClr w14:val="tx1"/>
                        </w14:solidFill>
                      </w14:textFill>
                    </w:rPr>
                    <w:t>蒸汽</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885F7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400.000</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C6F02A">
                  <w:pPr>
                    <w:widowControl/>
                    <w:jc w:val="center"/>
                    <w:textAlignment w:val="center"/>
                    <w:rPr>
                      <w:color w:val="000000" w:themeColor="text1"/>
                      <w:szCs w:val="21"/>
                      <w14:textFill>
                        <w14:solidFill>
                          <w14:schemeClr w14:val="tx1"/>
                        </w14:solidFill>
                      </w14:textFill>
                    </w:rPr>
                  </w:pPr>
                  <w:r>
                    <w:rPr>
                      <w:rStyle w:val="63"/>
                      <w:rFonts w:hint="default" w:ascii="Times New Roman" w:hAnsi="Times New Roman" w:cs="Times New Roman"/>
                      <w:color w:val="000000" w:themeColor="text1"/>
                      <w:sz w:val="21"/>
                      <w:szCs w:val="21"/>
                      <w:lang w:bidi="ar"/>
                      <w14:textFill>
                        <w14:solidFill>
                          <w14:schemeClr w14:val="tx1"/>
                        </w14:solidFill>
                      </w14:textFill>
                    </w:rPr>
                    <w:t>挥发废气</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F13EE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0.068</w:t>
                  </w:r>
                </w:p>
              </w:tc>
            </w:tr>
            <w:tr w14:paraId="560F612D">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4C2145">
                  <w:pPr>
                    <w:widowControl/>
                    <w:jc w:val="center"/>
                    <w:textAlignment w:val="center"/>
                    <w:rPr>
                      <w:color w:val="000000" w:themeColor="text1"/>
                      <w:szCs w:val="21"/>
                      <w14:textFill>
                        <w14:solidFill>
                          <w14:schemeClr w14:val="tx1"/>
                        </w14:solidFill>
                      </w14:textFill>
                    </w:rPr>
                  </w:pPr>
                  <w:r>
                    <w:rPr>
                      <w:rStyle w:val="63"/>
                      <w:rFonts w:hint="default" w:ascii="Times New Roman" w:hAnsi="Times New Roman" w:cs="Times New Roman"/>
                      <w:color w:val="000000" w:themeColor="text1"/>
                      <w:sz w:val="21"/>
                      <w:szCs w:val="21"/>
                      <w:lang w:bidi="ar"/>
                      <w14:textFill>
                        <w14:solidFill>
                          <w14:schemeClr w14:val="tx1"/>
                        </w14:solidFill>
                      </w14:textFill>
                    </w:rPr>
                    <w:t>打量水</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95F5A2">
                  <w:pPr>
                    <w:widowControl/>
                    <w:jc w:val="center"/>
                    <w:textAlignment w:val="center"/>
                    <w:rPr>
                      <w:rFonts w:hint="eastAsia" w:eastAsia="宋体"/>
                      <w:color w:val="000000" w:themeColor="text1"/>
                      <w:szCs w:val="21"/>
                      <w:lang w:val="en-US" w:eastAsia="zh-CN"/>
                      <w14:textFill>
                        <w14:solidFill>
                          <w14:schemeClr w14:val="tx1"/>
                        </w14:solidFill>
                      </w14:textFill>
                    </w:rPr>
                  </w:pPr>
                  <w:r>
                    <w:rPr>
                      <w:color w:val="000000" w:themeColor="text1"/>
                      <w:kern w:val="0"/>
                      <w:szCs w:val="21"/>
                      <w:lang w:bidi="ar"/>
                      <w14:textFill>
                        <w14:solidFill>
                          <w14:schemeClr w14:val="tx1"/>
                        </w14:solidFill>
                      </w14:textFill>
                    </w:rPr>
                    <w:t>72.10</w:t>
                  </w:r>
                  <w:r>
                    <w:rPr>
                      <w:rFonts w:hint="eastAsia"/>
                      <w:color w:val="000000" w:themeColor="text1"/>
                      <w:kern w:val="0"/>
                      <w:szCs w:val="21"/>
                      <w:lang w:val="en-US" w:eastAsia="zh-CN" w:bidi="ar"/>
                      <w14:textFill>
                        <w14:solidFill>
                          <w14:schemeClr w14:val="tx1"/>
                        </w14:solidFill>
                      </w14:textFill>
                    </w:rPr>
                    <w:t>5</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5607CF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其他酿造废水</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986B5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256.631</w:t>
                  </w:r>
                </w:p>
              </w:tc>
            </w:tr>
            <w:tr w14:paraId="7672B0EA">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3E796F7">
                  <w:pPr>
                    <w:widowControl/>
                    <w:jc w:val="center"/>
                    <w:textAlignment w:val="center"/>
                    <w:rPr>
                      <w:color w:val="000000" w:themeColor="text1"/>
                      <w:szCs w:val="21"/>
                      <w14:textFill>
                        <w14:solidFill>
                          <w14:schemeClr w14:val="tx1"/>
                        </w14:solidFill>
                      </w14:textFill>
                    </w:rPr>
                  </w:pPr>
                  <w:r>
                    <w:rPr>
                      <w:rStyle w:val="63"/>
                      <w:rFonts w:hint="default" w:ascii="Times New Roman" w:hAnsi="Times New Roman" w:cs="Times New Roman"/>
                      <w:color w:val="000000" w:themeColor="text1"/>
                      <w:sz w:val="21"/>
                      <w:szCs w:val="21"/>
                      <w:lang w:bidi="ar"/>
                      <w14:textFill>
                        <w14:solidFill>
                          <w14:schemeClr w14:val="tx1"/>
                        </w14:solidFill>
                      </w14:textFill>
                    </w:rPr>
                    <w:t>黄水</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B43B3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29.462</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50451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废硅藻土</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0C91D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0.062</w:t>
                  </w:r>
                </w:p>
              </w:tc>
            </w:tr>
            <w:tr w14:paraId="7F778280">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BEA84B">
                  <w:pPr>
                    <w:widowControl/>
                    <w:jc w:val="center"/>
                    <w:textAlignment w:val="center"/>
                    <w:rPr>
                      <w:color w:val="000000" w:themeColor="text1"/>
                      <w:szCs w:val="21"/>
                      <w14:textFill>
                        <w14:solidFill>
                          <w14:schemeClr w14:val="tx1"/>
                        </w14:solidFill>
                      </w14:textFill>
                    </w:rPr>
                  </w:pPr>
                  <w:r>
                    <w:rPr>
                      <w:rStyle w:val="63"/>
                      <w:rFonts w:hint="default" w:ascii="Times New Roman" w:hAnsi="Times New Roman" w:cs="Times New Roman"/>
                      <w:color w:val="000000" w:themeColor="text1"/>
                      <w:sz w:val="21"/>
                      <w:szCs w:val="21"/>
                      <w:lang w:bidi="ar"/>
                      <w14:textFill>
                        <w14:solidFill>
                          <w14:schemeClr w14:val="tx1"/>
                        </w14:solidFill>
                      </w14:textFill>
                    </w:rPr>
                    <w:t>硅藻土</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9B589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0.05</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B077B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497D3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11BA5A7C">
              <w:tblPrEx>
                <w:tblCellMar>
                  <w:top w:w="0" w:type="dxa"/>
                  <w:left w:w="108" w:type="dxa"/>
                  <w:bottom w:w="0" w:type="dxa"/>
                  <w:right w:w="108" w:type="dxa"/>
                </w:tblCellMar>
              </w:tblPrEx>
              <w:trPr>
                <w:trHeight w:val="454" w:hRule="atLeast"/>
              </w:trPr>
              <w:tc>
                <w:tcPr>
                  <w:tcW w:w="10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65A35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139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6DEC97E">
                  <w:pPr>
                    <w:widowControl/>
                    <w:jc w:val="center"/>
                    <w:textAlignment w:val="center"/>
                    <w:rPr>
                      <w:rFonts w:hint="eastAsia" w:eastAsia="宋体"/>
                      <w:color w:val="000000" w:themeColor="text1"/>
                      <w:szCs w:val="21"/>
                      <w:lang w:val="en-US" w:eastAsia="zh-CN"/>
                      <w14:textFill>
                        <w14:solidFill>
                          <w14:schemeClr w14:val="tx1"/>
                        </w14:solidFill>
                      </w14:textFill>
                    </w:rPr>
                  </w:pPr>
                  <w:r>
                    <w:rPr>
                      <w:color w:val="000000" w:themeColor="text1"/>
                      <w:kern w:val="0"/>
                      <w:szCs w:val="21"/>
                      <w:lang w:bidi="ar"/>
                      <w14:textFill>
                        <w14:solidFill>
                          <w14:schemeClr w14:val="tx1"/>
                        </w14:solidFill>
                      </w14:textFill>
                    </w:rPr>
                    <w:t>1637.46</w:t>
                  </w:r>
                  <w:r>
                    <w:rPr>
                      <w:rFonts w:hint="eastAsia"/>
                      <w:color w:val="000000" w:themeColor="text1"/>
                      <w:kern w:val="0"/>
                      <w:szCs w:val="21"/>
                      <w:lang w:val="en-US" w:eastAsia="zh-CN" w:bidi="ar"/>
                      <w14:textFill>
                        <w14:solidFill>
                          <w14:schemeClr w14:val="tx1"/>
                        </w14:solidFill>
                      </w14:textFill>
                    </w:rPr>
                    <w:t>1</w:t>
                  </w:r>
                </w:p>
              </w:tc>
              <w:tc>
                <w:tcPr>
                  <w:tcW w:w="15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5E60F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103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404EB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1637.461</w:t>
                  </w:r>
                </w:p>
              </w:tc>
            </w:tr>
          </w:tbl>
          <w:p w14:paraId="18FB1B63">
            <w:pPr>
              <w:adjustRightInd w:val="0"/>
              <w:snapToGrid w:val="0"/>
              <w:spacing w:line="360" w:lineRule="auto"/>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表2-17  黄酒生产线物料平衡表</w:t>
            </w:r>
          </w:p>
          <w:tbl>
            <w:tblPr>
              <w:tblStyle w:val="25"/>
              <w:tblW w:w="9238" w:type="dxa"/>
              <w:tblInd w:w="0" w:type="dxa"/>
              <w:tblLayout w:type="autofit"/>
              <w:tblCellMar>
                <w:top w:w="0" w:type="dxa"/>
                <w:left w:w="108" w:type="dxa"/>
                <w:bottom w:w="0" w:type="dxa"/>
                <w:right w:w="108" w:type="dxa"/>
              </w:tblCellMar>
            </w:tblPr>
            <w:tblGrid>
              <w:gridCol w:w="1951"/>
              <w:gridCol w:w="2565"/>
              <w:gridCol w:w="2859"/>
              <w:gridCol w:w="1863"/>
            </w:tblGrid>
            <w:tr w14:paraId="030C0222">
              <w:tblPrEx>
                <w:tblCellMar>
                  <w:top w:w="0" w:type="dxa"/>
                  <w:left w:w="108" w:type="dxa"/>
                  <w:bottom w:w="0" w:type="dxa"/>
                  <w:right w:w="108" w:type="dxa"/>
                </w:tblCellMar>
              </w:tblPrEx>
              <w:trPr>
                <w:trHeight w:val="454" w:hRule="atLeast"/>
              </w:trPr>
              <w:tc>
                <w:tcPr>
                  <w:tcW w:w="244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233FBCA">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输入</w:t>
                  </w:r>
                </w:p>
              </w:tc>
              <w:tc>
                <w:tcPr>
                  <w:tcW w:w="255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27A28E21">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输出</w:t>
                  </w:r>
                </w:p>
              </w:tc>
            </w:tr>
            <w:tr w14:paraId="2C606690">
              <w:tblPrEx>
                <w:tblCellMar>
                  <w:top w:w="0" w:type="dxa"/>
                  <w:left w:w="108" w:type="dxa"/>
                  <w:bottom w:w="0" w:type="dxa"/>
                  <w:right w:w="108" w:type="dxa"/>
                </w:tblCellMar>
              </w:tblPrEx>
              <w:trPr>
                <w:trHeight w:val="454" w:hRule="atLeast"/>
              </w:trPr>
              <w:tc>
                <w:tcPr>
                  <w:tcW w:w="10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BED80D">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糯米</w:t>
                  </w:r>
                  <w:r>
                    <w:rPr>
                      <w:rStyle w:val="64"/>
                      <w:rFonts w:hint="default" w:ascii="Times New Roman" w:hAnsi="Times New Roman" w:cs="Times New Roman"/>
                      <w:color w:val="000000" w:themeColor="text1"/>
                      <w:lang w:bidi="ar"/>
                      <w14:textFill>
                        <w14:solidFill>
                          <w14:schemeClr w14:val="tx1"/>
                        </w14:solidFill>
                      </w14:textFill>
                    </w:rPr>
                    <w:t>（含水12%）</w:t>
                  </w:r>
                </w:p>
              </w:tc>
              <w:tc>
                <w:tcPr>
                  <w:tcW w:w="1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D8D0D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39.825</w:t>
                  </w:r>
                </w:p>
              </w:tc>
              <w:tc>
                <w:tcPr>
                  <w:tcW w:w="1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E19546">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基酒</w:t>
                  </w:r>
                </w:p>
              </w:tc>
              <w:tc>
                <w:tcPr>
                  <w:tcW w:w="10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1BB50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159.302</w:t>
                  </w:r>
                </w:p>
              </w:tc>
            </w:tr>
            <w:tr w14:paraId="4CF51C4D">
              <w:tblPrEx>
                <w:tblCellMar>
                  <w:top w:w="0" w:type="dxa"/>
                  <w:left w:w="108" w:type="dxa"/>
                  <w:bottom w:w="0" w:type="dxa"/>
                  <w:right w:w="108" w:type="dxa"/>
                </w:tblCellMar>
              </w:tblPrEx>
              <w:trPr>
                <w:trHeight w:val="454" w:hRule="atLeast"/>
              </w:trPr>
              <w:tc>
                <w:tcPr>
                  <w:tcW w:w="10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093C836">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小米</w:t>
                  </w:r>
                  <w:r>
                    <w:rPr>
                      <w:rStyle w:val="64"/>
                      <w:rFonts w:hint="default" w:ascii="Times New Roman" w:hAnsi="Times New Roman" w:cs="Times New Roman"/>
                      <w:color w:val="000000" w:themeColor="text1"/>
                      <w:lang w:bidi="ar"/>
                      <w14:textFill>
                        <w14:solidFill>
                          <w14:schemeClr w14:val="tx1"/>
                        </w14:solidFill>
                      </w14:textFill>
                    </w:rPr>
                    <w:t>（含水12%）</w:t>
                  </w:r>
                </w:p>
              </w:tc>
              <w:tc>
                <w:tcPr>
                  <w:tcW w:w="1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816A2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39.825</w:t>
                  </w:r>
                </w:p>
              </w:tc>
              <w:tc>
                <w:tcPr>
                  <w:tcW w:w="1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89F38E9">
                  <w:pPr>
                    <w:widowControl/>
                    <w:jc w:val="center"/>
                    <w:textAlignment w:val="center"/>
                    <w:rPr>
                      <w:color w:val="000000" w:themeColor="text1"/>
                      <w:szCs w:val="21"/>
                      <w14:textFill>
                        <w14:solidFill>
                          <w14:schemeClr w14:val="tx1"/>
                        </w14:solidFill>
                      </w14:textFill>
                    </w:rPr>
                  </w:pPr>
                  <w:r>
                    <w:rPr>
                      <w:rStyle w:val="67"/>
                      <w:rFonts w:hint="default"/>
                      <w:color w:val="000000" w:themeColor="text1"/>
                      <w:lang w:bidi="ar"/>
                      <w14:textFill>
                        <w14:solidFill>
                          <w14:schemeClr w14:val="tx1"/>
                        </w14:solidFill>
                      </w14:textFill>
                    </w:rPr>
                    <w:t>原料投料过程粉尘</w:t>
                  </w:r>
                </w:p>
              </w:tc>
              <w:tc>
                <w:tcPr>
                  <w:tcW w:w="10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C24F64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0.008</w:t>
                  </w:r>
                </w:p>
              </w:tc>
            </w:tr>
            <w:tr w14:paraId="43EBDB80">
              <w:tblPrEx>
                <w:tblCellMar>
                  <w:top w:w="0" w:type="dxa"/>
                  <w:left w:w="108" w:type="dxa"/>
                  <w:bottom w:w="0" w:type="dxa"/>
                  <w:right w:w="108" w:type="dxa"/>
                </w:tblCellMar>
              </w:tblPrEx>
              <w:trPr>
                <w:trHeight w:val="454" w:hRule="atLeast"/>
              </w:trPr>
              <w:tc>
                <w:tcPr>
                  <w:tcW w:w="10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2960D68">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酒曲</w:t>
                  </w:r>
                  <w:r>
                    <w:rPr>
                      <w:rStyle w:val="64"/>
                      <w:rFonts w:hint="default" w:ascii="Times New Roman" w:hAnsi="Times New Roman" w:cs="Times New Roman"/>
                      <w:color w:val="000000" w:themeColor="text1"/>
                      <w:lang w:bidi="ar"/>
                      <w14:textFill>
                        <w14:solidFill>
                          <w14:schemeClr w14:val="tx1"/>
                        </w14:solidFill>
                      </w14:textFill>
                    </w:rPr>
                    <w:t>（含水12%）</w:t>
                  </w:r>
                </w:p>
              </w:tc>
              <w:tc>
                <w:tcPr>
                  <w:tcW w:w="1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41191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7.965</w:t>
                  </w:r>
                </w:p>
              </w:tc>
              <w:tc>
                <w:tcPr>
                  <w:tcW w:w="1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9155CE">
                  <w:pPr>
                    <w:widowControl/>
                    <w:jc w:val="center"/>
                    <w:textAlignment w:val="center"/>
                    <w:rPr>
                      <w:color w:val="000000" w:themeColor="text1"/>
                      <w:szCs w:val="21"/>
                      <w14:textFill>
                        <w14:solidFill>
                          <w14:schemeClr w14:val="tx1"/>
                        </w14:solidFill>
                      </w14:textFill>
                    </w:rPr>
                  </w:pPr>
                  <w:r>
                    <w:rPr>
                      <w:rStyle w:val="67"/>
                      <w:rFonts w:hint="default"/>
                      <w:color w:val="000000" w:themeColor="text1"/>
                      <w:lang w:bidi="ar"/>
                      <w14:textFill>
                        <w14:solidFill>
                          <w14:schemeClr w14:val="tx1"/>
                        </w14:solidFill>
                      </w14:textFill>
                    </w:rPr>
                    <w:t>蒸发损耗废气</w:t>
                  </w:r>
                  <w:r>
                    <w:rPr>
                      <w:rStyle w:val="65"/>
                      <w:rFonts w:hint="default" w:ascii="Times New Roman" w:hAnsi="Times New Roman" w:cs="Times New Roman"/>
                      <w:color w:val="000000" w:themeColor="text1"/>
                      <w:lang w:bidi="ar"/>
                      <w14:textFill>
                        <w14:solidFill>
                          <w14:schemeClr w14:val="tx1"/>
                        </w14:solidFill>
                      </w14:textFill>
                    </w:rPr>
                    <w:t>（含冷凝水）</w:t>
                  </w:r>
                </w:p>
              </w:tc>
              <w:tc>
                <w:tcPr>
                  <w:tcW w:w="10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647179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635.497</w:t>
                  </w:r>
                </w:p>
              </w:tc>
            </w:tr>
            <w:tr w14:paraId="21BB434B">
              <w:tblPrEx>
                <w:tblCellMar>
                  <w:top w:w="0" w:type="dxa"/>
                  <w:left w:w="108" w:type="dxa"/>
                  <w:bottom w:w="0" w:type="dxa"/>
                  <w:right w:w="108" w:type="dxa"/>
                </w:tblCellMar>
              </w:tblPrEx>
              <w:trPr>
                <w:trHeight w:val="454" w:hRule="atLeast"/>
              </w:trPr>
              <w:tc>
                <w:tcPr>
                  <w:tcW w:w="10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D6DAAE">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新鲜水</w:t>
                  </w:r>
                </w:p>
              </w:tc>
              <w:tc>
                <w:tcPr>
                  <w:tcW w:w="1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08CB4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185.044</w:t>
                  </w:r>
                </w:p>
              </w:tc>
              <w:tc>
                <w:tcPr>
                  <w:tcW w:w="1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9FD4205">
                  <w:pPr>
                    <w:widowControl/>
                    <w:jc w:val="center"/>
                    <w:textAlignment w:val="center"/>
                    <w:rPr>
                      <w:rFonts w:ascii="宋体" w:hAnsi="宋体" w:cs="宋体"/>
                      <w:color w:val="000000" w:themeColor="text1"/>
                      <w:szCs w:val="21"/>
                      <w14:textFill>
                        <w14:solidFill>
                          <w14:schemeClr w14:val="tx1"/>
                        </w14:solidFill>
                      </w14:textFill>
                    </w:rPr>
                  </w:pPr>
                  <w:r>
                    <w:rPr>
                      <w:rStyle w:val="67"/>
                      <w:rFonts w:hint="default"/>
                      <w:color w:val="000000" w:themeColor="text1"/>
                      <w:lang w:bidi="ar"/>
                      <w14:textFill>
                        <w14:solidFill>
                          <w14:schemeClr w14:val="tx1"/>
                        </w14:solidFill>
                      </w14:textFill>
                    </w:rPr>
                    <w:t>酒糟（</w:t>
                  </w:r>
                  <w:r>
                    <w:rPr>
                      <w:color w:val="000000" w:themeColor="text1"/>
                      <w:kern w:val="0"/>
                      <w:szCs w:val="21"/>
                      <w:lang w:bidi="ar"/>
                      <w14:textFill>
                        <w14:solidFill>
                          <w14:schemeClr w14:val="tx1"/>
                        </w14:solidFill>
                      </w14:textFill>
                    </w:rPr>
                    <w:t>50%</w:t>
                  </w:r>
                  <w:r>
                    <w:rPr>
                      <w:rStyle w:val="67"/>
                      <w:rFonts w:hint="default"/>
                      <w:color w:val="000000" w:themeColor="text1"/>
                      <w:lang w:bidi="ar"/>
                      <w14:textFill>
                        <w14:solidFill>
                          <w14:schemeClr w14:val="tx1"/>
                        </w14:solidFill>
                      </w14:textFill>
                    </w:rPr>
                    <w:t>）</w:t>
                  </w:r>
                </w:p>
              </w:tc>
              <w:tc>
                <w:tcPr>
                  <w:tcW w:w="10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88788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53.120</w:t>
                  </w:r>
                </w:p>
              </w:tc>
            </w:tr>
            <w:tr w14:paraId="0D15B591">
              <w:tblPrEx>
                <w:tblCellMar>
                  <w:top w:w="0" w:type="dxa"/>
                  <w:left w:w="108" w:type="dxa"/>
                  <w:bottom w:w="0" w:type="dxa"/>
                  <w:right w:w="108" w:type="dxa"/>
                </w:tblCellMar>
              </w:tblPrEx>
              <w:trPr>
                <w:trHeight w:val="454" w:hRule="atLeast"/>
              </w:trPr>
              <w:tc>
                <w:tcPr>
                  <w:tcW w:w="10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8270207">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蒸汽</w:t>
                  </w:r>
                </w:p>
              </w:tc>
              <w:tc>
                <w:tcPr>
                  <w:tcW w:w="1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F8B9D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600</w:t>
                  </w:r>
                </w:p>
              </w:tc>
              <w:tc>
                <w:tcPr>
                  <w:tcW w:w="1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0A020A1">
                  <w:pPr>
                    <w:widowControl/>
                    <w:jc w:val="center"/>
                    <w:textAlignment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发酵废气</w:t>
                  </w:r>
                </w:p>
              </w:tc>
              <w:tc>
                <w:tcPr>
                  <w:tcW w:w="10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5311E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24.705</w:t>
                  </w:r>
                </w:p>
              </w:tc>
            </w:tr>
            <w:tr w14:paraId="0CF5E23C">
              <w:tblPrEx>
                <w:tblCellMar>
                  <w:top w:w="0" w:type="dxa"/>
                  <w:left w:w="108" w:type="dxa"/>
                  <w:bottom w:w="0" w:type="dxa"/>
                  <w:right w:w="108" w:type="dxa"/>
                </w:tblCellMar>
              </w:tblPrEx>
              <w:trPr>
                <w:trHeight w:val="454" w:hRule="atLeast"/>
              </w:trPr>
              <w:tc>
                <w:tcPr>
                  <w:tcW w:w="10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7A45C8">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硅藻土</w:t>
                  </w:r>
                </w:p>
              </w:tc>
              <w:tc>
                <w:tcPr>
                  <w:tcW w:w="1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C2DDB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0.1</w:t>
                  </w:r>
                </w:p>
              </w:tc>
              <w:tc>
                <w:tcPr>
                  <w:tcW w:w="1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829F7C">
                  <w:pPr>
                    <w:widowControl/>
                    <w:jc w:val="center"/>
                    <w:textAlignment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废硅藻土</w:t>
                  </w:r>
                </w:p>
              </w:tc>
              <w:tc>
                <w:tcPr>
                  <w:tcW w:w="10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5497A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0.127</w:t>
                  </w:r>
                </w:p>
              </w:tc>
            </w:tr>
            <w:tr w14:paraId="1095DEC3">
              <w:tblPrEx>
                <w:tblCellMar>
                  <w:top w:w="0" w:type="dxa"/>
                  <w:left w:w="108" w:type="dxa"/>
                  <w:bottom w:w="0" w:type="dxa"/>
                  <w:right w:w="108" w:type="dxa"/>
                </w:tblCellMar>
              </w:tblPrEx>
              <w:trPr>
                <w:trHeight w:val="454" w:hRule="atLeast"/>
              </w:trPr>
              <w:tc>
                <w:tcPr>
                  <w:tcW w:w="105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DBAAF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138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5EF70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872.759</w:t>
                  </w:r>
                </w:p>
              </w:tc>
              <w:tc>
                <w:tcPr>
                  <w:tcW w:w="154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8F443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100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43F6CF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872.759</w:t>
                  </w:r>
                </w:p>
              </w:tc>
            </w:tr>
          </w:tbl>
          <w:p w14:paraId="05375E9C">
            <w:pPr>
              <w:adjustRightInd w:val="0"/>
              <w:snapToGrid w:val="0"/>
              <w:spacing w:line="360" w:lineRule="auto"/>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表2-18  啤酒生产线物料平衡表</w:t>
            </w:r>
          </w:p>
          <w:tbl>
            <w:tblPr>
              <w:tblStyle w:val="25"/>
              <w:tblW w:w="9238" w:type="dxa"/>
              <w:tblInd w:w="0" w:type="dxa"/>
              <w:tblLayout w:type="autofit"/>
              <w:tblCellMar>
                <w:top w:w="0" w:type="dxa"/>
                <w:left w:w="108" w:type="dxa"/>
                <w:bottom w:w="0" w:type="dxa"/>
                <w:right w:w="108" w:type="dxa"/>
              </w:tblCellMar>
            </w:tblPr>
            <w:tblGrid>
              <w:gridCol w:w="1914"/>
              <w:gridCol w:w="2548"/>
              <w:gridCol w:w="2837"/>
              <w:gridCol w:w="1939"/>
            </w:tblGrid>
            <w:tr w14:paraId="4242BF2C">
              <w:tblPrEx>
                <w:tblCellMar>
                  <w:top w:w="0" w:type="dxa"/>
                  <w:left w:w="108" w:type="dxa"/>
                  <w:bottom w:w="0" w:type="dxa"/>
                  <w:right w:w="108" w:type="dxa"/>
                </w:tblCellMar>
              </w:tblPrEx>
              <w:trPr>
                <w:trHeight w:val="454" w:hRule="atLeast"/>
              </w:trPr>
              <w:tc>
                <w:tcPr>
                  <w:tcW w:w="4462"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DF1884">
                  <w:pPr>
                    <w:widowControl/>
                    <w:jc w:val="center"/>
                    <w:textAlignment w:val="center"/>
                    <w:rPr>
                      <w:color w:val="000000" w:themeColor="text1"/>
                      <w:kern w:val="0"/>
                      <w:szCs w:val="21"/>
                      <w:lang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输入</w:t>
                  </w:r>
                </w:p>
              </w:tc>
              <w:tc>
                <w:tcPr>
                  <w:tcW w:w="4776" w:type="dxa"/>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752F70">
                  <w:pPr>
                    <w:widowControl/>
                    <w:jc w:val="center"/>
                    <w:textAlignment w:val="center"/>
                    <w:rPr>
                      <w:color w:val="000000" w:themeColor="text1"/>
                      <w:kern w:val="0"/>
                      <w:szCs w:val="21"/>
                      <w:lang w:bidi="ar"/>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输出</w:t>
                  </w:r>
                </w:p>
              </w:tc>
            </w:tr>
            <w:tr w14:paraId="5F771A2D">
              <w:tblPrEx>
                <w:tblCellMar>
                  <w:top w:w="0" w:type="dxa"/>
                  <w:left w:w="108" w:type="dxa"/>
                  <w:bottom w:w="0" w:type="dxa"/>
                  <w:right w:w="108" w:type="dxa"/>
                </w:tblCellMar>
              </w:tblPrEx>
              <w:trPr>
                <w:trHeight w:val="454" w:hRule="atLeast"/>
              </w:trPr>
              <w:tc>
                <w:tcPr>
                  <w:tcW w:w="1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790BDB6">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麦芽</w:t>
                  </w:r>
                  <w:r>
                    <w:rPr>
                      <w:rStyle w:val="64"/>
                      <w:rFonts w:hint="default" w:ascii="Times New Roman" w:hAnsi="Times New Roman" w:cs="Times New Roman"/>
                      <w:color w:val="000000" w:themeColor="text1"/>
                      <w:lang w:bidi="ar"/>
                      <w14:textFill>
                        <w14:solidFill>
                          <w14:schemeClr w14:val="tx1"/>
                        </w14:solidFill>
                      </w14:textFill>
                    </w:rPr>
                    <w:t>（含水12%）</w:t>
                  </w:r>
                </w:p>
              </w:tc>
              <w:tc>
                <w:tcPr>
                  <w:tcW w:w="2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4627C9A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4C31379">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啤酒</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AD919B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200.000</w:t>
                  </w:r>
                </w:p>
              </w:tc>
            </w:tr>
            <w:tr w14:paraId="3CAD487E">
              <w:tblPrEx>
                <w:tblCellMar>
                  <w:top w:w="0" w:type="dxa"/>
                  <w:left w:w="108" w:type="dxa"/>
                  <w:bottom w:w="0" w:type="dxa"/>
                  <w:right w:w="108" w:type="dxa"/>
                </w:tblCellMar>
              </w:tblPrEx>
              <w:trPr>
                <w:trHeight w:val="454" w:hRule="atLeast"/>
              </w:trPr>
              <w:tc>
                <w:tcPr>
                  <w:tcW w:w="1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5FDB89B">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大米</w:t>
                  </w:r>
                  <w:r>
                    <w:rPr>
                      <w:rStyle w:val="64"/>
                      <w:rFonts w:hint="default" w:ascii="Times New Roman" w:hAnsi="Times New Roman" w:cs="Times New Roman"/>
                      <w:color w:val="000000" w:themeColor="text1"/>
                      <w:lang w:bidi="ar"/>
                      <w14:textFill>
                        <w14:solidFill>
                          <w14:schemeClr w14:val="tx1"/>
                        </w14:solidFill>
                      </w14:textFill>
                    </w:rPr>
                    <w:t>（含水12%）</w:t>
                  </w:r>
                </w:p>
              </w:tc>
              <w:tc>
                <w:tcPr>
                  <w:tcW w:w="2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143E8BF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3A0AFA0">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蒸发损耗废气</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C2AA93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41.518</w:t>
                  </w:r>
                </w:p>
              </w:tc>
            </w:tr>
            <w:tr w14:paraId="5DF1584D">
              <w:tblPrEx>
                <w:tblCellMar>
                  <w:top w:w="0" w:type="dxa"/>
                  <w:left w:w="108" w:type="dxa"/>
                  <w:bottom w:w="0" w:type="dxa"/>
                  <w:right w:w="108" w:type="dxa"/>
                </w:tblCellMar>
              </w:tblPrEx>
              <w:trPr>
                <w:trHeight w:val="454" w:hRule="atLeast"/>
              </w:trPr>
              <w:tc>
                <w:tcPr>
                  <w:tcW w:w="1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5833BB">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啤酒花</w:t>
                  </w:r>
                </w:p>
              </w:tc>
              <w:tc>
                <w:tcPr>
                  <w:tcW w:w="2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2AE6BA9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0.067</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6588433">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原料投料过程粉尘</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FA98F4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0.004</w:t>
                  </w:r>
                </w:p>
              </w:tc>
            </w:tr>
            <w:tr w14:paraId="1F37F7A1">
              <w:tblPrEx>
                <w:tblCellMar>
                  <w:top w:w="0" w:type="dxa"/>
                  <w:left w:w="108" w:type="dxa"/>
                  <w:bottom w:w="0" w:type="dxa"/>
                  <w:right w:w="108" w:type="dxa"/>
                </w:tblCellMar>
              </w:tblPrEx>
              <w:trPr>
                <w:trHeight w:val="454" w:hRule="atLeast"/>
              </w:trPr>
              <w:tc>
                <w:tcPr>
                  <w:tcW w:w="1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C02661A">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酵母</w:t>
                  </w:r>
                </w:p>
              </w:tc>
              <w:tc>
                <w:tcPr>
                  <w:tcW w:w="2548"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73BCFA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1.6</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817FB5">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原料破碎粉尘</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9B67D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0.067</w:t>
                  </w:r>
                </w:p>
              </w:tc>
            </w:tr>
            <w:tr w14:paraId="76235AF5">
              <w:tblPrEx>
                <w:tblCellMar>
                  <w:top w:w="0" w:type="dxa"/>
                  <w:left w:w="108" w:type="dxa"/>
                  <w:bottom w:w="0" w:type="dxa"/>
                  <w:right w:w="108" w:type="dxa"/>
                </w:tblCellMar>
              </w:tblPrEx>
              <w:trPr>
                <w:trHeight w:val="454" w:hRule="atLeast"/>
              </w:trPr>
              <w:tc>
                <w:tcPr>
                  <w:tcW w:w="1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9A27975">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硅藻土</w:t>
                  </w:r>
                </w:p>
              </w:tc>
              <w:tc>
                <w:tcPr>
                  <w:tcW w:w="2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6238E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0.15</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CF5CC24">
                  <w:pPr>
                    <w:widowControl/>
                    <w:jc w:val="center"/>
                    <w:textAlignment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废麦糟（</w:t>
                  </w:r>
                  <w:r>
                    <w:rPr>
                      <w:color w:val="000000" w:themeColor="text1"/>
                      <w:kern w:val="0"/>
                      <w:szCs w:val="21"/>
                      <w:lang w:bidi="ar"/>
                      <w14:textFill>
                        <w14:solidFill>
                          <w14:schemeClr w14:val="tx1"/>
                        </w14:solidFill>
                      </w14:textFill>
                    </w:rPr>
                    <w:t>80%</w:t>
                  </w:r>
                  <w:r>
                    <w:rPr>
                      <w:rFonts w:hint="eastAsia" w:ascii="宋体" w:hAnsi="宋体" w:cs="宋体"/>
                      <w:color w:val="000000" w:themeColor="text1"/>
                      <w:kern w:val="0"/>
                      <w:szCs w:val="21"/>
                      <w:lang w:bidi="ar"/>
                      <w14:textFill>
                        <w14:solidFill>
                          <w14:schemeClr w14:val="tx1"/>
                        </w14:solidFill>
                      </w14:textFill>
                    </w:rPr>
                    <w:t>）</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1C19AF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145.165</w:t>
                  </w:r>
                </w:p>
              </w:tc>
            </w:tr>
            <w:tr w14:paraId="22E0EB04">
              <w:tblPrEx>
                <w:tblCellMar>
                  <w:top w:w="0" w:type="dxa"/>
                  <w:left w:w="108" w:type="dxa"/>
                  <w:bottom w:w="0" w:type="dxa"/>
                  <w:right w:w="108" w:type="dxa"/>
                </w:tblCellMar>
              </w:tblPrEx>
              <w:trPr>
                <w:trHeight w:val="454" w:hRule="atLeast"/>
              </w:trPr>
              <w:tc>
                <w:tcPr>
                  <w:tcW w:w="1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1F83388">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纯水</w:t>
                  </w:r>
                </w:p>
              </w:tc>
              <w:tc>
                <w:tcPr>
                  <w:tcW w:w="2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84CC4C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353.792</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4839A2">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废啤酒花及热凝固物</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8B716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1.900</w:t>
                  </w:r>
                </w:p>
              </w:tc>
            </w:tr>
            <w:tr w14:paraId="6D917E30">
              <w:tblPrEx>
                <w:tblCellMar>
                  <w:top w:w="0" w:type="dxa"/>
                  <w:left w:w="108" w:type="dxa"/>
                  <w:bottom w:w="0" w:type="dxa"/>
                  <w:right w:w="108" w:type="dxa"/>
                </w:tblCellMar>
              </w:tblPrEx>
              <w:trPr>
                <w:trHeight w:val="454" w:hRule="atLeast"/>
              </w:trPr>
              <w:tc>
                <w:tcPr>
                  <w:tcW w:w="1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9EB73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2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79F296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6A720D">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废酵母</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3BF86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3.000</w:t>
                  </w:r>
                </w:p>
              </w:tc>
            </w:tr>
            <w:tr w14:paraId="4C70854E">
              <w:tblPrEx>
                <w:tblCellMar>
                  <w:top w:w="0" w:type="dxa"/>
                  <w:left w:w="108" w:type="dxa"/>
                  <w:bottom w:w="0" w:type="dxa"/>
                  <w:right w:w="108" w:type="dxa"/>
                </w:tblCellMar>
              </w:tblPrEx>
              <w:trPr>
                <w:trHeight w:val="454" w:hRule="atLeast"/>
              </w:trPr>
              <w:tc>
                <w:tcPr>
                  <w:tcW w:w="1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B724E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2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BEC96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80938A3">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废硅藻土</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17699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0.160</w:t>
                  </w:r>
                </w:p>
              </w:tc>
            </w:tr>
            <w:tr w14:paraId="760A70B7">
              <w:tblPrEx>
                <w:tblCellMar>
                  <w:top w:w="0" w:type="dxa"/>
                  <w:left w:w="108" w:type="dxa"/>
                  <w:bottom w:w="0" w:type="dxa"/>
                  <w:right w:w="108" w:type="dxa"/>
                </w:tblCellMar>
              </w:tblPrEx>
              <w:trPr>
                <w:trHeight w:val="454" w:hRule="atLeast"/>
              </w:trPr>
              <w:tc>
                <w:tcPr>
                  <w:tcW w:w="1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9858B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2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B8E7D1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83CB93">
                  <w:pPr>
                    <w:widowControl/>
                    <w:jc w:val="center"/>
                    <w:textAlignment w:val="center"/>
                    <w:rPr>
                      <w:color w:val="000000" w:themeColor="text1"/>
                      <w:szCs w:val="21"/>
                      <w14:textFill>
                        <w14:solidFill>
                          <w14:schemeClr w14:val="tx1"/>
                        </w14:solidFill>
                      </w14:textFill>
                    </w:rPr>
                  </w:pPr>
                  <w:r>
                    <w:rPr>
                      <w:rFonts w:hint="eastAsia" w:ascii="宋体" w:hAnsi="宋体" w:cs="宋体"/>
                      <w:color w:val="000000" w:themeColor="text1"/>
                      <w:kern w:val="0"/>
                      <w:szCs w:val="21"/>
                      <w:lang w:bidi="ar"/>
                      <w14:textFill>
                        <w14:solidFill>
                          <w14:schemeClr w14:val="tx1"/>
                        </w14:solidFill>
                      </w14:textFill>
                    </w:rPr>
                    <w:t>发酵废气</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729866E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3.795</w:t>
                  </w:r>
                </w:p>
              </w:tc>
            </w:tr>
            <w:tr w14:paraId="037F149C">
              <w:tblPrEx>
                <w:tblCellMar>
                  <w:top w:w="0" w:type="dxa"/>
                  <w:left w:w="108" w:type="dxa"/>
                  <w:bottom w:w="0" w:type="dxa"/>
                  <w:right w:w="108" w:type="dxa"/>
                </w:tblCellMar>
              </w:tblPrEx>
              <w:trPr>
                <w:trHeight w:val="454" w:hRule="atLeast"/>
              </w:trPr>
              <w:tc>
                <w:tcPr>
                  <w:tcW w:w="1914"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C4C4E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25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CC95C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395.609</w:t>
                  </w:r>
                </w:p>
              </w:tc>
              <w:tc>
                <w:tcPr>
                  <w:tcW w:w="283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0DA75A3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193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DBFBC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395.609</w:t>
                  </w:r>
                </w:p>
              </w:tc>
            </w:tr>
          </w:tbl>
          <w:p w14:paraId="3AC0AA1E">
            <w:pPr>
              <w:adjustRightInd w:val="0"/>
              <w:snapToGrid w:val="0"/>
              <w:spacing w:line="360" w:lineRule="auto"/>
              <w:jc w:val="center"/>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表2-19  果酒生产线物料平衡表</w:t>
            </w:r>
          </w:p>
          <w:tbl>
            <w:tblPr>
              <w:tblStyle w:val="25"/>
              <w:tblW w:w="9239" w:type="dxa"/>
              <w:tblInd w:w="0" w:type="dxa"/>
              <w:tblLayout w:type="autofit"/>
              <w:tblCellMar>
                <w:top w:w="0" w:type="dxa"/>
                <w:left w:w="108" w:type="dxa"/>
                <w:bottom w:w="0" w:type="dxa"/>
                <w:right w:w="108" w:type="dxa"/>
              </w:tblCellMar>
            </w:tblPr>
            <w:tblGrid>
              <w:gridCol w:w="2124"/>
              <w:gridCol w:w="2484"/>
              <w:gridCol w:w="2776"/>
              <w:gridCol w:w="1855"/>
            </w:tblGrid>
            <w:tr w14:paraId="6CDDFB4C">
              <w:tblPrEx>
                <w:tblCellMar>
                  <w:top w:w="0" w:type="dxa"/>
                  <w:left w:w="108" w:type="dxa"/>
                  <w:bottom w:w="0" w:type="dxa"/>
                  <w:right w:w="108" w:type="dxa"/>
                </w:tblCellMar>
              </w:tblPrEx>
              <w:trPr>
                <w:trHeight w:val="454" w:hRule="atLeast"/>
              </w:trPr>
              <w:tc>
                <w:tcPr>
                  <w:tcW w:w="2414"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9923B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输入</w:t>
                  </w:r>
                </w:p>
              </w:tc>
              <w:tc>
                <w:tcPr>
                  <w:tcW w:w="2585"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DFA4B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输出</w:t>
                  </w:r>
                </w:p>
              </w:tc>
            </w:tr>
            <w:tr w14:paraId="38BE0C8B">
              <w:tblPrEx>
                <w:tblCellMar>
                  <w:top w:w="0" w:type="dxa"/>
                  <w:left w:w="108" w:type="dxa"/>
                  <w:bottom w:w="0" w:type="dxa"/>
                  <w:right w:w="108" w:type="dxa"/>
                </w:tblCellMar>
              </w:tblPrEx>
              <w:trPr>
                <w:trHeight w:val="454" w:hRule="atLeast"/>
              </w:trPr>
              <w:tc>
                <w:tcPr>
                  <w:tcW w:w="10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164BBC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葡萄</w:t>
                  </w:r>
                  <w:r>
                    <w:rPr>
                      <w:rStyle w:val="64"/>
                      <w:rFonts w:hint="default" w:ascii="Times New Roman" w:hAnsi="Times New Roman" w:cs="Times New Roman"/>
                      <w:color w:val="000000" w:themeColor="text1"/>
                      <w:lang w:bidi="ar"/>
                      <w14:textFill>
                        <w14:solidFill>
                          <w14:schemeClr w14:val="tx1"/>
                        </w14:solidFill>
                      </w14:textFill>
                    </w:rPr>
                    <w:t>（含水85%）</w:t>
                  </w:r>
                </w:p>
              </w:tc>
              <w:tc>
                <w:tcPr>
                  <w:tcW w:w="13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3FBC2A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113.960</w:t>
                  </w:r>
                </w:p>
              </w:tc>
              <w:tc>
                <w:tcPr>
                  <w:tcW w:w="15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42AB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葡萄酒</w:t>
                  </w:r>
                </w:p>
              </w:tc>
              <w:tc>
                <w:tcPr>
                  <w:tcW w:w="1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AF1C61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70.000</w:t>
                  </w:r>
                </w:p>
              </w:tc>
            </w:tr>
            <w:tr w14:paraId="739AB74E">
              <w:tblPrEx>
                <w:tblCellMar>
                  <w:top w:w="0" w:type="dxa"/>
                  <w:left w:w="108" w:type="dxa"/>
                  <w:bottom w:w="0" w:type="dxa"/>
                  <w:right w:w="108" w:type="dxa"/>
                </w:tblCellMar>
              </w:tblPrEx>
              <w:trPr>
                <w:trHeight w:val="454" w:hRule="atLeast"/>
              </w:trPr>
              <w:tc>
                <w:tcPr>
                  <w:tcW w:w="10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53394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猕猴桃</w:t>
                  </w:r>
                  <w:r>
                    <w:rPr>
                      <w:rStyle w:val="64"/>
                      <w:rFonts w:hint="default" w:ascii="Times New Roman" w:hAnsi="Times New Roman" w:cs="Times New Roman"/>
                      <w:color w:val="000000" w:themeColor="text1"/>
                      <w:lang w:bidi="ar"/>
                      <w14:textFill>
                        <w14:solidFill>
                          <w14:schemeClr w14:val="tx1"/>
                        </w14:solidFill>
                      </w14:textFill>
                    </w:rPr>
                    <w:t>（含水85%）</w:t>
                  </w:r>
                </w:p>
              </w:tc>
              <w:tc>
                <w:tcPr>
                  <w:tcW w:w="13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7D4DD8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146.520</w:t>
                  </w:r>
                </w:p>
              </w:tc>
              <w:tc>
                <w:tcPr>
                  <w:tcW w:w="15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B3787D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猕猴桃酒</w:t>
                  </w:r>
                </w:p>
              </w:tc>
              <w:tc>
                <w:tcPr>
                  <w:tcW w:w="1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1A4981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60.000</w:t>
                  </w:r>
                </w:p>
              </w:tc>
            </w:tr>
            <w:tr w14:paraId="3026C46B">
              <w:tblPrEx>
                <w:tblCellMar>
                  <w:top w:w="0" w:type="dxa"/>
                  <w:left w:w="108" w:type="dxa"/>
                  <w:bottom w:w="0" w:type="dxa"/>
                  <w:right w:w="108" w:type="dxa"/>
                </w:tblCellMar>
              </w:tblPrEx>
              <w:trPr>
                <w:trHeight w:val="454" w:hRule="atLeast"/>
              </w:trPr>
              <w:tc>
                <w:tcPr>
                  <w:tcW w:w="10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AA8E39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苹果</w:t>
                  </w:r>
                  <w:r>
                    <w:rPr>
                      <w:rStyle w:val="64"/>
                      <w:rFonts w:hint="default" w:ascii="Times New Roman" w:hAnsi="Times New Roman" w:cs="Times New Roman"/>
                      <w:color w:val="000000" w:themeColor="text1"/>
                      <w:lang w:bidi="ar"/>
                      <w14:textFill>
                        <w14:solidFill>
                          <w14:schemeClr w14:val="tx1"/>
                        </w14:solidFill>
                      </w14:textFill>
                    </w:rPr>
                    <w:t>（含水85%）</w:t>
                  </w:r>
                </w:p>
              </w:tc>
              <w:tc>
                <w:tcPr>
                  <w:tcW w:w="13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2955DD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122.100</w:t>
                  </w:r>
                </w:p>
              </w:tc>
              <w:tc>
                <w:tcPr>
                  <w:tcW w:w="15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4DB71C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苹果酒</w:t>
                  </w:r>
                </w:p>
              </w:tc>
              <w:tc>
                <w:tcPr>
                  <w:tcW w:w="1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C4FB34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70.000</w:t>
                  </w:r>
                </w:p>
              </w:tc>
            </w:tr>
            <w:tr w14:paraId="099AC67A">
              <w:tblPrEx>
                <w:tblCellMar>
                  <w:top w:w="0" w:type="dxa"/>
                  <w:left w:w="108" w:type="dxa"/>
                  <w:bottom w:w="0" w:type="dxa"/>
                  <w:right w:w="108" w:type="dxa"/>
                </w:tblCellMar>
              </w:tblPrEx>
              <w:trPr>
                <w:trHeight w:val="454" w:hRule="atLeast"/>
              </w:trPr>
              <w:tc>
                <w:tcPr>
                  <w:tcW w:w="10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935DF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果胶酶</w:t>
                  </w:r>
                </w:p>
              </w:tc>
              <w:tc>
                <w:tcPr>
                  <w:tcW w:w="13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E853D0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0.004</w:t>
                  </w:r>
                </w:p>
              </w:tc>
              <w:tc>
                <w:tcPr>
                  <w:tcW w:w="15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A5382F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发酵废气</w:t>
                  </w:r>
                </w:p>
              </w:tc>
              <w:tc>
                <w:tcPr>
                  <w:tcW w:w="1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B7E5EC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9.154</w:t>
                  </w:r>
                </w:p>
              </w:tc>
            </w:tr>
            <w:tr w14:paraId="6FF8D171">
              <w:tblPrEx>
                <w:tblCellMar>
                  <w:top w:w="0" w:type="dxa"/>
                  <w:left w:w="108" w:type="dxa"/>
                  <w:bottom w:w="0" w:type="dxa"/>
                  <w:right w:w="108" w:type="dxa"/>
                </w:tblCellMar>
              </w:tblPrEx>
              <w:trPr>
                <w:trHeight w:val="454" w:hRule="atLeast"/>
              </w:trPr>
              <w:tc>
                <w:tcPr>
                  <w:tcW w:w="10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B8EC0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酵母</w:t>
                  </w:r>
                </w:p>
              </w:tc>
              <w:tc>
                <w:tcPr>
                  <w:tcW w:w="13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EF3791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0.050</w:t>
                  </w:r>
                </w:p>
              </w:tc>
              <w:tc>
                <w:tcPr>
                  <w:tcW w:w="15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C56E0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果酒糟（70%）</w:t>
                  </w:r>
                </w:p>
              </w:tc>
              <w:tc>
                <w:tcPr>
                  <w:tcW w:w="1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DC384D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63.488</w:t>
                  </w:r>
                </w:p>
              </w:tc>
            </w:tr>
            <w:tr w14:paraId="3386C830">
              <w:tblPrEx>
                <w:tblCellMar>
                  <w:top w:w="0" w:type="dxa"/>
                  <w:left w:w="108" w:type="dxa"/>
                  <w:bottom w:w="0" w:type="dxa"/>
                  <w:right w:w="108" w:type="dxa"/>
                </w:tblCellMar>
              </w:tblPrEx>
              <w:trPr>
                <w:trHeight w:val="454" w:hRule="atLeast"/>
              </w:trPr>
              <w:tc>
                <w:tcPr>
                  <w:tcW w:w="10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7A6ED1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3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C11688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5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7319F3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果皮、果渣及果梗</w:t>
                  </w:r>
                </w:p>
              </w:tc>
              <w:tc>
                <w:tcPr>
                  <w:tcW w:w="1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36559F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90.863</w:t>
                  </w:r>
                </w:p>
              </w:tc>
            </w:tr>
            <w:tr w14:paraId="7D44FE9B">
              <w:tblPrEx>
                <w:tblCellMar>
                  <w:top w:w="0" w:type="dxa"/>
                  <w:left w:w="108" w:type="dxa"/>
                  <w:bottom w:w="0" w:type="dxa"/>
                  <w:right w:w="108" w:type="dxa"/>
                </w:tblCellMar>
              </w:tblPrEx>
              <w:trPr>
                <w:trHeight w:val="454" w:hRule="atLeast"/>
              </w:trPr>
              <w:tc>
                <w:tcPr>
                  <w:tcW w:w="10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5F5480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3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60CE3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5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97A4B1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废果</w:t>
                  </w:r>
                </w:p>
              </w:tc>
              <w:tc>
                <w:tcPr>
                  <w:tcW w:w="1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B8C7F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19.129</w:t>
                  </w:r>
                </w:p>
              </w:tc>
            </w:tr>
            <w:tr w14:paraId="306538E3">
              <w:tblPrEx>
                <w:tblCellMar>
                  <w:top w:w="0" w:type="dxa"/>
                  <w:left w:w="108" w:type="dxa"/>
                  <w:bottom w:w="0" w:type="dxa"/>
                  <w:right w:w="108" w:type="dxa"/>
                </w:tblCellMar>
              </w:tblPrEx>
              <w:trPr>
                <w:trHeight w:val="454" w:hRule="atLeast"/>
              </w:trPr>
              <w:tc>
                <w:tcPr>
                  <w:tcW w:w="103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F7BAF7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1384"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D1C728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382.634</w:t>
                  </w:r>
                </w:p>
              </w:tc>
              <w:tc>
                <w:tcPr>
                  <w:tcW w:w="15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3156B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合计</w:t>
                  </w:r>
                </w:p>
              </w:tc>
              <w:tc>
                <w:tcPr>
                  <w:tcW w:w="1042"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C25FBF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382.634</w:t>
                  </w:r>
                </w:p>
              </w:tc>
            </w:tr>
          </w:tbl>
          <w:p w14:paraId="29EC5817">
            <w:pPr>
              <w:adjustRightInd w:val="0"/>
              <w:snapToGrid w:val="0"/>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8、</w:t>
            </w:r>
            <w:r>
              <w:rPr>
                <w:b/>
                <w:color w:val="000000" w:themeColor="text1"/>
                <w:sz w:val="24"/>
                <w14:textFill>
                  <w14:solidFill>
                    <w14:schemeClr w14:val="tx1"/>
                  </w14:solidFill>
                </w14:textFill>
              </w:rPr>
              <w:t>劳动定员及工作制度</w:t>
            </w:r>
          </w:p>
          <w:p w14:paraId="480E330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本项目劳动定员</w:t>
            </w:r>
            <w:r>
              <w:rPr>
                <w:rFonts w:hint="eastAsia"/>
                <w:color w:val="000000" w:themeColor="text1"/>
                <w:sz w:val="24"/>
                <w14:textFill>
                  <w14:solidFill>
                    <w14:schemeClr w14:val="tx1"/>
                  </w14:solidFill>
                </w14:textFill>
              </w:rPr>
              <w:t>45</w:t>
            </w:r>
            <w:r>
              <w:rPr>
                <w:color w:val="000000" w:themeColor="text1"/>
                <w:sz w:val="24"/>
                <w14:textFill>
                  <w14:solidFill>
                    <w14:schemeClr w14:val="tx1"/>
                  </w14:solidFill>
                </w14:textFill>
              </w:rPr>
              <w:t>人，均不在厂区食宿，采用</w:t>
            </w:r>
            <w:r>
              <w:rPr>
                <w:rFonts w:hint="eastAsia"/>
                <w:color w:val="000000" w:themeColor="text1"/>
                <w:sz w:val="24"/>
                <w14:textFill>
                  <w14:solidFill>
                    <w14:schemeClr w14:val="tx1"/>
                  </w14:solidFill>
                </w14:textFill>
              </w:rPr>
              <w:t>单</w:t>
            </w:r>
            <w:r>
              <w:rPr>
                <w:color w:val="000000" w:themeColor="text1"/>
                <w:sz w:val="24"/>
                <w14:textFill>
                  <w14:solidFill>
                    <w14:schemeClr w14:val="tx1"/>
                  </w14:solidFill>
                </w14:textFill>
              </w:rPr>
              <w:t>班×</w:t>
            </w:r>
            <w:r>
              <w:rPr>
                <w:rFonts w:hint="eastAsia"/>
                <w:color w:val="000000" w:themeColor="text1"/>
                <w:sz w:val="24"/>
                <w14:textFill>
                  <w14:solidFill>
                    <w14:schemeClr w14:val="tx1"/>
                  </w14:solidFill>
                </w14:textFill>
              </w:rPr>
              <w:t>8</w:t>
            </w:r>
            <w:r>
              <w:rPr>
                <w:color w:val="000000" w:themeColor="text1"/>
                <w:sz w:val="24"/>
                <w14:textFill>
                  <w14:solidFill>
                    <w14:schemeClr w14:val="tx1"/>
                  </w14:solidFill>
                </w14:textFill>
              </w:rPr>
              <w:t>h/d工作制，全年工作时间为</w:t>
            </w:r>
            <w:r>
              <w:rPr>
                <w:rFonts w:hint="eastAsia"/>
                <w:color w:val="000000" w:themeColor="text1"/>
                <w:sz w:val="24"/>
                <w14:textFill>
                  <w14:solidFill>
                    <w14:schemeClr w14:val="tx1"/>
                  </w14:solidFill>
                </w14:textFill>
              </w:rPr>
              <w:t>228</w:t>
            </w:r>
            <w:r>
              <w:rPr>
                <w:color w:val="000000" w:themeColor="text1"/>
                <w:sz w:val="24"/>
                <w14:textFill>
                  <w14:solidFill>
                    <w14:schemeClr w14:val="tx1"/>
                  </w14:solidFill>
                </w14:textFill>
              </w:rPr>
              <w:t>天。</w:t>
            </w:r>
          </w:p>
          <w:p w14:paraId="075D07DB">
            <w:pPr>
              <w:spacing w:line="360" w:lineRule="auto"/>
              <w:ind w:firstLine="482" w:firstLineChars="200"/>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9</w:t>
            </w:r>
            <w:r>
              <w:rPr>
                <w:b/>
                <w:color w:val="000000" w:themeColor="text1"/>
                <w:sz w:val="24"/>
                <w14:textFill>
                  <w14:solidFill>
                    <w14:schemeClr w14:val="tx1"/>
                  </w14:solidFill>
                </w14:textFill>
              </w:rPr>
              <w:t>、厂区平面布置</w:t>
            </w:r>
          </w:p>
          <w:p w14:paraId="7FED09E1">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14:textFill>
                  <w14:solidFill>
                    <w14:schemeClr w14:val="tx1"/>
                  </w14:solidFill>
                </w14:textFill>
              </w:rPr>
              <w:t>南阳市镇平县玉都工业园区新星路8号</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生产车间、仓库等</w:t>
            </w:r>
            <w:r>
              <w:rPr>
                <w:color w:val="000000" w:themeColor="text1"/>
                <w:sz w:val="24"/>
                <w14:textFill>
                  <w14:solidFill>
                    <w14:schemeClr w14:val="tx1"/>
                  </w14:solidFill>
                </w14:textFill>
              </w:rPr>
              <w:t>共计建设面积</w:t>
            </w:r>
            <w:r>
              <w:rPr>
                <w:rFonts w:hint="eastAsia"/>
                <w:color w:val="000000" w:themeColor="text1"/>
                <w:sz w:val="24"/>
                <w14:textFill>
                  <w14:solidFill>
                    <w14:schemeClr w14:val="tx1"/>
                  </w14:solidFill>
                </w14:textFill>
              </w:rPr>
              <w:t>18749</w:t>
            </w:r>
            <w:r>
              <w:rPr>
                <w:color w:val="000000" w:themeColor="text1"/>
                <w:sz w:val="24"/>
                <w14:textFill>
                  <w14:solidFill>
                    <w14:schemeClr w14:val="tx1"/>
                  </w14:solidFill>
                </w14:textFill>
              </w:rPr>
              <w:t>平方米</w:t>
            </w:r>
            <w:r>
              <w:rPr>
                <w:rFonts w:hint="eastAsia"/>
                <w:color w:val="000000" w:themeColor="text1"/>
                <w:sz w:val="24"/>
                <w14:textFill>
                  <w14:solidFill>
                    <w14:schemeClr w14:val="tx1"/>
                  </w14:solidFill>
                </w14:textFill>
              </w:rPr>
              <w:t>。平面布置如下：办公楼位于厂区北门东侧，办公楼南侧为文创展区，办公楼北侧自南向北依次为2#二类器械车间、1#二类器械车间，封坛区域位于1#二类器械车间东侧（1#二类器械车间和黄酒封坛区是完全独立两个车间）；黄酒车间位于封坛区域东侧（黄酒车间和黄酒封坛区是完全独立两个车间）；封坛发酵车间位于黄酒车间南侧；综合车间位于封坛发酵车间南侧；包材仓库位于综合车间南侧且紧邻南厂界。各个</w:t>
            </w:r>
            <w:r>
              <w:rPr>
                <w:color w:val="000000" w:themeColor="text1"/>
                <w:sz w:val="24"/>
                <w14:textFill>
                  <w14:solidFill>
                    <w14:schemeClr w14:val="tx1"/>
                  </w14:solidFill>
                </w14:textFill>
              </w:rPr>
              <w:t>车间布局紧凑，各工序互相衔接，方便生产。总之，项目厂区平面布局简单，功能分区明确，从环保角度分析，本项目平面布置是合理的。</w:t>
            </w:r>
          </w:p>
        </w:tc>
      </w:tr>
    </w:tbl>
    <w:p w14:paraId="5C436159">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13718"/>
      </w:tblGrid>
      <w:tr w14:paraId="6B5868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60" w:type="pct"/>
            <w:vAlign w:val="center"/>
          </w:tcPr>
          <w:p w14:paraId="4287530F">
            <w:pPr>
              <w:pStyle w:val="21"/>
              <w:adjustRightInd w:val="0"/>
              <w:snapToGrid w:val="0"/>
              <w:spacing w:before="0" w:beforeAutospacing="0" w:after="0" w:afterAutospacing="0"/>
              <w:jc w:val="both"/>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工艺流程和产排污环节</w:t>
            </w:r>
          </w:p>
        </w:tc>
        <w:tc>
          <w:tcPr>
            <w:tcW w:w="4839" w:type="pct"/>
          </w:tcPr>
          <w:p w14:paraId="01D35504">
            <w:pPr>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1、生产工艺流程</w:t>
            </w:r>
          </w:p>
          <w:p w14:paraId="3A17232C">
            <w:pPr>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1.1、酒类产品生产工艺流程</w:t>
            </w:r>
          </w:p>
          <w:p w14:paraId="0639B860">
            <w:pPr>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sz w:val="24"/>
                <w14:textFill>
                  <w14:solidFill>
                    <w14:schemeClr w14:val="tx1"/>
                  </w14:solidFill>
                </w14:textFill>
              </w:rPr>
              <w:t>1.1.1 白酒</w:t>
            </w:r>
            <w:r>
              <w:rPr>
                <w:color w:val="000000" w:themeColor="text1"/>
                <w:kern w:val="52"/>
                <w:sz w:val="24"/>
                <w14:textFill>
                  <w14:solidFill>
                    <w14:schemeClr w14:val="tx1"/>
                  </w14:solidFill>
                </w14:textFill>
              </w:rPr>
              <w:t>生产工艺流程及产污环节图</w:t>
            </w:r>
          </w:p>
          <w:p w14:paraId="41B2E51B">
            <w:pPr>
              <w:adjustRightInd w:val="0"/>
              <w:snapToGrid w:val="0"/>
              <w:spacing w:line="360" w:lineRule="auto"/>
              <w:jc w:val="center"/>
              <w:rPr>
                <w:b/>
                <w:color w:val="000000" w:themeColor="text1"/>
                <w:kern w:val="52"/>
                <w:sz w:val="24"/>
                <w14:textFill>
                  <w14:solidFill>
                    <w14:schemeClr w14:val="tx1"/>
                  </w14:solidFill>
                </w14:textFill>
              </w:rPr>
            </w:pPr>
            <w:r>
              <w:rPr>
                <w:color w:val="000000" w:themeColor="text1"/>
                <w14:textFill>
                  <w14:solidFill>
                    <w14:schemeClr w14:val="tx1"/>
                  </w14:solidFill>
                </w14:textFill>
              </w:rPr>
              <w:drawing>
                <wp:inline distT="0" distB="0" distL="0" distR="0">
                  <wp:extent cx="8585200" cy="4669790"/>
                  <wp:effectExtent l="0" t="0" r="6350" b="16510"/>
                  <wp:docPr id="1041" name="图片 8"/>
                  <wp:cNvGraphicFramePr/>
                  <a:graphic xmlns:a="http://schemas.openxmlformats.org/drawingml/2006/main">
                    <a:graphicData uri="http://schemas.openxmlformats.org/drawingml/2006/picture">
                      <pic:pic xmlns:pic="http://schemas.openxmlformats.org/drawingml/2006/picture">
                        <pic:nvPicPr>
                          <pic:cNvPr id="1041" name="图片 8"/>
                          <pic:cNvPicPr/>
                        </pic:nvPicPr>
                        <pic:blipFill>
                          <a:blip r:embed="rId32" cstate="print"/>
                          <a:srcRect t="1403" b="2143"/>
                          <a:stretch>
                            <a:fillRect/>
                          </a:stretch>
                        </pic:blipFill>
                        <pic:spPr>
                          <a:xfrm>
                            <a:off x="0" y="0"/>
                            <a:ext cx="8585200" cy="4669790"/>
                          </a:xfrm>
                          <a:prstGeom prst="rect">
                            <a:avLst/>
                          </a:prstGeom>
                          <a:ln>
                            <a:noFill/>
                          </a:ln>
                        </pic:spPr>
                      </pic:pic>
                    </a:graphicData>
                  </a:graphic>
                </wp:inline>
              </w:drawing>
            </w:r>
          </w:p>
          <w:p w14:paraId="3A2125A8">
            <w:pPr>
              <w:adjustRightInd w:val="0"/>
              <w:snapToGrid w:val="0"/>
              <w:spacing w:line="360" w:lineRule="auto"/>
              <w:jc w:val="center"/>
              <w:rPr>
                <w:color w:val="000000" w:themeColor="text1"/>
                <w:sz w:val="24"/>
                <w14:textFill>
                  <w14:solidFill>
                    <w14:schemeClr w14:val="tx1"/>
                  </w14:solidFill>
                </w14:textFill>
              </w:rPr>
            </w:pPr>
            <w:r>
              <w:rPr>
                <w:b/>
                <w:color w:val="000000" w:themeColor="text1"/>
                <w:kern w:val="52"/>
                <w:sz w:val="24"/>
                <w14:textFill>
                  <w14:solidFill>
                    <w14:schemeClr w14:val="tx1"/>
                  </w14:solidFill>
                </w14:textFill>
              </w:rPr>
              <w:t>图2-</w:t>
            </w:r>
            <w:r>
              <w:rPr>
                <w:rFonts w:hint="eastAsia"/>
                <w:b/>
                <w:color w:val="000000" w:themeColor="text1"/>
                <w:kern w:val="52"/>
                <w:sz w:val="24"/>
                <w14:textFill>
                  <w14:solidFill>
                    <w14:schemeClr w14:val="tx1"/>
                  </w14:solidFill>
                </w14:textFill>
              </w:rPr>
              <w:t>15  白酒</w:t>
            </w:r>
            <w:r>
              <w:rPr>
                <w:b/>
                <w:color w:val="000000" w:themeColor="text1"/>
                <w:kern w:val="52"/>
                <w:sz w:val="24"/>
                <w14:textFill>
                  <w14:solidFill>
                    <w14:schemeClr w14:val="tx1"/>
                  </w14:solidFill>
                </w14:textFill>
              </w:rPr>
              <w:t>生产工艺流程及产污环节图</w:t>
            </w:r>
          </w:p>
        </w:tc>
      </w:tr>
    </w:tbl>
    <w:p w14:paraId="0C7C2FA1">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5"/>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9508"/>
      </w:tblGrid>
      <w:tr w14:paraId="541964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3" w:type="pct"/>
            <w:vAlign w:val="center"/>
          </w:tcPr>
          <w:p w14:paraId="14F6F408">
            <w:pPr>
              <w:pStyle w:val="21"/>
              <w:adjustRightInd w:val="0"/>
              <w:snapToGrid w:val="0"/>
              <w:spacing w:before="0" w:beforeAutospacing="0" w:after="0" w:afterAutospacing="0"/>
              <w:jc w:val="center"/>
              <w:rPr>
                <w:rFonts w:ascii="Times New Roman" w:hAnsi="Times New Roman"/>
                <w:color w:val="000000" w:themeColor="text1"/>
                <w:szCs w:val="24"/>
                <w14:textFill>
                  <w14:solidFill>
                    <w14:schemeClr w14:val="tx1"/>
                  </w14:solidFill>
                </w14:textFill>
              </w:rPr>
            </w:pPr>
          </w:p>
        </w:tc>
        <w:tc>
          <w:tcPr>
            <w:tcW w:w="4776" w:type="pct"/>
          </w:tcPr>
          <w:p w14:paraId="515C9AD8">
            <w:pPr>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1142E1F1">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浓香型酒的工艺特征是：混蒸混糟，肥混老窖，续糟配料，混蒸混糟是指蒸粮蒸酒同时进行，先用缓火蒸酒，续用猛火蒸粮。窖泥中的已酸细菌是生成己酸乙酯（主体香）的根本，窖泥越老所产酒越香，续糟配料（万年糟）是指母糟的多次循环利用，使其中的残余淀粉和前香物质充分利用。</w:t>
            </w:r>
          </w:p>
          <w:p w14:paraId="6651B94E">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浓香型酒的生产特点是：低温入窖，缓慢糖化发酵。边糖化边发酵</w:t>
            </w: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发酵周期为</w:t>
            </w:r>
            <w:r>
              <w:rPr>
                <w:rFonts w:hint="default"/>
                <w:bCs/>
                <w:color w:val="000000" w:themeColor="text1"/>
                <w:sz w:val="24"/>
                <w14:textFill>
                  <w14:solidFill>
                    <w14:schemeClr w14:val="tx1"/>
                  </w14:solidFill>
                </w14:textFill>
              </w:rPr>
              <w:t>40～60</w:t>
            </w:r>
            <w:r>
              <w:rPr>
                <w:rFonts w:hint="eastAsia"/>
                <w:bCs/>
                <w:color w:val="000000" w:themeColor="text1"/>
                <w:sz w:val="24"/>
                <w14:textFill>
                  <w14:solidFill>
                    <w14:schemeClr w14:val="tx1"/>
                  </w14:solidFill>
                </w14:textFill>
              </w:rPr>
              <w:t>天</w:t>
            </w:r>
            <w:r>
              <w:rPr>
                <w:bCs/>
                <w:color w:val="000000" w:themeColor="text1"/>
                <w:sz w:val="24"/>
                <w14:textFill>
                  <w14:solidFill>
                    <w14:schemeClr w14:val="tx1"/>
                  </w14:solidFill>
                </w14:textFill>
              </w:rPr>
              <w:t>）</w:t>
            </w:r>
            <w:r>
              <w:rPr>
                <w:bCs/>
                <w:color w:val="000000" w:themeColor="text1"/>
                <w:sz w:val="24"/>
                <w14:textFill>
                  <w14:solidFill>
                    <w14:schemeClr w14:val="tx1"/>
                  </w14:solidFill>
                </w14:textFill>
              </w:rPr>
              <w:t>，以防止糖份的过多积累而使杂菌繁殖，使酵母菌不易衰老，而保持后劲有力，窖内温度保持前缓、中挺、后缓落</w:t>
            </w:r>
            <w:r>
              <w:rPr>
                <w:rFonts w:hint="eastAsia"/>
                <w:bCs/>
                <w:color w:val="000000" w:themeColor="text1"/>
                <w:sz w:val="24"/>
                <w14:textFill>
                  <w14:solidFill>
                    <w14:schemeClr w14:val="tx1"/>
                  </w14:solidFill>
                </w14:textFill>
              </w:rPr>
              <w:t>。</w:t>
            </w:r>
          </w:p>
          <w:p w14:paraId="246A6A49">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项目生产工艺流程具体如下：</w:t>
            </w:r>
          </w:p>
          <w:p w14:paraId="595F7C9E">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本项目外购的高粱、小麦、大米、糯米、玉米等原料均为袋装，由汽车运输进厂，进厂后卸料至全密闭的原料库；生产过程中，利用平板车通过人工将原辅料转运至粉碎</w:t>
            </w:r>
            <w:r>
              <w:rPr>
                <w:rFonts w:hint="eastAsia"/>
                <w:bCs/>
                <w:color w:val="000000" w:themeColor="text1"/>
                <w:sz w:val="24"/>
                <w14:textFill>
                  <w14:solidFill>
                    <w14:schemeClr w14:val="tx1"/>
                  </w14:solidFill>
                </w14:textFill>
              </w:rPr>
              <w:t>区</w:t>
            </w:r>
            <w:r>
              <w:rPr>
                <w:bCs/>
                <w:color w:val="000000" w:themeColor="text1"/>
                <w:sz w:val="24"/>
                <w14:textFill>
                  <w14:solidFill>
                    <w14:schemeClr w14:val="tx1"/>
                  </w14:solidFill>
                </w14:textFill>
              </w:rPr>
              <w:t>，然后人工拆包，通过人工倒料至粉碎机的上料口。由于本项目外购的高粱、小麦、大米、糯米、玉米等原料均为干净、无杂质的；因此，上料过程中的粉尘忽略不计。</w:t>
            </w:r>
          </w:p>
          <w:p w14:paraId="0DDDB509">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项目浓香型白酒生产所使用的原料为高粱、大米、糯米、小麦、玉米（配比：高粱38%、大米2</w:t>
            </w:r>
            <w:r>
              <w:rPr>
                <w:rFonts w:hint="eastAsia"/>
                <w:bCs/>
                <w:color w:val="000000" w:themeColor="text1"/>
                <w:sz w:val="24"/>
                <w14:textFill>
                  <w14:solidFill>
                    <w14:schemeClr w14:val="tx1"/>
                  </w14:solidFill>
                </w14:textFill>
              </w:rPr>
              <w:t>2</w:t>
            </w:r>
            <w:r>
              <w:rPr>
                <w:bCs/>
                <w:color w:val="000000" w:themeColor="text1"/>
                <w:sz w:val="24"/>
                <w14:textFill>
                  <w14:solidFill>
                    <w14:schemeClr w14:val="tx1"/>
                  </w14:solidFill>
                </w14:textFill>
              </w:rPr>
              <w:t>%、糯米18%、小麦16%、玉米8%），辅料包括曲药（用量为原料的</w:t>
            </w:r>
            <w:r>
              <w:rPr>
                <w:rFonts w:hint="eastAsia"/>
                <w:bCs/>
                <w:color w:val="000000" w:themeColor="text1"/>
                <w:sz w:val="24"/>
                <w14:textFill>
                  <w14:solidFill>
                    <w14:schemeClr w14:val="tx1"/>
                  </w14:solidFill>
                </w14:textFill>
              </w:rPr>
              <w:t>30</w:t>
            </w:r>
            <w:r>
              <w:rPr>
                <w:bCs/>
                <w:color w:val="000000" w:themeColor="text1"/>
                <w:sz w:val="24"/>
                <w14:textFill>
                  <w14:solidFill>
                    <w14:schemeClr w14:val="tx1"/>
                  </w14:solidFill>
                </w14:textFill>
              </w:rPr>
              <w:t>%）和稻壳（用量为原料的</w:t>
            </w:r>
            <w:r>
              <w:rPr>
                <w:rFonts w:hint="eastAsia"/>
                <w:bCs/>
                <w:color w:val="000000" w:themeColor="text1"/>
                <w:sz w:val="24"/>
                <w14:textFill>
                  <w14:solidFill>
                    <w14:schemeClr w14:val="tx1"/>
                  </w14:solidFill>
                </w14:textFill>
              </w:rPr>
              <w:t>25</w:t>
            </w:r>
            <w:r>
              <w:rPr>
                <w:bCs/>
                <w:color w:val="000000" w:themeColor="text1"/>
                <w:sz w:val="24"/>
                <w14:textFill>
                  <w14:solidFill>
                    <w14:schemeClr w14:val="tx1"/>
                  </w14:solidFill>
                </w14:textFill>
              </w:rPr>
              <w:t>%）。</w:t>
            </w:r>
          </w:p>
          <w:p w14:paraId="1AEBE113">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（1）原料粉碎</w:t>
            </w:r>
          </w:p>
          <w:p w14:paraId="629D1631">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原料五粮要先进行粉碎，目的是使颗粒淀粉暴露出来，增加原料表面积，有利于淀粉颗粒的吸水膨胀和蒸煮糊化，糖化时增加与酶的接触，为糖化发酵创造良好的条件。由于浓香型酒采用续糟法工艺，原料要经过多次发酵，所以不必粉碎过细，仅要求每粒高粱破碎成4~6瓣，大米、糯米粉碎6~8瓣即可，一般能通过40目的筛孔，其中粗粉占50％左右。</w:t>
            </w:r>
            <w:r>
              <w:rPr>
                <w:rFonts w:hint="eastAsia"/>
                <w:bCs/>
                <w:color w:val="000000" w:themeColor="text1"/>
                <w:sz w:val="24"/>
                <w14:textFill>
                  <w14:solidFill>
                    <w14:schemeClr w14:val="tx1"/>
                  </w14:solidFill>
                </w14:textFill>
              </w:rPr>
              <w:t>此工序会产生废气、噪声。</w:t>
            </w:r>
          </w:p>
          <w:p w14:paraId="2E183429">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（2）润粮蒸粮</w:t>
            </w:r>
          </w:p>
          <w:p w14:paraId="1A8BA2E0">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润</w:t>
            </w:r>
            <w:r>
              <w:rPr>
                <w:rFonts w:hint="eastAsia"/>
                <w:bCs/>
                <w:color w:val="000000" w:themeColor="text1"/>
                <w:sz w:val="24"/>
                <w14:textFill>
                  <w14:solidFill>
                    <w14:schemeClr w14:val="tx1"/>
                  </w14:solidFill>
                </w14:textFill>
              </w:rPr>
              <w:t>粮</w:t>
            </w:r>
            <w:r>
              <w:rPr>
                <w:bCs/>
                <w:color w:val="000000" w:themeColor="text1"/>
                <w:sz w:val="24"/>
                <w14:textFill>
                  <w14:solidFill>
                    <w14:schemeClr w14:val="tx1"/>
                  </w14:solidFill>
                </w14:textFill>
              </w:rPr>
              <w:t>的目的是使生料预先吸收水分和酸度，促使淀粉膨化，有利于蒸煮糊化。</w:t>
            </w:r>
          </w:p>
          <w:p w14:paraId="2CE7C682">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将粉</w:t>
            </w:r>
            <w:r>
              <w:rPr>
                <w:bCs/>
                <w:color w:val="000000" w:themeColor="text1"/>
                <w:sz w:val="24"/>
                <w14:textFill>
                  <w14:solidFill>
                    <w14:schemeClr w14:val="tx1"/>
                  </w14:solidFill>
                </w14:textFill>
              </w:rPr>
              <w:t>碎后的</w:t>
            </w:r>
            <w:r>
              <w:rPr>
                <w:rFonts w:hint="eastAsia"/>
                <w:bCs/>
                <w:color w:val="000000" w:themeColor="text1"/>
                <w:sz w:val="24"/>
                <w14:textFill>
                  <w14:solidFill>
                    <w14:schemeClr w14:val="tx1"/>
                  </w14:solidFill>
                </w14:textFill>
              </w:rPr>
              <w:t>原料五粮</w:t>
            </w:r>
            <w:r>
              <w:rPr>
                <w:bCs/>
                <w:color w:val="000000" w:themeColor="text1"/>
                <w:sz w:val="24"/>
                <w14:textFill>
                  <w14:solidFill>
                    <w14:schemeClr w14:val="tx1"/>
                  </w14:solidFill>
                </w14:textFill>
              </w:rPr>
              <w:t>采用人工斗车送入车间，蒸料前要用热水润</w:t>
            </w:r>
            <w:r>
              <w:rPr>
                <w:rFonts w:hint="eastAsia"/>
                <w:bCs/>
                <w:color w:val="000000" w:themeColor="text1"/>
                <w:sz w:val="24"/>
                <w14:textFill>
                  <w14:solidFill>
                    <w14:schemeClr w14:val="tx1"/>
                  </w14:solidFill>
                </w14:textFill>
              </w:rPr>
              <w:t>料</w:t>
            </w:r>
            <w:r>
              <w:rPr>
                <w:bCs/>
                <w:color w:val="000000" w:themeColor="text1"/>
                <w:sz w:val="24"/>
                <w14:textFill>
                  <w14:solidFill>
                    <w14:schemeClr w14:val="tx1"/>
                  </w14:solidFill>
                </w14:textFill>
              </w:rPr>
              <w:t>，称为高温润</w:t>
            </w:r>
            <w:r>
              <w:rPr>
                <w:rFonts w:hint="eastAsia"/>
                <w:bCs/>
                <w:color w:val="000000" w:themeColor="text1"/>
                <w:sz w:val="24"/>
                <w14:textFill>
                  <w14:solidFill>
                    <w14:schemeClr w14:val="tx1"/>
                  </w14:solidFill>
                </w14:textFill>
              </w:rPr>
              <w:t>料</w:t>
            </w:r>
            <w:r>
              <w:rPr>
                <w:bCs/>
                <w:color w:val="000000" w:themeColor="text1"/>
                <w:sz w:val="24"/>
                <w14:textFill>
                  <w14:solidFill>
                    <w14:schemeClr w14:val="tx1"/>
                  </w14:solidFill>
                </w14:textFill>
              </w:rPr>
              <w:t>。润料的目的是使</w:t>
            </w:r>
            <w:r>
              <w:rPr>
                <w:rFonts w:hint="eastAsia"/>
                <w:bCs/>
                <w:color w:val="000000" w:themeColor="text1"/>
                <w:sz w:val="24"/>
                <w14:textFill>
                  <w14:solidFill>
                    <w14:schemeClr w14:val="tx1"/>
                  </w14:solidFill>
                </w14:textFill>
              </w:rPr>
              <w:t>原料</w:t>
            </w:r>
            <w:r>
              <w:rPr>
                <w:bCs/>
                <w:color w:val="000000" w:themeColor="text1"/>
                <w:sz w:val="24"/>
                <w14:textFill>
                  <w14:solidFill>
                    <w14:schemeClr w14:val="tx1"/>
                  </w14:solidFill>
                </w14:textFill>
              </w:rPr>
              <w:t>吸收一定量的水，以利于糊化，而吸收水速度、能力又与原料的破碎度、水温有关。</w:t>
            </w:r>
            <w:r>
              <w:rPr>
                <w:rFonts w:hint="eastAsia"/>
                <w:bCs/>
                <w:color w:val="000000" w:themeColor="text1"/>
                <w:sz w:val="24"/>
                <w14:textFill>
                  <w14:solidFill>
                    <w14:schemeClr w14:val="tx1"/>
                  </w14:solidFill>
                </w14:textFill>
              </w:rPr>
              <w:t>因此，原料五粮需要</w:t>
            </w:r>
            <w:r>
              <w:rPr>
                <w:bCs/>
                <w:color w:val="000000" w:themeColor="text1"/>
                <w:sz w:val="24"/>
                <w14:textFill>
                  <w14:solidFill>
                    <w14:schemeClr w14:val="tx1"/>
                  </w14:solidFill>
                </w14:textFill>
              </w:rPr>
              <w:t>加入热水（水温60~80℃</w:t>
            </w:r>
            <w:r>
              <w:rPr>
                <w:rFonts w:hint="eastAsia"/>
                <w:bCs/>
                <w:color w:val="000000" w:themeColor="text1"/>
                <w:sz w:val="24"/>
                <w14:textFill>
                  <w14:solidFill>
                    <w14:schemeClr w14:val="tx1"/>
                  </w14:solidFill>
                </w14:textFill>
              </w:rPr>
              <w:t>，采用蒸汽加热</w:t>
            </w:r>
            <w:r>
              <w:rPr>
                <w:bCs/>
                <w:color w:val="000000" w:themeColor="text1"/>
                <w:sz w:val="24"/>
                <w14:textFill>
                  <w14:solidFill>
                    <w14:schemeClr w14:val="tx1"/>
                  </w14:solidFill>
                </w14:textFill>
              </w:rPr>
              <w:t>）进行润料。润料水投加量约为粮食用量3</w:t>
            </w:r>
            <w:r>
              <w:rPr>
                <w:rFonts w:hint="eastAsia"/>
                <w:bCs/>
                <w:color w:val="000000" w:themeColor="text1"/>
                <w:sz w:val="24"/>
                <w14:textFill>
                  <w14:solidFill>
                    <w14:schemeClr w14:val="tx1"/>
                  </w14:solidFill>
                </w14:textFill>
              </w:rPr>
              <w:t>0</w:t>
            </w:r>
            <w:r>
              <w:rPr>
                <w:bCs/>
                <w:color w:val="000000" w:themeColor="text1"/>
                <w:sz w:val="24"/>
                <w14:textFill>
                  <w14:solidFill>
                    <w14:schemeClr w14:val="tx1"/>
                  </w14:solidFill>
                </w14:textFill>
              </w:rPr>
              <w:t>%，拌匀后，堆积16小时以上。料堆上应加覆盖物，料堆品温上升，冬季能达42~45℃，夏季47~52℃。如</w:t>
            </w:r>
            <w:r>
              <w:rPr>
                <w:rFonts w:hint="eastAsia"/>
                <w:bCs/>
                <w:color w:val="000000" w:themeColor="text1"/>
                <w:sz w:val="24"/>
                <w14:textFill>
                  <w14:solidFill>
                    <w14:schemeClr w14:val="tx1"/>
                  </w14:solidFill>
                </w14:textFill>
              </w:rPr>
              <w:t>原料</w:t>
            </w:r>
            <w:r>
              <w:rPr>
                <w:bCs/>
                <w:color w:val="000000" w:themeColor="text1"/>
                <w:sz w:val="24"/>
                <w14:textFill>
                  <w14:solidFill>
                    <w14:schemeClr w14:val="tx1"/>
                  </w14:solidFill>
                </w14:textFill>
              </w:rPr>
              <w:t>干燥，应补加水2~3%。润</w:t>
            </w:r>
            <w:r>
              <w:rPr>
                <w:rFonts w:hint="eastAsia"/>
                <w:bCs/>
                <w:color w:val="000000" w:themeColor="text1"/>
                <w:sz w:val="24"/>
                <w14:textFill>
                  <w14:solidFill>
                    <w14:schemeClr w14:val="tx1"/>
                  </w14:solidFill>
                </w14:textFill>
              </w:rPr>
              <w:t>料</w:t>
            </w:r>
            <w:r>
              <w:rPr>
                <w:bCs/>
                <w:color w:val="000000" w:themeColor="text1"/>
                <w:sz w:val="24"/>
                <w14:textFill>
                  <w14:solidFill>
                    <w14:schemeClr w14:val="tx1"/>
                  </w14:solidFill>
                </w14:textFill>
              </w:rPr>
              <w:t>的质量要求是润透，不淋浆，无异味，无疙瘩，手搓成面。</w:t>
            </w:r>
          </w:p>
          <w:p w14:paraId="4EA3062E">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将润粮后的原料</w:t>
            </w:r>
            <w:r>
              <w:rPr>
                <w:rFonts w:hint="eastAsia"/>
                <w:color w:val="000000" w:themeColor="text1"/>
                <w:kern w:val="0"/>
                <w:sz w:val="24"/>
                <w14:textFill>
                  <w14:solidFill>
                    <w14:schemeClr w14:val="tx1"/>
                  </w14:solidFill>
                </w14:textFill>
              </w:rPr>
              <w:t>采用铲子人工铲转移至</w:t>
            </w:r>
            <w:r>
              <w:rPr>
                <w:rFonts w:hint="eastAsia"/>
                <w:bCs/>
                <w:color w:val="000000" w:themeColor="text1"/>
                <w:sz w:val="24"/>
                <w14:textFill>
                  <w14:solidFill>
                    <w14:schemeClr w14:val="tx1"/>
                  </w14:solidFill>
                </w14:textFill>
              </w:rPr>
              <w:t>蒸煮器进行</w:t>
            </w:r>
            <w:r>
              <w:rPr>
                <w:bCs/>
                <w:color w:val="000000" w:themeColor="text1"/>
                <w:sz w:val="24"/>
                <w14:textFill>
                  <w14:solidFill>
                    <w14:schemeClr w14:val="tx1"/>
                  </w14:solidFill>
                </w14:textFill>
              </w:rPr>
              <w:t>蒸粮</w:t>
            </w:r>
            <w:r>
              <w:rPr>
                <w:rFonts w:hint="eastAsia"/>
                <w:bCs/>
                <w:color w:val="000000" w:themeColor="text1"/>
                <w:sz w:val="24"/>
                <w14:textFill>
                  <w14:solidFill>
                    <w14:schemeClr w14:val="tx1"/>
                  </w14:solidFill>
                </w14:textFill>
              </w:rPr>
              <w:t>（分初蒸、焖水、复蒸三个工序），不同的原粮，蒸煮工艺参数存在一定差异，一般初蒸保压压力为0.14～0.15MPa，保压时间为35min；焖水时间为35～55min，焖粮水温控制在60±2℃；复蒸保压压力为0.04～0.05MPa，保压时间为15min。柔熟、收汗、水份适当、均匀、无生心、无翻花，手感适宜不顶手，手捏成型，一搓即散，粮食裂口率达95%以上。熟粮水分53%～58%。</w:t>
            </w:r>
            <w:r>
              <w:rPr>
                <w:bCs/>
                <w:color w:val="000000" w:themeColor="text1"/>
                <w:sz w:val="24"/>
                <w14:textFill>
                  <w14:solidFill>
                    <w14:schemeClr w14:val="tx1"/>
                  </w14:solidFill>
                </w14:textFill>
              </w:rPr>
              <w:t>蒸</w:t>
            </w:r>
            <w:r>
              <w:rPr>
                <w:rFonts w:hint="eastAsia"/>
                <w:bCs/>
                <w:color w:val="000000" w:themeColor="text1"/>
                <w:sz w:val="24"/>
                <w14:textFill>
                  <w14:solidFill>
                    <w14:schemeClr w14:val="tx1"/>
                  </w14:solidFill>
                </w14:textFill>
              </w:rPr>
              <w:t>粮</w:t>
            </w:r>
            <w:r>
              <w:rPr>
                <w:bCs/>
                <w:color w:val="000000" w:themeColor="text1"/>
                <w:sz w:val="24"/>
                <w14:textFill>
                  <w14:solidFill>
                    <w14:schemeClr w14:val="tx1"/>
                  </w14:solidFill>
                </w14:textFill>
              </w:rPr>
              <w:t>热源为</w:t>
            </w:r>
            <w:r>
              <w:rPr>
                <w:rFonts w:hint="eastAsia"/>
                <w:bCs/>
                <w:color w:val="000000" w:themeColor="text1"/>
                <w:sz w:val="24"/>
                <w14:textFill>
                  <w14:solidFill>
                    <w14:schemeClr w14:val="tx1"/>
                  </w14:solidFill>
                </w14:textFill>
              </w:rPr>
              <w:t>天然气</w:t>
            </w:r>
            <w:r>
              <w:rPr>
                <w:bCs/>
                <w:color w:val="000000" w:themeColor="text1"/>
                <w:sz w:val="24"/>
                <w14:textFill>
                  <w14:solidFill>
                    <w14:schemeClr w14:val="tx1"/>
                  </w14:solidFill>
                </w14:textFill>
              </w:rPr>
              <w:t>加热产生的蒸汽。蒸煮目的是为了使淀粉糊化，有利于发酵菌的生长，易受淀粉酶作用。蒸煮量</w:t>
            </w:r>
            <w:r>
              <w:rPr>
                <w:rFonts w:hint="eastAsia"/>
                <w:bCs/>
                <w:color w:val="000000" w:themeColor="text1"/>
                <w:sz w:val="24"/>
                <w14:textFill>
                  <w14:solidFill>
                    <w14:schemeClr w14:val="tx1"/>
                  </w14:solidFill>
                </w14:textFill>
              </w:rPr>
              <w:t>100</w:t>
            </w:r>
            <w:r>
              <w:rPr>
                <w:bCs/>
                <w:color w:val="000000" w:themeColor="text1"/>
                <w:sz w:val="24"/>
                <w14:textFill>
                  <w14:solidFill>
                    <w14:schemeClr w14:val="tx1"/>
                  </w14:solidFill>
                </w14:textFill>
              </w:rPr>
              <w:t>0kg/批次。</w:t>
            </w:r>
          </w:p>
          <w:p w14:paraId="6DBD46B6">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（3）</w:t>
            </w:r>
            <w:r>
              <w:rPr>
                <w:bCs/>
                <w:color w:val="000000" w:themeColor="text1"/>
                <w:sz w:val="24"/>
                <w14:textFill>
                  <w14:solidFill>
                    <w14:schemeClr w14:val="tx1"/>
                  </w14:solidFill>
                </w14:textFill>
              </w:rPr>
              <w:t>稻壳清蒸</w:t>
            </w:r>
          </w:p>
          <w:p w14:paraId="500F4102">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稻壳是酿酒的疏松剂和填充剂，但是稻壳中的糠味会影响白酒质量，故在生产中必须对谷壳进行清蒸。蒸汽由1台</w:t>
            </w:r>
            <w:r>
              <w:rPr>
                <w:rFonts w:hint="eastAsia"/>
                <w:bCs/>
                <w:color w:val="000000" w:themeColor="text1"/>
                <w:sz w:val="24"/>
                <w:lang w:val="en-US" w:eastAsia="zh-CN"/>
                <w14:textFill>
                  <w14:solidFill>
                    <w14:schemeClr w14:val="tx1"/>
                  </w14:solidFill>
                </w14:textFill>
              </w:rPr>
              <w:t>1.0</w:t>
            </w:r>
            <w:r>
              <w:rPr>
                <w:bCs/>
                <w:color w:val="000000" w:themeColor="text1"/>
                <w:sz w:val="24"/>
                <w14:textFill>
                  <w14:solidFill>
                    <w14:schemeClr w14:val="tx1"/>
                  </w14:solidFill>
                </w14:textFill>
              </w:rPr>
              <w:t>t/h</w:t>
            </w:r>
            <w:r>
              <w:rPr>
                <w:rFonts w:hint="eastAsia"/>
                <w:bCs/>
                <w:color w:val="000000" w:themeColor="text1"/>
                <w:sz w:val="24"/>
                <w14:textFill>
                  <w14:solidFill>
                    <w14:schemeClr w14:val="tx1"/>
                  </w14:solidFill>
                </w14:textFill>
              </w:rPr>
              <w:t>蒸汽发生器</w:t>
            </w:r>
            <w:r>
              <w:rPr>
                <w:bCs/>
                <w:color w:val="000000" w:themeColor="text1"/>
                <w:sz w:val="24"/>
                <w14:textFill>
                  <w14:solidFill>
                    <w14:schemeClr w14:val="tx1"/>
                  </w14:solidFill>
                </w14:textFill>
              </w:rPr>
              <w:t>提供；经检查无霉变、新鲜干燥的谷壳入甑清蒸30~40分钟，嗅其无异味后出甑，摊开晾备用。</w:t>
            </w:r>
            <w:r>
              <w:rPr>
                <w:rFonts w:hint="eastAsia"/>
                <w:bCs/>
                <w:color w:val="000000" w:themeColor="text1"/>
                <w:sz w:val="24"/>
                <w14:textFill>
                  <w14:solidFill>
                    <w14:schemeClr w14:val="tx1"/>
                  </w14:solidFill>
                </w14:textFill>
              </w:rPr>
              <w:t>稻</w:t>
            </w:r>
            <w:r>
              <w:rPr>
                <w:bCs/>
                <w:color w:val="000000" w:themeColor="text1"/>
                <w:sz w:val="24"/>
                <w14:textFill>
                  <w14:solidFill>
                    <w14:schemeClr w14:val="tx1"/>
                  </w14:solidFill>
                </w14:textFill>
              </w:rPr>
              <w:t>壳用量为原粮的</w:t>
            </w:r>
            <w:r>
              <w:rPr>
                <w:rFonts w:hint="eastAsia"/>
                <w:bCs/>
                <w:color w:val="000000" w:themeColor="text1"/>
                <w:sz w:val="24"/>
                <w14:textFill>
                  <w14:solidFill>
                    <w14:schemeClr w14:val="tx1"/>
                  </w14:solidFill>
                </w14:textFill>
              </w:rPr>
              <w:t>25</w:t>
            </w: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此工序会产生锅底水、甑锅清洗废水。</w:t>
            </w:r>
          </w:p>
          <w:p w14:paraId="11ABA5E0">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bCs/>
                <w:color w:val="000000" w:themeColor="text1"/>
                <w:sz w:val="24"/>
                <w14:textFill>
                  <w14:solidFill>
                    <w14:schemeClr w14:val="tx1"/>
                  </w14:solidFill>
                </w14:textFill>
              </w:rPr>
              <w:t>（4）</w:t>
            </w:r>
            <w:r>
              <w:rPr>
                <w:rFonts w:hint="eastAsia"/>
                <w:color w:val="000000" w:themeColor="text1"/>
                <w:kern w:val="0"/>
                <w:sz w:val="24"/>
                <w14:textFill>
                  <w14:solidFill>
                    <w14:schemeClr w14:val="tx1"/>
                  </w14:solidFill>
                </w14:textFill>
              </w:rPr>
              <w:t>出窖</w:t>
            </w:r>
          </w:p>
          <w:p w14:paraId="7E2199FA">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浓香型酒正常生产时，每个窖池中一般有六甑物料，最上面两甑为面糟，下面四甑粮糟为母糟。起糟出</w:t>
            </w:r>
            <w:r>
              <w:rPr>
                <w:rFonts w:hint="eastAsia"/>
                <w:color w:val="000000" w:themeColor="text1"/>
                <w:kern w:val="0"/>
                <w:sz w:val="24"/>
                <w14:textFill>
                  <w14:solidFill>
                    <w14:schemeClr w14:val="tx1"/>
                  </w14:solidFill>
                </w14:textFill>
              </w:rPr>
              <w:t>罐</w:t>
            </w:r>
            <w:r>
              <w:rPr>
                <w:color w:val="000000" w:themeColor="text1"/>
                <w:kern w:val="0"/>
                <w:sz w:val="24"/>
                <w14:textFill>
                  <w14:solidFill>
                    <w14:schemeClr w14:val="tx1"/>
                  </w14:solidFill>
                </w14:textFill>
              </w:rPr>
              <w:t>时，先</w:t>
            </w:r>
            <w:r>
              <w:rPr>
                <w:rFonts w:hint="eastAsia"/>
                <w:color w:val="000000" w:themeColor="text1"/>
                <w:kern w:val="0"/>
                <w:sz w:val="24"/>
                <w14:textFill>
                  <w14:solidFill>
                    <w14:schemeClr w14:val="tx1"/>
                  </w14:solidFill>
                </w14:textFill>
              </w:rPr>
              <w:t>打开</w:t>
            </w:r>
            <w:r>
              <w:rPr>
                <w:color w:val="000000" w:themeColor="text1"/>
                <w:kern w:val="0"/>
                <w:sz w:val="24"/>
                <w14:textFill>
                  <w14:solidFill>
                    <w14:schemeClr w14:val="tx1"/>
                  </w14:solidFill>
                </w14:textFill>
              </w:rPr>
              <w:t>窖池</w:t>
            </w:r>
            <w:r>
              <w:rPr>
                <w:rFonts w:hint="eastAsia"/>
                <w:color w:val="000000" w:themeColor="text1"/>
                <w:kern w:val="0"/>
                <w:sz w:val="24"/>
                <w14:textFill>
                  <w14:solidFill>
                    <w14:schemeClr w14:val="tx1"/>
                  </w14:solidFill>
                </w14:textFill>
              </w:rPr>
              <w:t>上方加盖的盖子</w:t>
            </w:r>
            <w:r>
              <w:rPr>
                <w:color w:val="000000" w:themeColor="text1"/>
                <w:kern w:val="0"/>
                <w:sz w:val="24"/>
                <w14:textFill>
                  <w14:solidFill>
                    <w14:schemeClr w14:val="tx1"/>
                  </w14:solidFill>
                </w14:textFill>
              </w:rPr>
              <w:t>，起出面糟，再起母糟。面糟和黄水一起蒸馏，蒸后作丢糟处理；蒸得的黄浆酒，经稀释后回窖发酵。四甑母糟，其中一份拌入稻壳，并再一次进行蒸馏，出甑后即形成红糟，再经</w:t>
            </w:r>
            <w:r>
              <w:rPr>
                <w:rFonts w:hint="eastAsia"/>
                <w:color w:val="000000" w:themeColor="text1"/>
                <w:kern w:val="0"/>
                <w:sz w:val="24"/>
                <w14:textFill>
                  <w14:solidFill>
                    <w14:schemeClr w14:val="tx1"/>
                  </w14:solidFill>
                </w14:textFill>
              </w:rPr>
              <w:t>打量水、</w:t>
            </w:r>
            <w:r>
              <w:rPr>
                <w:color w:val="000000" w:themeColor="text1"/>
                <w:kern w:val="0"/>
                <w:sz w:val="24"/>
                <w14:textFill>
                  <w14:solidFill>
                    <w14:schemeClr w14:val="tx1"/>
                  </w14:solidFill>
                </w14:textFill>
              </w:rPr>
              <w:t>摊</w:t>
            </w:r>
            <w:r>
              <w:rPr>
                <w:rFonts w:hint="eastAsia"/>
                <w:color w:val="000000" w:themeColor="text1"/>
                <w:kern w:val="0"/>
                <w:sz w:val="24"/>
                <w14:textFill>
                  <w14:solidFill>
                    <w14:schemeClr w14:val="tx1"/>
                  </w14:solidFill>
                </w14:textFill>
              </w:rPr>
              <w:t>晾</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撒</w:t>
            </w:r>
            <w:r>
              <w:rPr>
                <w:color w:val="000000" w:themeColor="text1"/>
                <w:kern w:val="0"/>
                <w:sz w:val="24"/>
                <w14:textFill>
                  <w14:solidFill>
                    <w14:schemeClr w14:val="tx1"/>
                  </w14:solidFill>
                </w14:textFill>
              </w:rPr>
              <w:t>曲入窖。红糟为每一个窖池最顶端的两层原料（面糟），再经一次发酵后即作为丢糟处理。剩下的粮糟分别配入原料，做成四甑粮糟，经蒸煮摘酒等工序后，生成粮糟酒，是浓香型白酒的主要产品。粮糟酒和红糟酒均可勾兑调味作为成品白酒出售。</w:t>
            </w:r>
          </w:p>
          <w:p w14:paraId="4D9CEA4A">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当出</w:t>
            </w:r>
            <w:r>
              <w:rPr>
                <w:rFonts w:hint="eastAsia"/>
                <w:color w:val="000000" w:themeColor="text1"/>
                <w:kern w:val="0"/>
                <w:sz w:val="24"/>
                <w14:textFill>
                  <w14:solidFill>
                    <w14:schemeClr w14:val="tx1"/>
                  </w14:solidFill>
                </w14:textFill>
              </w:rPr>
              <w:t>窖</w:t>
            </w:r>
            <w:r>
              <w:rPr>
                <w:color w:val="000000" w:themeColor="text1"/>
                <w:kern w:val="0"/>
                <w:sz w:val="24"/>
                <w14:textFill>
                  <w14:solidFill>
                    <w14:schemeClr w14:val="tx1"/>
                  </w14:solidFill>
                </w14:textFill>
              </w:rPr>
              <w:t>起糟到一定的深度，会出现黄水，应停止出</w:t>
            </w:r>
            <w:r>
              <w:rPr>
                <w:rFonts w:hint="eastAsia"/>
                <w:color w:val="000000" w:themeColor="text1"/>
                <w:kern w:val="0"/>
                <w:sz w:val="24"/>
                <w14:textFill>
                  <w14:solidFill>
                    <w14:schemeClr w14:val="tx1"/>
                  </w14:solidFill>
                </w14:textFill>
              </w:rPr>
              <w:t>窖</w:t>
            </w:r>
            <w:r>
              <w:rPr>
                <w:color w:val="000000" w:themeColor="text1"/>
                <w:kern w:val="0"/>
                <w:sz w:val="24"/>
                <w14:textFill>
                  <w14:solidFill>
                    <w14:schemeClr w14:val="tx1"/>
                  </w14:solidFill>
                </w14:textFill>
              </w:rPr>
              <w:t>，并进行滴</w:t>
            </w:r>
            <w:r>
              <w:rPr>
                <w:rFonts w:hint="eastAsia"/>
                <w:color w:val="000000" w:themeColor="text1"/>
                <w:kern w:val="0"/>
                <w:sz w:val="24"/>
                <w14:textFill>
                  <w14:solidFill>
                    <w14:schemeClr w14:val="tx1"/>
                  </w14:solidFill>
                </w14:textFill>
              </w:rPr>
              <w:t>窖</w:t>
            </w:r>
            <w:r>
              <w:rPr>
                <w:color w:val="000000" w:themeColor="text1"/>
                <w:kern w:val="0"/>
                <w:sz w:val="24"/>
                <w14:textFill>
                  <w14:solidFill>
                    <w14:schemeClr w14:val="tx1"/>
                  </w14:solidFill>
                </w14:textFill>
              </w:rPr>
              <w:t>，滴</w:t>
            </w:r>
            <w:r>
              <w:rPr>
                <w:rFonts w:hint="eastAsia"/>
                <w:color w:val="000000" w:themeColor="text1"/>
                <w:kern w:val="0"/>
                <w:sz w:val="24"/>
                <w14:textFill>
                  <w14:solidFill>
                    <w14:schemeClr w14:val="tx1"/>
                  </w14:solidFill>
                </w14:textFill>
              </w:rPr>
              <w:t>窖</w:t>
            </w:r>
            <w:r>
              <w:rPr>
                <w:color w:val="000000" w:themeColor="text1"/>
                <w:kern w:val="0"/>
                <w:sz w:val="24"/>
                <w14:textFill>
                  <w14:solidFill>
                    <w14:schemeClr w14:val="tx1"/>
                  </w14:solidFill>
                </w14:textFill>
              </w:rPr>
              <w:t>之目的在于防止母糟酸度过高，酒醅含水太多，造成稻壳用量过大影响酒质。滴</w:t>
            </w:r>
            <w:r>
              <w:rPr>
                <w:rFonts w:hint="eastAsia"/>
                <w:color w:val="000000" w:themeColor="text1"/>
                <w:kern w:val="0"/>
                <w:sz w:val="24"/>
                <w14:textFill>
                  <w14:solidFill>
                    <w14:schemeClr w14:val="tx1"/>
                  </w14:solidFill>
                </w14:textFill>
              </w:rPr>
              <w:t>窖</w:t>
            </w:r>
            <w:r>
              <w:rPr>
                <w:color w:val="000000" w:themeColor="text1"/>
                <w:kern w:val="0"/>
                <w:sz w:val="24"/>
                <w14:textFill>
                  <w14:solidFill>
                    <w14:schemeClr w14:val="tx1"/>
                  </w14:solidFill>
                </w14:textFill>
              </w:rPr>
              <w:t>后的酒醅，含水量一般控制在60%左右。黄水是</w:t>
            </w:r>
            <w:r>
              <w:rPr>
                <w:rFonts w:hint="eastAsia"/>
                <w:color w:val="000000" w:themeColor="text1"/>
                <w:kern w:val="0"/>
                <w:sz w:val="24"/>
                <w14:textFill>
                  <w14:solidFill>
                    <w14:schemeClr w14:val="tx1"/>
                  </w14:solidFill>
                </w14:textFill>
              </w:rPr>
              <w:t>窖</w:t>
            </w:r>
            <w:r>
              <w:rPr>
                <w:color w:val="000000" w:themeColor="text1"/>
                <w:kern w:val="0"/>
                <w:sz w:val="24"/>
                <w14:textFill>
                  <w14:solidFill>
                    <w14:schemeClr w14:val="tx1"/>
                  </w14:solidFill>
                </w14:textFill>
              </w:rPr>
              <w:t>内酒醅向下层渗漏的黄色淋浆水，它含有1~2%的残余淀粉，0.3</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0.7%的残糖，4~5%</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V/V</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的酒精，以及醋酸、腐植质和酵母菌体的自溶物等。黄水较酸，酸度高达5度左右，而且还有一些经过驯化的己酸菌和白酒香味的前体物质。黄水可回用于集中后和面糟一起蒸得黄水酒，与酒尾一起回窖发酵，最终以淘汰底锅水形式外排。</w:t>
            </w:r>
          </w:p>
          <w:p w14:paraId="479BD0C0">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（5）原料拌料</w:t>
            </w:r>
          </w:p>
          <w:p w14:paraId="2320F1F6">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本项目采用续茬混蒸工艺，原粮粉碎、蒸煮后，与上一轮发酵罐中发酵过的酒醅（母糟）、蒸熟的稻壳充分翻转混合，原粮与酒醅（母糟）的比例为1：1，后上甑蒸酒。</w:t>
            </w:r>
          </w:p>
          <w:p w14:paraId="3B36AB6E">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（6）</w:t>
            </w:r>
            <w:r>
              <w:rPr>
                <w:bCs/>
                <w:color w:val="000000" w:themeColor="text1"/>
                <w:sz w:val="24"/>
                <w14:textFill>
                  <w14:solidFill>
                    <w14:schemeClr w14:val="tx1"/>
                  </w14:solidFill>
                </w14:textFill>
              </w:rPr>
              <w:t>蒸馏</w:t>
            </w:r>
          </w:p>
          <w:p w14:paraId="7674CFDA">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“生香靠发酵，提香靠蒸馏”，说明白酒蒸馏相当重要。蒸馏目的，一方面要使成熟酒醅中的酒精成分、香味物质等挥发、浓缩、提取出来；同时，通过蒸馏把杂质排除出去，得到所需的成品酒。</w:t>
            </w:r>
          </w:p>
          <w:p w14:paraId="0D495657">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本项目采用典型的浓香型蒸馏工艺——混蒸混糟，原料的蒸煮和酒的蒸馏在甑内同时进行的。先蒸面糟、后蒸粮糟、边进汽边装甑。</w:t>
            </w:r>
          </w:p>
          <w:p w14:paraId="6AA15701">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发酵完成后的酒醅通过人工转移方式送入酒甑桶中进行蒸酒，蒸酒即根据沸点不同采用蒸馏原理对生酒提纯。该蒸酒系统主要分为两大部分，即蒸馏区与冷凝器：蒸馏区中间为酒甑桶，用来装填酒醅，浓缩酒精乙醇成分，提纯香味；酒甑桶底部设蒸馏加热釜（底锅），内部设有加热蒸汽管，当水、酒尾倒入底锅后，采用蒸汽加热，产生二次蒸汽，穿过箅子进入酒醅层；蒸馏部分顶部设有甑盖，甑盖呈锥形，对酒蒸汽具有较好的缓冲作用；甑盖中央与冷凝器之间采用过气管连通，将蒸馏产生的酒蒸汽引入冷凝器，即可冷凝得到原浆酒。</w:t>
            </w:r>
          </w:p>
          <w:p w14:paraId="70C25D3E">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①蒸面糟</w:t>
            </w:r>
            <w:r>
              <w:rPr>
                <w:rFonts w:hint="eastAsia"/>
                <w:bCs/>
                <w:color w:val="000000" w:themeColor="text1"/>
                <w:sz w:val="24"/>
                <w14:textFill>
                  <w14:solidFill>
                    <w14:schemeClr w14:val="tx1"/>
                  </w14:solidFill>
                </w14:textFill>
              </w:rPr>
              <w:t>（回糟）</w:t>
            </w:r>
          </w:p>
          <w:p w14:paraId="3E19DCEB">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将蒸馏设备洗刷干净，黄水倒入底锅与面糟一起蒸馏。蒸得的丢糟黄水酒，稀释到20%（V/V）左右，泼回窖内重新发酵。可以抑制酒醅内生酸细菌的生长，有利于己酸菌的繁殖，达到以酒养窖的目的，并促进醇酸酯化，加强产香。黄水丢糟酒要分层回酒，控制入窖粮糟的酒度在2%</w:t>
            </w:r>
            <w:r>
              <w:rPr>
                <w:rFonts w:hint="eastAsia"/>
                <w:bCs/>
                <w:color w:val="000000" w:themeColor="text1"/>
                <w:sz w:val="24"/>
                <w14:textFill>
                  <w14:solidFill>
                    <w14:schemeClr w14:val="tx1"/>
                  </w14:solidFill>
                </w14:textFill>
              </w:rPr>
              <w:t>（V/V）</w:t>
            </w:r>
            <w:r>
              <w:rPr>
                <w:bCs/>
                <w:color w:val="000000" w:themeColor="text1"/>
                <w:sz w:val="24"/>
                <w14:textFill>
                  <w14:solidFill>
                    <w14:schemeClr w14:val="tx1"/>
                  </w14:solidFill>
                </w14:textFill>
              </w:rPr>
              <w:t>以内。可在窖底和窖壁多喷洒些稀酒，以利于己酸菌产香。实践证明，回酒发酵还能驱除酒中的窖底泥腥味，使酒质更加纯正，尾子干净。一般经过回酒发酵，可使下一排的酒质明显提高，这一措施被称之“回酒升级”。</w:t>
            </w:r>
          </w:p>
          <w:p w14:paraId="3DC34777">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②蒸粮糟</w:t>
            </w:r>
          </w:p>
          <w:p w14:paraId="2C67343F">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蒸完面糟后，再蒸粮糟。要求均匀进汽、缓火蒸馏、低温流酒，使酒醅中5%（V</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V）左右的酒精成分浓缩到65%（V</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V）左右。上甑时间要求不得低于45min，从盖盘到流酒不得超过3min。蒸酒过程中，酒精浓度不断变化，馏出酒的酒精度随着酒糟中酒精成分的减少而不断降低。</w:t>
            </w:r>
          </w:p>
          <w:p w14:paraId="5E266974">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第一馏分段：开始流酒时应截去最初3~5min馏出的酒约0.5~1kg作为</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酒头</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另装，该部分酒的酒精浓度在70%以上，含有大量的酸、酯、甲醇、高级醇（杂醇油）、低级脂肪酸酯、醛类等物质，香气浓烈、刺激性大、且味道燥辣，酒头另行收集后分层回窖。</w:t>
            </w:r>
          </w:p>
          <w:p w14:paraId="1869B70C">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第二馏分段：去除酒头后开始进行量质摘酒，即在蒸馏过程中从馏分中摘取特优馏分，也就是取酒身的前半部分，边接酒边品尝，选取合格的酒。蒸酒时要求缓火蒸酒，火力均匀，断花摘酒，流酒速度1.5~2.5kg/min，流酒温度控制在25~30℃，馏出的酒酒精浓度在54~70%之间，口感尝评，香气浓而纯正，诸味协调。第二馏分段馏出的酒为优质基酒，通过酒泵输送至不锈钢储罐贮存。</w:t>
            </w:r>
          </w:p>
          <w:p w14:paraId="70115C3B">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第三馏分段：当馏出酒出现绒花时单独用接酒桶分开，然后进行断尾，馏出的酒称之为</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酒尾</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，酒精度一般在54%以下，含有高级醇、高级脂肪酸乙酯，特别是乳酸和酯类含量比中段酒和酒头高很多，味道杂而苦涩，一般用专门容器盛装，然后上甑再蒸取酒。</w:t>
            </w:r>
          </w:p>
          <w:p w14:paraId="361B8961">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③蒸红糟</w:t>
            </w:r>
          </w:p>
          <w:p w14:paraId="70A45510">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红糟即回糟，指母糟蒸酒后，只加大曲，不加原料，再次入</w:t>
            </w:r>
            <w:r>
              <w:rPr>
                <w:rFonts w:hint="eastAsia"/>
                <w:bCs/>
                <w:color w:val="000000" w:themeColor="text1"/>
                <w:sz w:val="24"/>
                <w14:textFill>
                  <w14:solidFill>
                    <w14:schemeClr w14:val="tx1"/>
                  </w14:solidFill>
                </w14:textFill>
              </w:rPr>
              <w:t>罐</w:t>
            </w:r>
            <w:r>
              <w:rPr>
                <w:bCs/>
                <w:color w:val="000000" w:themeColor="text1"/>
                <w:sz w:val="24"/>
                <w14:textFill>
                  <w14:solidFill>
                    <w14:schemeClr w14:val="tx1"/>
                  </w14:solidFill>
                </w14:textFill>
              </w:rPr>
              <w:t>发酵，成为下一排的面糟，这一操作称为蒸红糟。用来蒸红糟的酒醅在上甑时，要提前20min左右拌入</w:t>
            </w:r>
            <w:r>
              <w:rPr>
                <w:rFonts w:hint="eastAsia"/>
                <w:bCs/>
                <w:color w:val="000000" w:themeColor="text1"/>
                <w:sz w:val="24"/>
                <w14:textFill>
                  <w14:solidFill>
                    <w14:schemeClr w14:val="tx1"/>
                  </w14:solidFill>
                </w14:textFill>
              </w:rPr>
              <w:t>稻</w:t>
            </w:r>
            <w:r>
              <w:rPr>
                <w:bCs/>
                <w:color w:val="000000" w:themeColor="text1"/>
                <w:sz w:val="24"/>
                <w14:textFill>
                  <w14:solidFill>
                    <w14:schemeClr w14:val="tx1"/>
                  </w14:solidFill>
                </w14:textFill>
              </w:rPr>
              <w:t>壳，疏松酒醅，并根据酒醅湿度大小调整加</w:t>
            </w:r>
            <w:r>
              <w:rPr>
                <w:rFonts w:hint="eastAsia"/>
                <w:bCs/>
                <w:color w:val="000000" w:themeColor="text1"/>
                <w:sz w:val="24"/>
                <w14:textFill>
                  <w14:solidFill>
                    <w14:schemeClr w14:val="tx1"/>
                  </w14:solidFill>
                </w14:textFill>
              </w:rPr>
              <w:t>稻</w:t>
            </w:r>
            <w:r>
              <w:rPr>
                <w:bCs/>
                <w:color w:val="000000" w:themeColor="text1"/>
                <w:sz w:val="24"/>
                <w14:textFill>
                  <w14:solidFill>
                    <w14:schemeClr w14:val="tx1"/>
                  </w14:solidFill>
                </w14:textFill>
              </w:rPr>
              <w:t>壳数量。红糟蒸酒后．只需摊冷加曲，拌匀入</w:t>
            </w:r>
            <w:r>
              <w:rPr>
                <w:rFonts w:hint="eastAsia"/>
                <w:bCs/>
                <w:color w:val="000000" w:themeColor="text1"/>
                <w:sz w:val="24"/>
                <w14:textFill>
                  <w14:solidFill>
                    <w14:schemeClr w14:val="tx1"/>
                  </w14:solidFill>
                </w14:textFill>
              </w:rPr>
              <w:t>窖</w:t>
            </w:r>
            <w:r>
              <w:rPr>
                <w:bCs/>
                <w:color w:val="000000" w:themeColor="text1"/>
                <w:sz w:val="24"/>
                <w14:textFill>
                  <w14:solidFill>
                    <w14:schemeClr w14:val="tx1"/>
                  </w14:solidFill>
                </w14:textFill>
              </w:rPr>
              <w:t>，成为下排的面糟。</w:t>
            </w:r>
          </w:p>
          <w:p w14:paraId="4D5AC430">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（7）打量水、摊晾、撒曲</w:t>
            </w:r>
          </w:p>
          <w:p w14:paraId="60786F20">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打量水：糊化以后的淀粉物质，必须在充分吸水以后才能被酶作用，转化生成可发酵性糖，再由糖转化生成酒精。因此，粮糟出甑后、立即加入85℃以上的热水，量水温度要高，才能使蒸粮过程中未吸足水分的淀粉颗粒进一步吸浆，达到适宜入窖水分。打量水要求撒开泼匀，不能冲在一处，泼量水后，20min左右的堆积时间，让淀粉继续吸水糊化，最终让打量水后，糟醅的入</w:t>
            </w:r>
            <w:r>
              <w:rPr>
                <w:rFonts w:hint="eastAsia"/>
                <w:bCs/>
                <w:color w:val="000000" w:themeColor="text1"/>
                <w:sz w:val="24"/>
                <w14:textFill>
                  <w14:solidFill>
                    <w14:schemeClr w14:val="tx1"/>
                  </w14:solidFill>
                </w14:textFill>
              </w:rPr>
              <w:t>罐</w:t>
            </w:r>
            <w:r>
              <w:rPr>
                <w:bCs/>
                <w:color w:val="000000" w:themeColor="text1"/>
                <w:sz w:val="24"/>
                <w14:textFill>
                  <w14:solidFill>
                    <w14:schemeClr w14:val="tx1"/>
                  </w14:solidFill>
                </w14:textFill>
              </w:rPr>
              <w:t>水分控制在54~56%之间。</w:t>
            </w:r>
          </w:p>
          <w:p w14:paraId="6415AE87">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摊凉：使出甑打量水后粮糟迅速降低温度，挥发部分酸分和表面的水分，吸入新鲜空气，为入窖发酵创造条件。将打完量水的糟子撒在晾床上，散匀铺平，厚约10~15cm，开启风机冷却。一般夏季需要30~40min，冬季10~20min左右。</w:t>
            </w:r>
          </w:p>
          <w:p w14:paraId="57BB0942">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撒曲：蒸料后要控制粮曲比。扬冷粮糟应加入原料量</w:t>
            </w:r>
            <w:r>
              <w:rPr>
                <w:rFonts w:hint="eastAsia"/>
                <w:bCs/>
                <w:color w:val="000000" w:themeColor="text1"/>
                <w:sz w:val="24"/>
                <w14:textFill>
                  <w14:solidFill>
                    <w14:schemeClr w14:val="tx1"/>
                  </w14:solidFill>
                </w14:textFill>
              </w:rPr>
              <w:t>30</w:t>
            </w:r>
            <w:r>
              <w:rPr>
                <w:bCs/>
                <w:color w:val="000000" w:themeColor="text1"/>
                <w:sz w:val="24"/>
                <w14:textFill>
                  <w14:solidFill>
                    <w14:schemeClr w14:val="tx1"/>
                  </w14:solidFill>
                </w14:textFill>
              </w:rPr>
              <w:t>%的</w:t>
            </w:r>
            <w:r>
              <w:rPr>
                <w:rFonts w:hint="eastAsia"/>
                <w:bCs/>
                <w:color w:val="000000" w:themeColor="text1"/>
                <w:sz w:val="24"/>
                <w14:textFill>
                  <w14:solidFill>
                    <w14:schemeClr w14:val="tx1"/>
                  </w14:solidFill>
                </w14:textFill>
              </w:rPr>
              <w:t>酒</w:t>
            </w:r>
            <w:r>
              <w:rPr>
                <w:bCs/>
                <w:color w:val="000000" w:themeColor="text1"/>
                <w:sz w:val="24"/>
                <w14:textFill>
                  <w14:solidFill>
                    <w14:schemeClr w14:val="tx1"/>
                  </w14:solidFill>
                </w14:textFill>
              </w:rPr>
              <w:t>曲粉，红糟因未加新料，用曲量可减少1/3~l/2。撒曲温度要略高于入窖温度，冬季高出3~4℃，热平地温，达到低温入</w:t>
            </w:r>
            <w:r>
              <w:rPr>
                <w:rFonts w:hint="eastAsia"/>
                <w:bCs/>
                <w:color w:val="000000" w:themeColor="text1"/>
                <w:sz w:val="24"/>
                <w14:textFill>
                  <w14:solidFill>
                    <w14:schemeClr w14:val="tx1"/>
                  </w14:solidFill>
                </w14:textFill>
              </w:rPr>
              <w:t>罐</w:t>
            </w:r>
            <w:r>
              <w:rPr>
                <w:bCs/>
                <w:color w:val="000000" w:themeColor="text1"/>
                <w:sz w:val="24"/>
                <w14:textFill>
                  <w14:solidFill>
                    <w14:schemeClr w14:val="tx1"/>
                  </w14:solidFill>
                </w14:textFill>
              </w:rPr>
              <w:t>缓慢发酵。撒曲后要翻拌均匀，才能入</w:t>
            </w:r>
            <w:r>
              <w:rPr>
                <w:rFonts w:hint="eastAsia"/>
                <w:bCs/>
                <w:color w:val="000000" w:themeColor="text1"/>
                <w:sz w:val="24"/>
                <w14:textFill>
                  <w14:solidFill>
                    <w14:schemeClr w14:val="tx1"/>
                  </w14:solidFill>
                </w14:textFill>
              </w:rPr>
              <w:t>罐</w:t>
            </w:r>
            <w:r>
              <w:rPr>
                <w:bCs/>
                <w:color w:val="000000" w:themeColor="text1"/>
                <w:sz w:val="24"/>
                <w14:textFill>
                  <w14:solidFill>
                    <w14:schemeClr w14:val="tx1"/>
                  </w14:solidFill>
                </w14:textFill>
              </w:rPr>
              <w:t>发酵。</w:t>
            </w:r>
          </w:p>
          <w:p w14:paraId="6B74610E">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（8）发酵</w:t>
            </w:r>
          </w:p>
          <w:p w14:paraId="2EFA8626">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将</w:t>
            </w:r>
            <w:r>
              <w:rPr>
                <w:color w:val="000000" w:themeColor="text1"/>
                <w:kern w:val="0"/>
                <w:sz w:val="24"/>
                <w14:textFill>
                  <w14:solidFill>
                    <w14:schemeClr w14:val="tx1"/>
                  </w14:solidFill>
                </w14:textFill>
              </w:rPr>
              <w:t>糖化后的熟粮装入窖池进行固态发酵，窖池加盖</w:t>
            </w:r>
            <w:r>
              <w:rPr>
                <w:rFonts w:hint="eastAsia"/>
                <w:color w:val="000000" w:themeColor="text1"/>
                <w:kern w:val="0"/>
                <w:sz w:val="24"/>
                <w14:textFill>
                  <w14:solidFill>
                    <w14:schemeClr w14:val="tx1"/>
                  </w14:solidFill>
                </w14:textFill>
              </w:rPr>
              <w:t>盖子</w:t>
            </w:r>
            <w:r>
              <w:rPr>
                <w:color w:val="000000" w:themeColor="text1"/>
                <w:kern w:val="0"/>
                <w:sz w:val="24"/>
                <w14:textFill>
                  <w14:solidFill>
                    <w14:schemeClr w14:val="tx1"/>
                  </w14:solidFill>
                </w14:textFill>
              </w:rPr>
              <w:t>，发酵密闭进行，发酵过程中不产生废气，发酵结束后，打开塑料薄膜，会有少许乙醇和二氧化碳产生。发酵周期为</w:t>
            </w:r>
            <w:r>
              <w:rPr>
                <w:rFonts w:hint="eastAsia"/>
                <w:color w:val="000000" w:themeColor="text1"/>
                <w:kern w:val="0"/>
                <w:sz w:val="24"/>
                <w:lang w:val="en-US" w:eastAsia="zh-CN"/>
                <w14:textFill>
                  <w14:solidFill>
                    <w14:schemeClr w14:val="tx1"/>
                  </w14:solidFill>
                </w14:textFill>
              </w:rPr>
              <w:t>40</w:t>
            </w:r>
            <w:r>
              <w:rPr>
                <w:color w:val="000000" w:themeColor="text1"/>
                <w:kern w:val="0"/>
                <w:sz w:val="24"/>
                <w14:textFill>
                  <w14:solidFill>
                    <w14:schemeClr w14:val="tx1"/>
                  </w14:solidFill>
                </w14:textFill>
              </w:rPr>
              <w:t>~</w:t>
            </w:r>
            <w:r>
              <w:rPr>
                <w:rFonts w:hint="eastAsia"/>
                <w:color w:val="000000" w:themeColor="text1"/>
                <w:kern w:val="0"/>
                <w:sz w:val="24"/>
                <w:lang w:val="en-US" w:eastAsia="zh-CN"/>
                <w14:textFill>
                  <w14:solidFill>
                    <w14:schemeClr w14:val="tx1"/>
                  </w14:solidFill>
                </w14:textFill>
              </w:rPr>
              <w:t>60</w:t>
            </w:r>
            <w:r>
              <w:rPr>
                <w:color w:val="000000" w:themeColor="text1"/>
                <w:kern w:val="0"/>
                <w:sz w:val="24"/>
                <w14:textFill>
                  <w14:solidFill>
                    <w14:schemeClr w14:val="tx1"/>
                  </w14:solidFill>
                </w14:textFill>
              </w:rPr>
              <w:t>天</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项目发酵阶段原理是可发酵型糖在厌氧条件</w:t>
            </w:r>
            <w:r>
              <w:rPr>
                <w:rFonts w:hint="eastAsia"/>
                <w:color w:val="000000" w:themeColor="text1"/>
                <w:kern w:val="0"/>
                <w:sz w:val="24"/>
                <w:lang w:val="en-US" w:eastAsia="zh-CN"/>
                <w14:textFill>
                  <w14:solidFill>
                    <w14:schemeClr w14:val="tx1"/>
                  </w14:solidFill>
                </w14:textFill>
              </w:rPr>
              <w:t>下</w:t>
            </w:r>
            <w:r>
              <w:rPr>
                <w:rFonts w:hint="eastAsia"/>
                <w:color w:val="000000" w:themeColor="text1"/>
                <w:kern w:val="0"/>
                <w:sz w:val="24"/>
                <w14:textFill>
                  <w14:solidFill>
                    <w14:schemeClr w14:val="tx1"/>
                  </w14:solidFill>
                </w14:textFill>
              </w:rPr>
              <w:t>，经酵母细胞内的酒化酶作用，将糖分转化为酒精和二氧化碳。相关反应方程式为：</w:t>
            </w:r>
          </w:p>
          <w:p w14:paraId="1FBD8F19">
            <w:pPr>
              <w:tabs>
                <w:tab w:val="left" w:pos="1081"/>
              </w:tabs>
              <w:adjustRightInd w:val="0"/>
              <w:snapToGrid w:val="0"/>
              <w:spacing w:line="360" w:lineRule="auto"/>
              <w:jc w:val="center"/>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n</w:t>
            </w:r>
            <w:r>
              <w:rPr>
                <w:color w:val="000000" w:themeColor="text1"/>
                <w:kern w:val="0"/>
                <w:sz w:val="24"/>
                <w14:textFill>
                  <w14:solidFill>
                    <w14:schemeClr w14:val="tx1"/>
                  </w14:solidFill>
                </w14:textFill>
              </w:rPr>
              <w:t>C</w:t>
            </w:r>
            <w:r>
              <w:rPr>
                <w:color w:val="000000" w:themeColor="text1"/>
                <w:kern w:val="0"/>
                <w:sz w:val="24"/>
                <w:vertAlign w:val="subscript"/>
                <w14:textFill>
                  <w14:solidFill>
                    <w14:schemeClr w14:val="tx1"/>
                  </w14:solidFill>
                </w14:textFill>
              </w:rPr>
              <w:t>6</w:t>
            </w:r>
            <w:r>
              <w:rPr>
                <w:color w:val="000000" w:themeColor="text1"/>
                <w:kern w:val="0"/>
                <w:sz w:val="24"/>
                <w14:textFill>
                  <w14:solidFill>
                    <w14:schemeClr w14:val="tx1"/>
                  </w14:solidFill>
                </w14:textFill>
              </w:rPr>
              <w:t>H</w:t>
            </w:r>
            <w:r>
              <w:rPr>
                <w:color w:val="000000" w:themeColor="text1"/>
                <w:kern w:val="0"/>
                <w:sz w:val="24"/>
                <w:vertAlign w:val="subscript"/>
                <w14:textFill>
                  <w14:solidFill>
                    <w14:schemeClr w14:val="tx1"/>
                  </w14:solidFill>
                </w14:textFill>
              </w:rPr>
              <w:t>12</w:t>
            </w:r>
            <w:r>
              <w:rPr>
                <w:color w:val="000000" w:themeColor="text1"/>
                <w:kern w:val="0"/>
                <w:sz w:val="24"/>
                <w14:textFill>
                  <w14:solidFill>
                    <w14:schemeClr w14:val="tx1"/>
                  </w14:solidFill>
                </w14:textFill>
              </w:rPr>
              <w:t>O</w:t>
            </w:r>
            <w:r>
              <w:rPr>
                <w:color w:val="000000" w:themeColor="text1"/>
                <w:kern w:val="0"/>
                <w:sz w:val="24"/>
                <w:vertAlign w:val="subscript"/>
                <w14:textFill>
                  <w14:solidFill>
                    <w14:schemeClr w14:val="tx1"/>
                  </w14:solidFill>
                </w14:textFill>
              </w:rPr>
              <w:t>6</w:t>
            </w:r>
            <w:r>
              <w:rPr>
                <w:color w:val="000000" w:themeColor="text1"/>
                <w:kern w:val="0"/>
                <w:sz w:val="24"/>
                <w14:textFill>
                  <w14:solidFill>
                    <w14:schemeClr w14:val="tx1"/>
                  </w14:solidFill>
                </w14:textFill>
              </w:rPr>
              <w:t>→2</w:t>
            </w:r>
            <w:r>
              <w:rPr>
                <w:rFonts w:hint="eastAsia"/>
                <w:color w:val="000000" w:themeColor="text1"/>
                <w:kern w:val="0"/>
                <w:sz w:val="24"/>
                <w14:textFill>
                  <w14:solidFill>
                    <w14:schemeClr w14:val="tx1"/>
                  </w14:solidFill>
                </w14:textFill>
              </w:rPr>
              <w:t>n</w:t>
            </w:r>
            <w:r>
              <w:rPr>
                <w:color w:val="000000" w:themeColor="text1"/>
                <w:kern w:val="0"/>
                <w:sz w:val="24"/>
                <w14:textFill>
                  <w14:solidFill>
                    <w14:schemeClr w14:val="tx1"/>
                  </w14:solidFill>
                </w14:textFill>
              </w:rPr>
              <w:t>C</w:t>
            </w:r>
            <w:r>
              <w:rPr>
                <w:color w:val="000000" w:themeColor="text1"/>
                <w:kern w:val="0"/>
                <w:sz w:val="24"/>
                <w:vertAlign w:val="subscript"/>
                <w14:textFill>
                  <w14:solidFill>
                    <w14:schemeClr w14:val="tx1"/>
                  </w14:solidFill>
                </w14:textFill>
              </w:rPr>
              <w:t>2</w:t>
            </w:r>
            <w:r>
              <w:rPr>
                <w:color w:val="000000" w:themeColor="text1"/>
                <w:kern w:val="0"/>
                <w:sz w:val="24"/>
                <w14:textFill>
                  <w14:solidFill>
                    <w14:schemeClr w14:val="tx1"/>
                  </w14:solidFill>
                </w14:textFill>
              </w:rPr>
              <w:t>H</w:t>
            </w:r>
            <w:r>
              <w:rPr>
                <w:color w:val="000000" w:themeColor="text1"/>
                <w:kern w:val="0"/>
                <w:sz w:val="24"/>
                <w:vertAlign w:val="subscript"/>
                <w14:textFill>
                  <w14:solidFill>
                    <w14:schemeClr w14:val="tx1"/>
                  </w14:solidFill>
                </w14:textFill>
              </w:rPr>
              <w:t>5</w:t>
            </w:r>
            <w:r>
              <w:rPr>
                <w:color w:val="000000" w:themeColor="text1"/>
                <w:kern w:val="0"/>
                <w:sz w:val="24"/>
                <w14:textFill>
                  <w14:solidFill>
                    <w14:schemeClr w14:val="tx1"/>
                  </w14:solidFill>
                </w14:textFill>
              </w:rPr>
              <w:t>OH+2</w:t>
            </w:r>
            <w:r>
              <w:rPr>
                <w:rFonts w:hint="eastAsia"/>
                <w:color w:val="000000" w:themeColor="text1"/>
                <w:kern w:val="0"/>
                <w:sz w:val="24"/>
                <w14:textFill>
                  <w14:solidFill>
                    <w14:schemeClr w14:val="tx1"/>
                  </w14:solidFill>
                </w14:textFill>
              </w:rPr>
              <w:t>n</w:t>
            </w:r>
            <w:r>
              <w:rPr>
                <w:color w:val="000000" w:themeColor="text1"/>
                <w:kern w:val="0"/>
                <w:sz w:val="24"/>
                <w14:textFill>
                  <w14:solidFill>
                    <w14:schemeClr w14:val="tx1"/>
                  </w14:solidFill>
                </w14:textFill>
              </w:rPr>
              <w:t>CO</w:t>
            </w:r>
            <w:r>
              <w:rPr>
                <w:color w:val="000000" w:themeColor="text1"/>
                <w:kern w:val="0"/>
                <w:sz w:val="24"/>
                <w:vertAlign w:val="subscript"/>
                <w14:textFill>
                  <w14:solidFill>
                    <w14:schemeClr w14:val="tx1"/>
                  </w14:solidFill>
                </w14:textFill>
              </w:rPr>
              <w:t>2</w:t>
            </w:r>
          </w:p>
          <w:p w14:paraId="6B4423F6">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发酵阶段是白酒酿造的核心，酵母菌在适宜的温度和湿度条件下，将糖化阶段产生的糖类转化为酒精和二氧化碳。酵母菌通过分解糖分产生乙醇，并释放出二氧化碳作为副产物。此外，酵母菌还会分解部分蛋白质和脂肪，产生各种香气物质，这些化合物的生成赋予了白酒独特的风味和口感。发酵过程中，需要定期搅拌或翻曲，以保证氧气供应和温度均匀。发酵时间根据酒曲种类和原料不同而异，一般为数天至数周‌。</w:t>
            </w:r>
            <w:r>
              <w:rPr>
                <w:rFonts w:hint="eastAsia"/>
                <w:bCs/>
                <w:color w:val="000000" w:themeColor="text1"/>
                <w:sz w:val="24"/>
                <w14:textFill>
                  <w14:solidFill>
                    <w14:schemeClr w14:val="tx1"/>
                  </w14:solidFill>
                </w14:textFill>
              </w:rPr>
              <w:t>此工序会产生发酵废气。</w:t>
            </w:r>
          </w:p>
          <w:p w14:paraId="5DD40EA5">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（9）陈酿</w:t>
            </w:r>
          </w:p>
          <w:p w14:paraId="0073E0F0">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新蒸出的白酒气味不正，有所谓新酒臭，口味上有粗糙、辛辣而刺激性大等不悦感。新酒经过适当的贮存期，则香气增加，酒味柔和，酒内各种成分之间趋于协调，这种现象称为自然老熟或陈酿。本项目对白酒进行陈酿。量质取酒后，根据新酒的质量及产品标准，逐窖分级验收入库，并入</w:t>
            </w:r>
            <w:r>
              <w:rPr>
                <w:rFonts w:hint="eastAsia"/>
                <w:color w:val="000000" w:themeColor="text1"/>
                <w:kern w:val="0"/>
                <w:sz w:val="24"/>
                <w14:textFill>
                  <w14:solidFill>
                    <w14:schemeClr w14:val="tx1"/>
                  </w14:solidFill>
                </w14:textFill>
              </w:rPr>
              <w:t>储酒罐内</w:t>
            </w:r>
            <w:r>
              <w:rPr>
                <w:color w:val="000000" w:themeColor="text1"/>
                <w:kern w:val="0"/>
                <w:sz w:val="24"/>
                <w14:textFill>
                  <w14:solidFill>
                    <w14:schemeClr w14:val="tx1"/>
                  </w14:solidFill>
                </w14:textFill>
              </w:rPr>
              <w:t>分级贮存</w:t>
            </w:r>
            <w:r>
              <w:rPr>
                <w:rFonts w:hint="eastAsia"/>
                <w:color w:val="000000" w:themeColor="text1"/>
                <w:kern w:val="0"/>
                <w:sz w:val="24"/>
                <w14:textFill>
                  <w14:solidFill>
                    <w14:schemeClr w14:val="tx1"/>
                  </w14:solidFill>
                </w14:textFill>
              </w:rPr>
              <w:t>1年</w:t>
            </w:r>
            <w:r>
              <w:rPr>
                <w:color w:val="000000" w:themeColor="text1"/>
                <w:kern w:val="0"/>
                <w:sz w:val="24"/>
                <w14:textFill>
                  <w14:solidFill>
                    <w14:schemeClr w14:val="tx1"/>
                  </w14:solidFill>
                </w14:textFill>
              </w:rPr>
              <w:t>，以达到陈酿去杂提质的目的</w:t>
            </w:r>
            <w:r>
              <w:rPr>
                <w:rFonts w:hint="eastAsia"/>
                <w:color w:val="000000" w:themeColor="text1"/>
                <w:kern w:val="0"/>
                <w:sz w:val="24"/>
                <w14:textFill>
                  <w14:solidFill>
                    <w14:schemeClr w14:val="tx1"/>
                  </w14:solidFill>
                </w14:textFill>
              </w:rPr>
              <w:t>；</w:t>
            </w:r>
            <w:r>
              <w:rPr>
                <w:rFonts w:hint="eastAsia"/>
                <w:bCs/>
                <w:color w:val="000000" w:themeColor="text1"/>
                <w:sz w:val="24"/>
                <w14:textFill>
                  <w14:solidFill>
                    <w14:schemeClr w14:val="tx1"/>
                  </w14:solidFill>
                </w14:textFill>
              </w:rPr>
              <w:t>此工序会产生发酵废气</w:t>
            </w:r>
            <w:r>
              <w:rPr>
                <w:color w:val="000000" w:themeColor="text1"/>
                <w:kern w:val="0"/>
                <w:sz w:val="24"/>
                <w14:textFill>
                  <w14:solidFill>
                    <w14:schemeClr w14:val="tx1"/>
                  </w14:solidFill>
                </w14:textFill>
              </w:rPr>
              <w:t>。</w:t>
            </w:r>
          </w:p>
          <w:p w14:paraId="67DC4DE9">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（10）过滤</w:t>
            </w:r>
          </w:p>
          <w:p w14:paraId="35C149B6">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原酒在灌装前需要进行过滤，以去除酒中的异味和杂物，使酒液澄清。原酒过滤采用硅藻土，过滤后的原酒中转至储酒罐。</w:t>
            </w:r>
          </w:p>
          <w:p w14:paraId="477E7C6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硅藻土过滤机原理：在密闭不锈钢容器内，自下而上水平放置不锈钢过滤圆盘，圆盘的上层是不锈钢滤网，下层是不锈钢支撑板，中间是液体收集腔。过滤时，先进行硅藻土预涂，使盘上形成一层硅藻土涂层，待过滤液体，在泵压力作用下，通过预涂层而进入收集腔内，颗粒及高分子被截留在预涂层，进入收集腔内的澄清液体，通过中心轴，流出容器</w:t>
            </w:r>
            <w:r>
              <w:rPr>
                <w:rFonts w:hint="eastAsia"/>
                <w:color w:val="000000" w:themeColor="text1"/>
                <w:kern w:val="0"/>
                <w:sz w:val="24"/>
                <w14:textFill>
                  <w14:solidFill>
                    <w14:schemeClr w14:val="tx1"/>
                  </w14:solidFill>
                </w14:textFill>
              </w:rPr>
              <w:t>；</w:t>
            </w:r>
            <w:r>
              <w:rPr>
                <w:rFonts w:hint="eastAsia"/>
                <w:bCs/>
                <w:color w:val="000000" w:themeColor="text1"/>
                <w:sz w:val="24"/>
                <w14:textFill>
                  <w14:solidFill>
                    <w14:schemeClr w14:val="tx1"/>
                  </w14:solidFill>
                </w14:textFill>
              </w:rPr>
              <w:t>此工序会产生发酵废气</w:t>
            </w:r>
            <w:r>
              <w:rPr>
                <w:color w:val="000000" w:themeColor="text1"/>
                <w:kern w:val="0"/>
                <w:sz w:val="24"/>
                <w14:textFill>
                  <w14:solidFill>
                    <w14:schemeClr w14:val="tx1"/>
                  </w14:solidFill>
                </w14:textFill>
              </w:rPr>
              <w:t>。</w:t>
            </w:r>
          </w:p>
          <w:p w14:paraId="7478E17C">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（11）勾调</w:t>
            </w:r>
          </w:p>
          <w:p w14:paraId="7713A403">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勾调过程为将经过过滤的原酒和纯水进行混合调配。由于每批的原酒度数有一定的差异和波动，每次不同批次的原酒在勾兑时均先制小样，小样勾调完成后，再进行大样勾兑和批量勾兑。勾调选择在储酒罐内进行，分别计量泵入过滤后的原酒和纯水。勾调完成后，由品酒师和色谱仪进行检测分析，是否合格，合格酒品可直接进行灌装/窖藏，不合格酒品再进行勾调。</w:t>
            </w:r>
          </w:p>
          <w:p w14:paraId="3D5F22B0">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（12）洗瓶、灌装、贴标及喷码</w:t>
            </w:r>
          </w:p>
          <w:p w14:paraId="6F54EACD">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将购进的玻璃酒瓶分批次放入</w:t>
            </w:r>
            <w:r>
              <w:rPr>
                <w:rFonts w:hint="eastAsia"/>
                <w:color w:val="000000" w:themeColor="text1"/>
                <w:kern w:val="0"/>
                <w:sz w:val="24"/>
                <w14:textFill>
                  <w14:solidFill>
                    <w14:schemeClr w14:val="tx1"/>
                  </w14:solidFill>
                </w14:textFill>
              </w:rPr>
              <w:t>灌装线</w:t>
            </w:r>
            <w:r>
              <w:rPr>
                <w:color w:val="000000" w:themeColor="text1"/>
                <w:kern w:val="0"/>
                <w:sz w:val="24"/>
                <w14:textFill>
                  <w14:solidFill>
                    <w14:schemeClr w14:val="tx1"/>
                  </w14:solidFill>
                </w14:textFill>
              </w:rPr>
              <w:t>中进行自动清洗。酒瓶清洗采用纯水进行清洗；清洗不添加清洗剂，清洗废水较洁净，清洗后玻瓶经过</w:t>
            </w:r>
            <w:r>
              <w:rPr>
                <w:rFonts w:hint="eastAsia"/>
                <w:color w:val="000000" w:themeColor="text1"/>
                <w:kern w:val="0"/>
                <w:sz w:val="24"/>
                <w14:textFill>
                  <w14:solidFill>
                    <w14:schemeClr w14:val="tx1"/>
                  </w14:solidFill>
                </w14:textFill>
              </w:rPr>
              <w:t>灌装线</w:t>
            </w:r>
            <w:r>
              <w:rPr>
                <w:color w:val="000000" w:themeColor="text1"/>
                <w:kern w:val="0"/>
                <w:sz w:val="24"/>
                <w14:textFill>
                  <w14:solidFill>
                    <w14:schemeClr w14:val="tx1"/>
                  </w14:solidFill>
                </w14:textFill>
              </w:rPr>
              <w:t>倒放设施晾干，以待灌装。</w:t>
            </w:r>
          </w:p>
          <w:p w14:paraId="3CD83EE3">
            <w:pPr>
              <w:tabs>
                <w:tab w:val="left" w:pos="1081"/>
              </w:tabs>
              <w:adjustRightInd w:val="0"/>
              <w:snapToGrid w:val="0"/>
              <w:spacing w:line="360" w:lineRule="auto"/>
              <w:ind w:firstLine="480" w:firstLineChars="200"/>
              <w:rPr>
                <w:b/>
                <w:color w:val="000000" w:themeColor="text1"/>
                <w:kern w:val="52"/>
                <w:sz w:val="24"/>
                <w14:textFill>
                  <w14:solidFill>
                    <w14:schemeClr w14:val="tx1"/>
                  </w14:solidFill>
                </w14:textFill>
              </w:rPr>
            </w:pPr>
            <w:r>
              <w:rPr>
                <w:color w:val="000000" w:themeColor="text1"/>
                <w:kern w:val="0"/>
                <w:sz w:val="24"/>
                <w14:textFill>
                  <w14:solidFill>
                    <w14:schemeClr w14:val="tx1"/>
                  </w14:solidFill>
                </w14:textFill>
              </w:rPr>
              <w:t>勾调后的酒液采用泵通过管道输送至</w:t>
            </w:r>
            <w:r>
              <w:rPr>
                <w:rFonts w:hint="eastAsia"/>
                <w:color w:val="000000" w:themeColor="text1"/>
                <w:kern w:val="0"/>
                <w:sz w:val="24"/>
                <w14:textFill>
                  <w14:solidFill>
                    <w14:schemeClr w14:val="tx1"/>
                  </w14:solidFill>
                </w14:textFill>
              </w:rPr>
              <w:t>储酒罐</w:t>
            </w:r>
            <w:r>
              <w:rPr>
                <w:color w:val="000000" w:themeColor="text1"/>
                <w:kern w:val="0"/>
                <w:sz w:val="24"/>
                <w14:textFill>
                  <w14:solidFill>
                    <w14:schemeClr w14:val="tx1"/>
                  </w14:solidFill>
                </w14:textFill>
              </w:rPr>
              <w:t>中转。通过灌装</w:t>
            </w:r>
            <w:r>
              <w:rPr>
                <w:rFonts w:hint="eastAsia"/>
                <w:color w:val="000000" w:themeColor="text1"/>
                <w:kern w:val="0"/>
                <w:sz w:val="24"/>
                <w14:textFill>
                  <w14:solidFill>
                    <w14:schemeClr w14:val="tx1"/>
                  </w14:solidFill>
                </w14:textFill>
              </w:rPr>
              <w:t>线</w:t>
            </w:r>
            <w:r>
              <w:rPr>
                <w:color w:val="000000" w:themeColor="text1"/>
                <w:kern w:val="0"/>
                <w:sz w:val="24"/>
                <w14:textFill>
                  <w14:solidFill>
                    <w14:schemeClr w14:val="tx1"/>
                  </w14:solidFill>
                </w14:textFill>
              </w:rPr>
              <w:t>灌装由输送带输送过来的洁净空瓶，灌装后通过</w:t>
            </w:r>
            <w:r>
              <w:rPr>
                <w:rFonts w:hint="eastAsia"/>
                <w:color w:val="000000" w:themeColor="text1"/>
                <w:kern w:val="0"/>
                <w:sz w:val="24"/>
                <w14:textFill>
                  <w14:solidFill>
                    <w14:schemeClr w14:val="tx1"/>
                  </w14:solidFill>
                </w14:textFill>
              </w:rPr>
              <w:t>灌装线</w:t>
            </w:r>
            <w:r>
              <w:rPr>
                <w:color w:val="000000" w:themeColor="text1"/>
                <w:kern w:val="0"/>
                <w:sz w:val="24"/>
                <w14:textFill>
                  <w14:solidFill>
                    <w14:schemeClr w14:val="tx1"/>
                  </w14:solidFill>
                </w14:textFill>
              </w:rPr>
              <w:t>进行压盖封口，经灯检箱灯检后再通过</w:t>
            </w:r>
            <w:r>
              <w:rPr>
                <w:rFonts w:hint="eastAsia"/>
                <w:color w:val="000000" w:themeColor="text1"/>
                <w:kern w:val="0"/>
                <w:sz w:val="24"/>
                <w14:textFill>
                  <w14:solidFill>
                    <w14:schemeClr w14:val="tx1"/>
                  </w14:solidFill>
                </w14:textFill>
              </w:rPr>
              <w:t>贴标、</w:t>
            </w:r>
            <w:r>
              <w:rPr>
                <w:color w:val="000000" w:themeColor="text1"/>
                <w:kern w:val="0"/>
                <w:sz w:val="24"/>
                <w14:textFill>
                  <w14:solidFill>
                    <w14:schemeClr w14:val="tx1"/>
                  </w14:solidFill>
                </w14:textFill>
              </w:rPr>
              <w:t>激光喷码，最终产品包装入库</w:t>
            </w:r>
            <w:r>
              <w:rPr>
                <w:rFonts w:hint="eastAsia"/>
                <w:color w:val="000000" w:themeColor="text1"/>
                <w:kern w:val="0"/>
                <w:sz w:val="24"/>
                <w14:textFill>
                  <w14:solidFill>
                    <w14:schemeClr w14:val="tx1"/>
                  </w14:solidFill>
                </w14:textFill>
              </w:rPr>
              <w:t>；</w:t>
            </w:r>
            <w:r>
              <w:rPr>
                <w:rFonts w:hint="eastAsia"/>
                <w:bCs/>
                <w:color w:val="000000" w:themeColor="text1"/>
                <w:sz w:val="24"/>
                <w14:textFill>
                  <w14:solidFill>
                    <w14:schemeClr w14:val="tx1"/>
                  </w14:solidFill>
                </w14:textFill>
              </w:rPr>
              <w:t>此工序会产生废水</w:t>
            </w:r>
            <w:r>
              <w:rPr>
                <w:color w:val="000000" w:themeColor="text1"/>
                <w:kern w:val="0"/>
                <w:sz w:val="24"/>
                <w14:textFill>
                  <w14:solidFill>
                    <w14:schemeClr w14:val="tx1"/>
                  </w14:solidFill>
                </w14:textFill>
              </w:rPr>
              <w:t>。</w:t>
            </w:r>
          </w:p>
        </w:tc>
      </w:tr>
    </w:tbl>
    <w:p w14:paraId="283E235A">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5"/>
        <w:tblW w:w="498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52"/>
        <w:gridCol w:w="13679"/>
      </w:tblGrid>
      <w:tr w14:paraId="72F9AC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0" w:type="pct"/>
            <w:vAlign w:val="center"/>
          </w:tcPr>
          <w:p w14:paraId="5EBDE51F">
            <w:pPr>
              <w:pStyle w:val="21"/>
              <w:adjustRightInd w:val="0"/>
              <w:snapToGrid w:val="0"/>
              <w:spacing w:before="0" w:beforeAutospacing="0" w:after="0" w:afterAutospacing="0"/>
              <w:jc w:val="center"/>
              <w:rPr>
                <w:rFonts w:ascii="Times New Roman" w:hAnsi="Times New Roman"/>
                <w:color w:val="000000" w:themeColor="text1"/>
                <w:szCs w:val="24"/>
                <w14:textFill>
                  <w14:solidFill>
                    <w14:schemeClr w14:val="tx1"/>
                  </w14:solidFill>
                </w14:textFill>
              </w:rPr>
            </w:pPr>
          </w:p>
        </w:tc>
        <w:tc>
          <w:tcPr>
            <w:tcW w:w="4839" w:type="pct"/>
          </w:tcPr>
          <w:p w14:paraId="2580923F">
            <w:pPr>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sz w:val="24"/>
                <w14:textFill>
                  <w14:solidFill>
                    <w14:schemeClr w14:val="tx1"/>
                  </w14:solidFill>
                </w14:textFill>
              </w:rPr>
              <w:t>1.1.2 黄酒</w:t>
            </w:r>
            <w:r>
              <w:rPr>
                <w:color w:val="000000" w:themeColor="text1"/>
                <w:kern w:val="52"/>
                <w:sz w:val="24"/>
                <w14:textFill>
                  <w14:solidFill>
                    <w14:schemeClr w14:val="tx1"/>
                  </w14:solidFill>
                </w14:textFill>
              </w:rPr>
              <w:t>生产工艺流程及产污环节图</w:t>
            </w:r>
          </w:p>
          <w:p w14:paraId="05A25DB2">
            <w:pPr>
              <w:tabs>
                <w:tab w:val="left" w:pos="1081"/>
              </w:tabs>
              <w:adjustRightInd w:val="0"/>
              <w:snapToGrid w:val="0"/>
              <w:spacing w:line="360" w:lineRule="auto"/>
              <w:jc w:val="center"/>
              <w:rPr>
                <w:color w:val="000000" w:themeColor="text1"/>
                <w:kern w:val="0"/>
                <w:sz w:val="24"/>
                <w14:textFill>
                  <w14:solidFill>
                    <w14:schemeClr w14:val="tx1"/>
                  </w14:solidFill>
                </w14:textFill>
              </w:rPr>
            </w:pPr>
            <w:r>
              <w:rPr>
                <w:color w:val="000000" w:themeColor="text1"/>
                <w14:textFill>
                  <w14:solidFill>
                    <w14:schemeClr w14:val="tx1"/>
                  </w14:solidFill>
                </w14:textFill>
              </w:rPr>
              <w:drawing>
                <wp:inline distT="0" distB="0" distL="0" distR="0">
                  <wp:extent cx="7800975" cy="2947035"/>
                  <wp:effectExtent l="0" t="0" r="9525" b="5715"/>
                  <wp:docPr id="1042" name="图片 16"/>
                  <wp:cNvGraphicFramePr/>
                  <a:graphic xmlns:a="http://schemas.openxmlformats.org/drawingml/2006/main">
                    <a:graphicData uri="http://schemas.openxmlformats.org/drawingml/2006/picture">
                      <pic:pic xmlns:pic="http://schemas.openxmlformats.org/drawingml/2006/picture">
                        <pic:nvPicPr>
                          <pic:cNvPr id="1042" name="图片 16"/>
                          <pic:cNvPicPr/>
                        </pic:nvPicPr>
                        <pic:blipFill>
                          <a:blip r:embed="rId33" cstate="print"/>
                          <a:srcRect/>
                          <a:stretch>
                            <a:fillRect/>
                          </a:stretch>
                        </pic:blipFill>
                        <pic:spPr>
                          <a:xfrm>
                            <a:off x="0" y="0"/>
                            <a:ext cx="7800975" cy="2947035"/>
                          </a:xfrm>
                          <a:prstGeom prst="rect">
                            <a:avLst/>
                          </a:prstGeom>
                          <a:ln>
                            <a:noFill/>
                          </a:ln>
                        </pic:spPr>
                      </pic:pic>
                    </a:graphicData>
                  </a:graphic>
                </wp:inline>
              </w:drawing>
            </w:r>
          </w:p>
          <w:p w14:paraId="6A3ADF0A">
            <w:pPr>
              <w:tabs>
                <w:tab w:val="left" w:pos="1081"/>
              </w:tabs>
              <w:adjustRightInd w:val="0"/>
              <w:snapToGrid w:val="0"/>
              <w:spacing w:line="360" w:lineRule="auto"/>
              <w:jc w:val="center"/>
              <w:rPr>
                <w:b/>
                <w:color w:val="000000" w:themeColor="text1"/>
                <w:kern w:val="52"/>
                <w:sz w:val="24"/>
                <w14:textFill>
                  <w14:solidFill>
                    <w14:schemeClr w14:val="tx1"/>
                  </w14:solidFill>
                </w14:textFill>
              </w:rPr>
            </w:pPr>
            <w:r>
              <w:rPr>
                <w:b/>
                <w:color w:val="000000" w:themeColor="text1"/>
                <w:kern w:val="52"/>
                <w:sz w:val="24"/>
                <w14:textFill>
                  <w14:solidFill>
                    <w14:schemeClr w14:val="tx1"/>
                  </w14:solidFill>
                </w14:textFill>
              </w:rPr>
              <w:t>图2-</w:t>
            </w:r>
            <w:r>
              <w:rPr>
                <w:rFonts w:hint="eastAsia"/>
                <w:b/>
                <w:color w:val="000000" w:themeColor="text1"/>
                <w:kern w:val="52"/>
                <w:sz w:val="24"/>
                <w14:textFill>
                  <w14:solidFill>
                    <w14:schemeClr w14:val="tx1"/>
                  </w14:solidFill>
                </w14:textFill>
              </w:rPr>
              <w:t>16  黄酒</w:t>
            </w:r>
            <w:r>
              <w:rPr>
                <w:b/>
                <w:color w:val="000000" w:themeColor="text1"/>
                <w:kern w:val="52"/>
                <w:sz w:val="24"/>
                <w14:textFill>
                  <w14:solidFill>
                    <w14:schemeClr w14:val="tx1"/>
                  </w14:solidFill>
                </w14:textFill>
              </w:rPr>
              <w:t>生产工艺流程及产污环节图</w:t>
            </w:r>
          </w:p>
          <w:p w14:paraId="5623E409">
            <w:pPr>
              <w:tabs>
                <w:tab w:val="left" w:pos="1081"/>
              </w:tabs>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0D330030">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（1）浸米</w:t>
            </w:r>
          </w:p>
          <w:p w14:paraId="5CE86648">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本项目采购的糯米</w:t>
            </w:r>
            <w:r>
              <w:rPr>
                <w:rStyle w:val="30"/>
                <w:color w:val="000000" w:themeColor="text1"/>
                <w:sz w:val="24"/>
                <w:szCs w:val="24"/>
                <w14:textFill>
                  <w14:solidFill>
                    <w14:schemeClr w14:val="tx1"/>
                  </w14:solidFill>
                </w14:textFill>
              </w:rPr>
              <w:t>、小米</w:t>
            </w:r>
            <w:r>
              <w:rPr>
                <w:bCs/>
                <w:color w:val="000000" w:themeColor="text1"/>
                <w:sz w:val="24"/>
                <w14:textFill>
                  <w14:solidFill>
                    <w14:schemeClr w14:val="tx1"/>
                  </w14:solidFill>
                </w14:textFill>
              </w:rPr>
              <w:t>质量较好，无需洗米，可直接用于浸泡。将糯米放进浸米缸中，加入重量约1.0倍糯米</w:t>
            </w:r>
            <w:r>
              <w:rPr>
                <w:rFonts w:hint="eastAsia"/>
                <w:bCs/>
                <w:color w:val="000000" w:themeColor="text1"/>
                <w:sz w:val="24"/>
                <w14:textFill>
                  <w14:solidFill>
                    <w14:schemeClr w14:val="tx1"/>
                  </w14:solidFill>
                </w14:textFill>
              </w:rPr>
              <w:t>、小米</w:t>
            </w:r>
            <w:r>
              <w:rPr>
                <w:bCs/>
                <w:color w:val="000000" w:themeColor="text1"/>
                <w:sz w:val="24"/>
                <w14:textFill>
                  <w14:solidFill>
                    <w14:schemeClr w14:val="tx1"/>
                  </w14:solidFill>
                </w14:textFill>
              </w:rPr>
              <w:t>的水，搅动糯米</w:t>
            </w:r>
            <w:r>
              <w:rPr>
                <w:rFonts w:hint="eastAsia"/>
                <w:bCs/>
                <w:color w:val="000000" w:themeColor="text1"/>
                <w:sz w:val="24"/>
                <w14:textFill>
                  <w14:solidFill>
                    <w14:schemeClr w14:val="tx1"/>
                  </w14:solidFill>
                </w14:textFill>
              </w:rPr>
              <w:t>、小米</w:t>
            </w:r>
            <w:r>
              <w:rPr>
                <w:bCs/>
                <w:color w:val="000000" w:themeColor="text1"/>
                <w:sz w:val="24"/>
                <w14:textFill>
                  <w14:solidFill>
                    <w14:schemeClr w14:val="tx1"/>
                  </w14:solidFill>
                </w14:textFill>
              </w:rPr>
              <w:t>，浸米时长为18~24h。</w:t>
            </w:r>
            <w:r>
              <w:rPr>
                <w:color w:val="000000" w:themeColor="text1"/>
                <w:kern w:val="0"/>
                <w:sz w:val="24"/>
                <w14:textFill>
                  <w14:solidFill>
                    <w14:schemeClr w14:val="tx1"/>
                  </w14:solidFill>
                </w14:textFill>
              </w:rPr>
              <w:t>浸米的目的主要为：浸米使米吸水膨胀，节约蒸煮工序时长；且该工序依靠浆水中乳酸菌生长，产生微酸浆水环境，让米粒吸收，可抑制产酸细菌的繁殖，防止酒水酸败。浸米缸浸米量约50kg/缸</w:t>
            </w:r>
            <w:r>
              <w:rPr>
                <w:rFonts w:hint="eastAsia"/>
                <w:color w:val="000000" w:themeColor="text1"/>
                <w:kern w:val="0"/>
                <w:sz w:val="24"/>
                <w14:textFill>
                  <w14:solidFill>
                    <w14:schemeClr w14:val="tx1"/>
                  </w14:solidFill>
                </w14:textFill>
              </w:rPr>
              <w:t>；浸米水和原料一起进入蒸煮工序</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此工序会产生投料粉尘</w:t>
            </w:r>
          </w:p>
          <w:p w14:paraId="0D3AD7C1">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（2）蒸煮</w:t>
            </w:r>
          </w:p>
          <w:p w14:paraId="3CDB6506">
            <w:pPr>
              <w:pStyle w:val="9"/>
              <w:spacing w:before="0" w:after="0" w:line="360" w:lineRule="auto"/>
              <w:ind w:right="0" w:firstLine="480" w:firstLineChars="200"/>
              <w:rPr>
                <w:bCs/>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将浸米</w:t>
            </w:r>
            <w:r>
              <w:rPr>
                <w:rFonts w:hint="eastAsia"/>
                <w:color w:val="000000" w:themeColor="text1"/>
                <w:sz w:val="24"/>
                <w:szCs w:val="24"/>
                <w14:textFill>
                  <w14:solidFill>
                    <w14:schemeClr w14:val="tx1"/>
                  </w14:solidFill>
                </w14:textFill>
              </w:rPr>
              <w:t>缸</w:t>
            </w:r>
            <w:r>
              <w:rPr>
                <w:color w:val="000000" w:themeColor="text1"/>
                <w:sz w:val="24"/>
                <w:szCs w:val="24"/>
                <w14:textFill>
                  <w14:solidFill>
                    <w14:schemeClr w14:val="tx1"/>
                  </w14:solidFill>
                </w14:textFill>
              </w:rPr>
              <w:t>中的吸水后的原料分别采用铲子人工铲至蒸</w:t>
            </w:r>
            <w:r>
              <w:rPr>
                <w:rFonts w:hint="eastAsia"/>
                <w:color w:val="000000" w:themeColor="text1"/>
                <w:sz w:val="24"/>
                <w:szCs w:val="24"/>
                <w14:textFill>
                  <w14:solidFill>
                    <w14:schemeClr w14:val="tx1"/>
                  </w14:solidFill>
                </w14:textFill>
              </w:rPr>
              <w:t>米</w:t>
            </w:r>
            <w:r>
              <w:rPr>
                <w:color w:val="000000" w:themeColor="text1"/>
                <w:sz w:val="24"/>
                <w:szCs w:val="24"/>
                <w14:textFill>
                  <w14:solidFill>
                    <w14:schemeClr w14:val="tx1"/>
                  </w14:solidFill>
                </w14:textFill>
              </w:rPr>
              <w:t>机配套的托盘中，然后放入蒸</w:t>
            </w:r>
            <w:r>
              <w:rPr>
                <w:rFonts w:hint="eastAsia"/>
                <w:color w:val="000000" w:themeColor="text1"/>
                <w:sz w:val="24"/>
                <w:szCs w:val="24"/>
                <w14:textFill>
                  <w14:solidFill>
                    <w14:schemeClr w14:val="tx1"/>
                  </w14:solidFill>
                </w14:textFill>
              </w:rPr>
              <w:t>米</w:t>
            </w:r>
            <w:r>
              <w:rPr>
                <w:color w:val="000000" w:themeColor="text1"/>
                <w:sz w:val="24"/>
                <w:szCs w:val="24"/>
                <w14:textFill>
                  <w14:solidFill>
                    <w14:schemeClr w14:val="tx1"/>
                  </w14:solidFill>
                </w14:textFill>
              </w:rPr>
              <w:t>机中进行蒸煮。此步骤不需另加水，</w:t>
            </w:r>
          </w:p>
        </w:tc>
      </w:tr>
    </w:tbl>
    <w:p w14:paraId="14265672">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5"/>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9508"/>
      </w:tblGrid>
      <w:tr w14:paraId="2781FE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3" w:type="pct"/>
            <w:vAlign w:val="center"/>
          </w:tcPr>
          <w:p w14:paraId="3B1C68B9">
            <w:pPr>
              <w:pStyle w:val="21"/>
              <w:adjustRightInd w:val="0"/>
              <w:snapToGrid w:val="0"/>
              <w:spacing w:before="0" w:beforeAutospacing="0" w:after="0" w:afterAutospacing="0"/>
              <w:jc w:val="center"/>
              <w:rPr>
                <w:rFonts w:ascii="Times New Roman" w:hAnsi="Times New Roman"/>
                <w:color w:val="000000" w:themeColor="text1"/>
                <w:szCs w:val="24"/>
                <w14:textFill>
                  <w14:solidFill>
                    <w14:schemeClr w14:val="tx1"/>
                  </w14:solidFill>
                </w14:textFill>
              </w:rPr>
            </w:pPr>
          </w:p>
        </w:tc>
        <w:tc>
          <w:tcPr>
            <w:tcW w:w="4776" w:type="pct"/>
          </w:tcPr>
          <w:p w14:paraId="6DB6DC7C">
            <w:pPr>
              <w:tabs>
                <w:tab w:val="left" w:pos="1081"/>
              </w:tabs>
              <w:adjustRightInd w:val="0"/>
              <w:snapToGrid w:val="0"/>
              <w:spacing w:line="360" w:lineRule="auto"/>
              <w:rPr>
                <w:color w:val="000000" w:themeColor="text1"/>
                <w:sz w:val="24"/>
                <w14:textFill>
                  <w14:solidFill>
                    <w14:schemeClr w14:val="tx1"/>
                  </w14:solidFill>
                </w14:textFill>
              </w:rPr>
            </w:pPr>
            <w:r>
              <w:rPr>
                <w:color w:val="000000" w:themeColor="text1"/>
                <w:sz w:val="24"/>
                <w14:textFill>
                  <w14:solidFill>
                    <w14:schemeClr w14:val="tx1"/>
                  </w14:solidFill>
                </w14:textFill>
              </w:rPr>
              <w:t>蒸饭热源为蒸汽。火力大小按照前缓、中急、后慢的原则，及时的用手铲铲锅及底部，防止部分碳化。蒸煮目的是为了使淀粉糊化，有利于发酵菌的生长，易受淀粉酶作用。蒸煮量</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0kg/批次。蒸饭时间为</w:t>
            </w:r>
            <w:r>
              <w:rPr>
                <w:rFonts w:hint="eastAsia"/>
                <w:color w:val="000000" w:themeColor="text1"/>
                <w:sz w:val="24"/>
                <w14:textFill>
                  <w14:solidFill>
                    <w14:schemeClr w14:val="tx1"/>
                  </w14:solidFill>
                </w14:textFill>
              </w:rPr>
              <w:t>20</w:t>
            </w:r>
            <w:r>
              <w:rPr>
                <w:color w:val="000000" w:themeColor="text1"/>
                <w:sz w:val="24"/>
                <w14:textFill>
                  <w14:solidFill>
                    <w14:schemeClr w14:val="tx1"/>
                  </w14:solidFill>
                </w14:textFill>
              </w:rPr>
              <w:t>min左右。糊化好的米应呈红棕色、无生团、无积米、外硬内软、熟而不烂。</w:t>
            </w:r>
          </w:p>
          <w:p w14:paraId="69E98AA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摊晾、拌曲</w:t>
            </w:r>
          </w:p>
          <w:p w14:paraId="39916807">
            <w:pPr>
              <w:pStyle w:val="9"/>
              <w:spacing w:before="0" w:after="0" w:line="360" w:lineRule="auto"/>
              <w:ind w:right="0"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摊晾就是人工采用铁</w:t>
            </w:r>
            <w:r>
              <w:rPr>
                <w:rFonts w:hint="eastAsia"/>
                <w:color w:val="000000" w:themeColor="text1"/>
                <w:sz w:val="24"/>
                <w:szCs w:val="24"/>
                <w14:textFill>
                  <w14:solidFill>
                    <w14:schemeClr w14:val="tx1"/>
                  </w14:solidFill>
                </w14:textFill>
              </w:rPr>
              <w:t>铲</w:t>
            </w:r>
            <w:r>
              <w:rPr>
                <w:color w:val="000000" w:themeColor="text1"/>
                <w:sz w:val="24"/>
                <w:szCs w:val="24"/>
                <w14:textFill>
                  <w14:solidFill>
                    <w14:schemeClr w14:val="tx1"/>
                  </w14:solidFill>
                </w14:textFill>
              </w:rPr>
              <w:t>把蒸</w:t>
            </w:r>
            <w:r>
              <w:rPr>
                <w:rFonts w:hint="eastAsia"/>
                <w:color w:val="000000" w:themeColor="text1"/>
                <w:sz w:val="24"/>
                <w:szCs w:val="24"/>
                <w14:textFill>
                  <w14:solidFill>
                    <w14:schemeClr w14:val="tx1"/>
                  </w14:solidFill>
                </w14:textFill>
              </w:rPr>
              <w:t>米</w:t>
            </w:r>
            <w:r>
              <w:rPr>
                <w:color w:val="000000" w:themeColor="text1"/>
                <w:sz w:val="24"/>
                <w:szCs w:val="24"/>
                <w14:textFill>
                  <w14:solidFill>
                    <w14:schemeClr w14:val="tx1"/>
                  </w14:solidFill>
                </w14:textFill>
              </w:rPr>
              <w:t>机内蒸好的糯米米粒分别摊到食品级不锈钢晾床上进行摊晾，晾床配套风扇，使米粒温度快速降低，用温度计测量，达到加曲温度；然后向摊晾后的米粒内加入外购酒曲粉，采用人工铁铲拌合，翻拌均匀。</w:t>
            </w:r>
          </w:p>
          <w:p w14:paraId="220488EE">
            <w:pPr>
              <w:pStyle w:val="9"/>
              <w:spacing w:before="0" w:after="0" w:line="360" w:lineRule="auto"/>
              <w:ind w:right="0"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（4）发酵</w:t>
            </w:r>
          </w:p>
          <w:p w14:paraId="6F25BB07">
            <w:pPr>
              <w:pStyle w:val="9"/>
              <w:spacing w:before="0" w:after="0" w:line="360" w:lineRule="auto"/>
              <w:ind w:right="0"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发酵工艺直接将所有物料人工采用铁锨铲装倒入前发酵罐中，并按照0.8：1比例加水后进行发酵。发酵分为前发酵和后发酵，分别在前发酵罐和后发酵罐内进行。前发酵时间约为一周左右，后发酵时间约为</w:t>
            </w:r>
            <w:r>
              <w:rPr>
                <w:rFonts w:hint="eastAsia"/>
                <w:color w:val="000000" w:themeColor="text1"/>
                <w:sz w:val="24"/>
                <w:lang w:val="en-US" w:eastAsia="zh-CN"/>
                <w14:textFill>
                  <w14:solidFill>
                    <w14:schemeClr w14:val="tx1"/>
                  </w14:solidFill>
                </w14:textFill>
              </w:rPr>
              <w:t>25</w:t>
            </w:r>
            <w:r>
              <w:rPr>
                <w:rFonts w:hint="eastAsia"/>
                <w:bCs/>
                <w:color w:val="000000" w:themeColor="text1"/>
                <w14:textFill>
                  <w14:solidFill>
                    <w14:schemeClr w14:val="tx1"/>
                  </w14:solidFill>
                </w14:textFill>
              </w:rPr>
              <w:t>～</w:t>
            </w:r>
            <w:r>
              <w:rPr>
                <w:rFonts w:hint="eastAsia"/>
                <w:color w:val="000000" w:themeColor="text1"/>
                <w:sz w:val="24"/>
                <w:lang w:val="en-US" w:eastAsia="zh-CN"/>
                <w14:textFill>
                  <w14:solidFill>
                    <w14:schemeClr w14:val="tx1"/>
                  </w14:solidFill>
                </w14:textFill>
              </w:rPr>
              <w:t>28</w:t>
            </w:r>
            <w:r>
              <w:rPr>
                <w:color w:val="000000" w:themeColor="text1"/>
                <w:sz w:val="24"/>
                <w14:textFill>
                  <w14:solidFill>
                    <w14:schemeClr w14:val="tx1"/>
                  </w14:solidFill>
                </w14:textFill>
              </w:rPr>
              <w:t>d</w:t>
            </w:r>
            <w:r>
              <w:rPr>
                <w:color w:val="000000" w:themeColor="text1"/>
                <w:sz w:val="24"/>
                <w14:textFill>
                  <w14:solidFill>
                    <w14:schemeClr w14:val="tx1"/>
                  </w14:solidFill>
                </w14:textFill>
              </w:rPr>
              <w:t>。前发酵温度控制在30℃以下，后发酵温度控制20±2℃左右。</w:t>
            </w:r>
          </w:p>
          <w:p w14:paraId="6880E1CC">
            <w:pPr>
              <w:pStyle w:val="9"/>
              <w:spacing w:before="0" w:after="0" w:line="360" w:lineRule="auto"/>
              <w:ind w:right="0" w:firstLine="480" w:firstLineChars="200"/>
              <w:rPr>
                <w:color w:val="000000" w:themeColor="text1"/>
                <w14:textFill>
                  <w14:solidFill>
                    <w14:schemeClr w14:val="tx1"/>
                  </w14:solidFill>
                </w14:textFill>
              </w:rPr>
            </w:pPr>
            <w:r>
              <w:rPr>
                <w:color w:val="000000" w:themeColor="text1"/>
                <w:sz w:val="24"/>
                <w14:textFill>
                  <w14:solidFill>
                    <w14:schemeClr w14:val="tx1"/>
                  </w14:solidFill>
                </w14:textFill>
              </w:rPr>
              <w:t>发酵的基本原理为</w:t>
            </w:r>
            <w:r>
              <w:rPr>
                <w:rFonts w:hint="eastAsia"/>
                <w:color w:val="000000" w:themeColor="text1"/>
                <w:sz w:val="24"/>
                <w14:textFill>
                  <w14:solidFill>
                    <w14:schemeClr w14:val="tx1"/>
                  </w14:solidFill>
                </w14:textFill>
              </w:rPr>
              <w:t>：米经蒸煮后，其中淀粉呈溶解状态即为“糊化”，经曲霉中糖化酶作用，成可发酵型糖；可发酵型糖在厌氧条件侠，经酵母细胞内的酒化酶作用，将糖分转化为酒精和二氧化碳；前者叫糖化，后者叫发酵，即黄酒的酿造过程，实际是边糖化边发酵的过程。相关反应方程式为：</w:t>
            </w:r>
          </w:p>
          <w:p w14:paraId="1DBB7061">
            <w:pPr>
              <w:pStyle w:val="44"/>
              <w:adjustRightInd/>
              <w:spacing w:line="360" w:lineRule="auto"/>
              <w:jc w:val="center"/>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C</w:t>
            </w:r>
            <w:r>
              <w:rPr>
                <w:rFonts w:hint="default" w:ascii="Times New Roman" w:hAnsi="Times New Roman"/>
                <w:color w:val="000000" w:themeColor="text1"/>
                <w:vertAlign w:val="subscript"/>
                <w14:textFill>
                  <w14:solidFill>
                    <w14:schemeClr w14:val="tx1"/>
                  </w14:solidFill>
                </w14:textFill>
              </w:rPr>
              <w:t>6</w:t>
            </w:r>
            <w:r>
              <w:rPr>
                <w:rFonts w:hint="default" w:ascii="Times New Roman" w:hAnsi="Times New Roman"/>
                <w:color w:val="000000" w:themeColor="text1"/>
                <w14:textFill>
                  <w14:solidFill>
                    <w14:schemeClr w14:val="tx1"/>
                  </w14:solidFill>
                </w14:textFill>
              </w:rPr>
              <w:t>H</w:t>
            </w:r>
            <w:r>
              <w:rPr>
                <w:rFonts w:hint="default" w:ascii="Times New Roman" w:hAnsi="Times New Roman"/>
                <w:color w:val="000000" w:themeColor="text1"/>
                <w:vertAlign w:val="subscript"/>
                <w14:textFill>
                  <w14:solidFill>
                    <w14:schemeClr w14:val="tx1"/>
                  </w14:solidFill>
                </w14:textFill>
              </w:rPr>
              <w:t>12</w:t>
            </w:r>
            <w:r>
              <w:rPr>
                <w:rFonts w:hint="default" w:ascii="Times New Roman" w:hAnsi="Times New Roman"/>
                <w:color w:val="000000" w:themeColor="text1"/>
                <w14:textFill>
                  <w14:solidFill>
                    <w14:schemeClr w14:val="tx1"/>
                  </w14:solidFill>
                </w14:textFill>
              </w:rPr>
              <w:t>O</w:t>
            </w:r>
            <w:r>
              <w:rPr>
                <w:rFonts w:hint="default" w:ascii="Times New Roman" w:hAnsi="Times New Roman"/>
                <w:color w:val="000000" w:themeColor="text1"/>
                <w:vertAlign w:val="subscript"/>
                <w14:textFill>
                  <w14:solidFill>
                    <w14:schemeClr w14:val="tx1"/>
                  </w14:solidFill>
                </w14:textFill>
              </w:rPr>
              <w:t>6</w:t>
            </w:r>
            <w:r>
              <w:rPr>
                <w:rFonts w:hint="default" w:ascii="Times New Roman" w:hAnsi="Times New Roman"/>
                <w:color w:val="000000" w:themeColor="text1"/>
                <w14:textFill>
                  <w14:solidFill>
                    <w14:schemeClr w14:val="tx1"/>
                  </w14:solidFill>
                </w14:textFill>
              </w:rPr>
              <w:t>→2C</w:t>
            </w:r>
            <w:r>
              <w:rPr>
                <w:rFonts w:hint="default" w:ascii="Times New Roman" w:hAnsi="Times New Roman"/>
                <w:color w:val="000000" w:themeColor="text1"/>
                <w:vertAlign w:val="subscript"/>
                <w14:textFill>
                  <w14:solidFill>
                    <w14:schemeClr w14:val="tx1"/>
                  </w14:solidFill>
                </w14:textFill>
              </w:rPr>
              <w:t>2</w:t>
            </w:r>
            <w:r>
              <w:rPr>
                <w:rFonts w:hint="default" w:ascii="Times New Roman" w:hAnsi="Times New Roman"/>
                <w:color w:val="000000" w:themeColor="text1"/>
                <w14:textFill>
                  <w14:solidFill>
                    <w14:schemeClr w14:val="tx1"/>
                  </w14:solidFill>
                </w14:textFill>
              </w:rPr>
              <w:t>H</w:t>
            </w:r>
            <w:r>
              <w:rPr>
                <w:rFonts w:hint="default" w:ascii="Times New Roman" w:hAnsi="Times New Roman"/>
                <w:color w:val="000000" w:themeColor="text1"/>
                <w:vertAlign w:val="subscript"/>
                <w14:textFill>
                  <w14:solidFill>
                    <w14:schemeClr w14:val="tx1"/>
                  </w14:solidFill>
                </w14:textFill>
              </w:rPr>
              <w:t>5</w:t>
            </w:r>
            <w:r>
              <w:rPr>
                <w:rFonts w:hint="default" w:ascii="Times New Roman" w:hAnsi="Times New Roman"/>
                <w:color w:val="000000" w:themeColor="text1"/>
                <w14:textFill>
                  <w14:solidFill>
                    <w14:schemeClr w14:val="tx1"/>
                  </w14:solidFill>
                </w14:textFill>
              </w:rPr>
              <w:t>OH+2CO</w:t>
            </w:r>
            <w:r>
              <w:rPr>
                <w:rFonts w:hint="default" w:ascii="Times New Roman" w:hAnsi="Times New Roman"/>
                <w:color w:val="000000" w:themeColor="text1"/>
                <w:vertAlign w:val="subscript"/>
                <w14:textFill>
                  <w14:solidFill>
                    <w14:schemeClr w14:val="tx1"/>
                  </w14:solidFill>
                </w14:textFill>
              </w:rPr>
              <w:t>2</w:t>
            </w:r>
            <w:r>
              <w:rPr>
                <w:rFonts w:hint="default" w:ascii="Times New Roman" w:hAnsi="Times New Roman"/>
                <w:color w:val="000000" w:themeColor="text1"/>
                <w14:textFill>
                  <w14:solidFill>
                    <w14:schemeClr w14:val="tx1"/>
                  </w14:solidFill>
                </w14:textFill>
              </w:rPr>
              <w:t>（g）</w:t>
            </w:r>
          </w:p>
          <w:p w14:paraId="40EEBDB3">
            <w:pPr>
              <w:pStyle w:val="44"/>
              <w:adjustRightInd/>
              <w:spacing w:line="360" w:lineRule="auto"/>
              <w:ind w:firstLine="480" w:firstLineChars="200"/>
              <w:jc w:val="both"/>
              <w:rPr>
                <w:rFonts w:hint="default" w:ascii="Times New Roman" w:hAnsi="Times New Roman"/>
                <w:color w:val="000000" w:themeColor="text1"/>
                <w14:textFill>
                  <w14:solidFill>
                    <w14:schemeClr w14:val="tx1"/>
                  </w14:solidFill>
                </w14:textFill>
              </w:rPr>
            </w:pPr>
            <w:r>
              <w:rPr>
                <w:rFonts w:hint="default" w:ascii="Times New Roman" w:hAnsi="Times New Roman"/>
                <w:color w:val="000000" w:themeColor="text1"/>
                <w14:textFill>
                  <w14:solidFill>
                    <w14:schemeClr w14:val="tx1"/>
                  </w14:solidFill>
                </w14:textFill>
              </w:rPr>
              <w:t>前发酵是黄酒的主发酵，由于开始各种原料充足，故曲霉、酵母菌生长旺盛，酒精产率较高，因此前发酵的主要目的是生成一定的酒精度。前发酵时间约为</w:t>
            </w:r>
            <w:r>
              <w:rPr>
                <w:rFonts w:ascii="Times New Roman" w:hAnsi="Times New Roman"/>
                <w:color w:val="000000" w:themeColor="text1"/>
                <w14:textFill>
                  <w14:solidFill>
                    <w14:schemeClr w14:val="tx1"/>
                  </w14:solidFill>
                </w14:textFill>
              </w:rPr>
              <w:t>1</w:t>
            </w:r>
            <w:r>
              <w:rPr>
                <w:rFonts w:hint="default" w:ascii="Times New Roman" w:hAnsi="Times New Roman"/>
                <w:color w:val="000000" w:themeColor="text1"/>
                <w14:textFill>
                  <w14:solidFill>
                    <w14:schemeClr w14:val="tx1"/>
                  </w14:solidFill>
                </w14:textFill>
              </w:rPr>
              <w:t>周左右，为敞口发酵。控制指标有酸度、酒精度、温度（约为20-32℃）等，发酵过程中部分原料会浮于液面，即醪盖，生产过程要及时扒开盖，即</w:t>
            </w:r>
            <w:r>
              <w:rPr>
                <w:rFonts w:ascii="Times New Roman" w:hAnsi="Times New Roman"/>
                <w:color w:val="000000" w:themeColor="text1"/>
                <w14:textFill>
                  <w14:solidFill>
                    <w14:schemeClr w14:val="tx1"/>
                  </w14:solidFill>
                </w14:textFill>
              </w:rPr>
              <w:t>“</w:t>
            </w:r>
            <w:r>
              <w:rPr>
                <w:rFonts w:hint="default" w:ascii="Times New Roman" w:hAnsi="Times New Roman"/>
                <w:color w:val="000000" w:themeColor="text1"/>
                <w14:textFill>
                  <w14:solidFill>
                    <w14:schemeClr w14:val="tx1"/>
                  </w14:solidFill>
                </w14:textFill>
              </w:rPr>
              <w:t>开耙</w:t>
            </w:r>
            <w:r>
              <w:rPr>
                <w:rFonts w:ascii="Times New Roman" w:hAnsi="Times New Roman"/>
                <w:color w:val="000000" w:themeColor="text1"/>
                <w14:textFill>
                  <w14:solidFill>
                    <w14:schemeClr w14:val="tx1"/>
                  </w14:solidFill>
                </w14:textFill>
              </w:rPr>
              <w:t>”</w:t>
            </w:r>
            <w:r>
              <w:rPr>
                <w:rFonts w:hint="default" w:ascii="Times New Roman" w:hAnsi="Times New Roman"/>
                <w:color w:val="000000" w:themeColor="text1"/>
                <w14:textFill>
                  <w14:solidFill>
                    <w14:schemeClr w14:val="tx1"/>
                  </w14:solidFill>
                </w14:textFill>
              </w:rPr>
              <w:t>，本项目采用通入无菌压缩空气开耙，开耙目的为：使醪盖下发酵过程产生的二氧化碳及时排出，保证酒水风味；通入新鲜空气，让酵母在有氧状态下，加速生长，使发酵旺盛，保证发酵质量；降低温度，保证酵母正常繁殖。由于发酵过程热量累积，使酒水温度较高，乙醇容易挥发。因此开耙过程会有乙醇逸出，产生乙醇废气。</w:t>
            </w:r>
          </w:p>
          <w:p w14:paraId="67157B91">
            <w:pPr>
              <w:pStyle w:val="44"/>
              <w:adjustRightInd/>
              <w:spacing w:line="360" w:lineRule="auto"/>
              <w:ind w:firstLine="480" w:firstLineChars="200"/>
              <w:jc w:val="both"/>
              <w:rPr>
                <w:rFonts w:hint="default"/>
                <w:color w:val="000000" w:themeColor="text1"/>
                <w14:textFill>
                  <w14:solidFill>
                    <w14:schemeClr w14:val="tx1"/>
                  </w14:solidFill>
                </w14:textFill>
              </w:rPr>
            </w:pPr>
            <w:r>
              <w:rPr>
                <w:color w:val="000000" w:themeColor="text1"/>
                <w14:textFill>
                  <w14:solidFill>
                    <w14:schemeClr w14:val="tx1"/>
                  </w14:solidFill>
                </w14:textFill>
              </w:rPr>
              <w:t>后发酵：后发酵为非敞口发酵，罐体设呼吸阀，前发酵醪液通过无菌压缩空气输入到后发酵罐。经过前发酵（主发酵）后，醪液中酒精度较高，但尚未达到标准，还有残余的淀粉和一部分糖分未转化，因此通过后发酵继续转化，提高酒精度。后发酵同前发酵一样，也需要开耙通气，控制温度（20℃左右）。后发酵产生乙醇废气。</w:t>
            </w:r>
          </w:p>
          <w:p w14:paraId="088F371C">
            <w:pPr>
              <w:autoSpaceDE w:val="0"/>
              <w:autoSpaceDN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（5）压滤</w:t>
            </w:r>
          </w:p>
          <w:p w14:paraId="50353D6E">
            <w:pPr>
              <w:autoSpaceDE w:val="0"/>
              <w:autoSpaceDN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发酵结束后，由泵将发酵酒醪泵入压滤机内进行压滤，进料需前缓，流酒的前部分混头接出回榨。压滤时间约1天，让酒自然流出，直到结束。压滤后分离的酒通过管道进入贮酒车间陈化；压滤后分离的酒糟综合利用。压滤机滤布定期清洗。此工序会产生滤布清洗废水。</w:t>
            </w:r>
          </w:p>
          <w:p w14:paraId="1FD05726">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（6）</w:t>
            </w:r>
            <w:r>
              <w:rPr>
                <w:color w:val="000000" w:themeColor="text1"/>
                <w:kern w:val="0"/>
                <w:sz w:val="24"/>
                <w14:textFill>
                  <w14:solidFill>
                    <w14:schemeClr w14:val="tx1"/>
                  </w14:solidFill>
                </w14:textFill>
              </w:rPr>
              <w:t>过滤</w:t>
            </w:r>
          </w:p>
          <w:p w14:paraId="0D709825">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压滤流出的酒液称为生酒，</w:t>
            </w:r>
            <w:r>
              <w:rPr>
                <w:rFonts w:hint="eastAsia"/>
                <w:color w:val="000000" w:themeColor="text1"/>
                <w:kern w:val="0"/>
                <w:sz w:val="24"/>
                <w:szCs w:val="20"/>
                <w14:textFill>
                  <w14:solidFill>
                    <w14:schemeClr w14:val="tx1"/>
                  </w14:solidFill>
                </w14:textFill>
              </w:rPr>
              <w:t>生酒通过管道接入硅藻土过滤机进行过滤，以去除酒中的异味和杂物，使酒液澄清。</w:t>
            </w:r>
            <w:r>
              <w:rPr>
                <w:color w:val="000000" w:themeColor="text1"/>
                <w:kern w:val="0"/>
                <w:sz w:val="24"/>
                <w14:textFill>
                  <w14:solidFill>
                    <w14:schemeClr w14:val="tx1"/>
                  </w14:solidFill>
                </w14:textFill>
              </w:rPr>
              <w:t>该工序会产生废硅藻土</w:t>
            </w:r>
            <w:r>
              <w:rPr>
                <w:rFonts w:hint="eastAsia"/>
                <w:color w:val="000000" w:themeColor="text1"/>
                <w:kern w:val="0"/>
                <w:sz w:val="24"/>
                <w14:textFill>
                  <w14:solidFill>
                    <w14:schemeClr w14:val="tx1"/>
                  </w14:solidFill>
                </w14:textFill>
              </w:rPr>
              <w:t>、过滤机清洗废水。</w:t>
            </w:r>
          </w:p>
          <w:p w14:paraId="4204072D">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（7）冷冻</w:t>
            </w:r>
          </w:p>
          <w:p w14:paraId="05D2CAC7">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过滤后的酒液通过管道接入冷冻罐内，酒液在冷冻罐内冷冻时间2d，冷冻过程中，冷冻罐温度控制4℃左右；冷冻罐使用的制冷剂为</w:t>
            </w:r>
            <w:r>
              <w:rPr>
                <w:rFonts w:hint="eastAsia"/>
                <w:color w:val="000000" w:themeColor="text1"/>
                <w:kern w:val="0"/>
                <w:sz w:val="24"/>
                <w14:textFill>
                  <w14:solidFill>
                    <w14:schemeClr w14:val="tx1"/>
                  </w14:solidFill>
                </w14:textFill>
              </w:rPr>
              <w:t>R404。</w:t>
            </w:r>
          </w:p>
          <w:p w14:paraId="5406DDAF">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（8）杀菌</w:t>
            </w:r>
          </w:p>
          <w:p w14:paraId="371977DD">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过滤后的酒液经过</w:t>
            </w:r>
            <w:r>
              <w:rPr>
                <w:rFonts w:hint="eastAsia"/>
                <w:color w:val="000000" w:themeColor="text1"/>
                <w:kern w:val="0"/>
                <w:sz w:val="24"/>
                <w14:textFill>
                  <w14:solidFill>
                    <w14:schemeClr w14:val="tx1"/>
                  </w14:solidFill>
                </w14:textFill>
              </w:rPr>
              <w:t>冷冻罐冷冻</w:t>
            </w:r>
            <w:r>
              <w:rPr>
                <w:color w:val="000000" w:themeColor="text1"/>
                <w:kern w:val="0"/>
                <w:sz w:val="24"/>
                <w14:textFill>
                  <w14:solidFill>
                    <w14:schemeClr w14:val="tx1"/>
                  </w14:solidFill>
                </w14:textFill>
              </w:rPr>
              <w:t>后</w:t>
            </w:r>
            <w:r>
              <w:rPr>
                <w:rFonts w:hint="eastAsia"/>
                <w:color w:val="000000" w:themeColor="text1"/>
                <w:kern w:val="0"/>
                <w:sz w:val="24"/>
                <w14:textFill>
                  <w14:solidFill>
                    <w14:schemeClr w14:val="tx1"/>
                  </w14:solidFill>
                </w14:textFill>
              </w:rPr>
              <w:t>通过管道进入高温杀菌机</w:t>
            </w:r>
            <w:r>
              <w:rPr>
                <w:color w:val="000000" w:themeColor="text1"/>
                <w:kern w:val="0"/>
                <w:sz w:val="24"/>
                <w14:textFill>
                  <w14:solidFill>
                    <w14:schemeClr w14:val="tx1"/>
                  </w14:solidFill>
                </w14:textFill>
              </w:rPr>
              <w:t>开始进行杀菌，灭菌采用蒸汽杀菌，品温在</w:t>
            </w:r>
            <w:r>
              <w:rPr>
                <w:rFonts w:hint="eastAsia"/>
                <w:color w:val="000000" w:themeColor="text1"/>
                <w:kern w:val="0"/>
                <w:sz w:val="24"/>
                <w14:textFill>
                  <w14:solidFill>
                    <w14:schemeClr w14:val="tx1"/>
                  </w14:solidFill>
                </w14:textFill>
              </w:rPr>
              <w:t>90</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左右</w:t>
            </w:r>
            <w:r>
              <w:rPr>
                <w:color w:val="000000" w:themeColor="text1"/>
                <w:kern w:val="0"/>
                <w:sz w:val="24"/>
                <w14:textFill>
                  <w14:solidFill>
                    <w14:schemeClr w14:val="tx1"/>
                  </w14:solidFill>
                </w14:textFill>
              </w:rPr>
              <w:t>，保温灭菌30min以上。经高温杀菌后的酒液</w:t>
            </w:r>
            <w:r>
              <w:rPr>
                <w:rFonts w:hint="eastAsia"/>
                <w:color w:val="000000" w:themeColor="text1"/>
                <w:kern w:val="0"/>
                <w:sz w:val="24"/>
                <w14:textFill>
                  <w14:solidFill>
                    <w14:schemeClr w14:val="tx1"/>
                  </w14:solidFill>
                </w14:textFill>
              </w:rPr>
              <w:t>再</w:t>
            </w:r>
            <w:r>
              <w:rPr>
                <w:color w:val="000000" w:themeColor="text1"/>
                <w:kern w:val="0"/>
                <w:sz w:val="24"/>
                <w14:textFill>
                  <w14:solidFill>
                    <w14:schemeClr w14:val="tx1"/>
                  </w14:solidFill>
                </w14:textFill>
              </w:rPr>
              <w:t>泵至贮酒罐内进行贮存</w:t>
            </w:r>
            <w:r>
              <w:rPr>
                <w:rFonts w:hint="eastAsia"/>
                <w:color w:val="000000" w:themeColor="text1"/>
                <w:kern w:val="0"/>
                <w:sz w:val="24"/>
                <w14:textFill>
                  <w14:solidFill>
                    <w14:schemeClr w14:val="tx1"/>
                  </w14:solidFill>
                </w14:textFill>
              </w:rPr>
              <w:t>；项目杀菌冷凝水回用于蒸汽发生器。</w:t>
            </w:r>
          </w:p>
          <w:p w14:paraId="6C386E03">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（9）灌装</w:t>
            </w:r>
          </w:p>
          <w:p w14:paraId="45EDB2E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将购进的玻璃酒瓶分批次放入灌装线中进行自动清洗。酒瓶清洗采用纯水进行清洗；清洗不添加清洗剂，清洗废水较洁净，清洗后玻瓶经过灌装线倒放设施晾干，以待灌装。</w:t>
            </w:r>
          </w:p>
          <w:p w14:paraId="71EDFE1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降度</w:t>
            </w:r>
            <w:r>
              <w:rPr>
                <w:color w:val="000000" w:themeColor="text1"/>
                <w:sz w:val="24"/>
                <w14:textFill>
                  <w14:solidFill>
                    <w14:schemeClr w14:val="tx1"/>
                  </w14:solidFill>
                </w14:textFill>
              </w:rPr>
              <w:t>后的酒液采用泵通过管道输送至储酒罐中转。通过灌装线灌装由输送带输送过来的洁净空瓶，灌装后通过灌装线进行压盖封口，经灯检箱灯检后进入包装车间再通过贴标、激光喷码，最终产品包装入库</w:t>
            </w:r>
            <w:r>
              <w:rPr>
                <w:rFonts w:hint="eastAsia"/>
                <w:color w:val="000000" w:themeColor="text1"/>
                <w:kern w:val="0"/>
                <w:sz w:val="24"/>
                <w14:textFill>
                  <w14:solidFill>
                    <w14:schemeClr w14:val="tx1"/>
                  </w14:solidFill>
                </w14:textFill>
              </w:rPr>
              <w:t>；</w:t>
            </w:r>
            <w:r>
              <w:rPr>
                <w:rFonts w:hint="eastAsia"/>
                <w:bCs/>
                <w:color w:val="000000" w:themeColor="text1"/>
                <w:sz w:val="24"/>
                <w14:textFill>
                  <w14:solidFill>
                    <w14:schemeClr w14:val="tx1"/>
                  </w14:solidFill>
                </w14:textFill>
              </w:rPr>
              <w:t>此工序会产生废水</w:t>
            </w:r>
            <w:r>
              <w:rPr>
                <w:color w:val="000000" w:themeColor="text1"/>
                <w:kern w:val="0"/>
                <w:sz w:val="24"/>
                <w14:textFill>
                  <w14:solidFill>
                    <w14:schemeClr w14:val="tx1"/>
                  </w14:solidFill>
                </w14:textFill>
              </w:rPr>
              <w:t>。</w:t>
            </w:r>
          </w:p>
        </w:tc>
      </w:tr>
    </w:tbl>
    <w:p w14:paraId="343AD2F5">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5"/>
        <w:tblW w:w="5072"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1"/>
        <w:gridCol w:w="13927"/>
      </w:tblGrid>
      <w:tr w14:paraId="373B06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7" w:type="pct"/>
            <w:vAlign w:val="center"/>
          </w:tcPr>
          <w:p w14:paraId="696C4DB3">
            <w:pPr>
              <w:pStyle w:val="21"/>
              <w:adjustRightInd w:val="0"/>
              <w:snapToGrid w:val="0"/>
              <w:spacing w:before="0" w:beforeAutospacing="0" w:after="0" w:afterAutospacing="0"/>
              <w:jc w:val="center"/>
              <w:rPr>
                <w:rFonts w:ascii="Times New Roman" w:hAnsi="Times New Roman"/>
                <w:color w:val="000000" w:themeColor="text1"/>
                <w:szCs w:val="24"/>
                <w14:textFill>
                  <w14:solidFill>
                    <w14:schemeClr w14:val="tx1"/>
                  </w14:solidFill>
                </w14:textFill>
              </w:rPr>
            </w:pPr>
          </w:p>
        </w:tc>
        <w:tc>
          <w:tcPr>
            <w:tcW w:w="4842" w:type="pct"/>
          </w:tcPr>
          <w:p w14:paraId="549B587B">
            <w:pPr>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sz w:val="24"/>
                <w14:textFill>
                  <w14:solidFill>
                    <w14:schemeClr w14:val="tx1"/>
                  </w14:solidFill>
                </w14:textFill>
              </w:rPr>
              <w:t>1.1.3 啤酒</w:t>
            </w:r>
            <w:r>
              <w:rPr>
                <w:color w:val="000000" w:themeColor="text1"/>
                <w:kern w:val="52"/>
                <w:sz w:val="24"/>
                <w14:textFill>
                  <w14:solidFill>
                    <w14:schemeClr w14:val="tx1"/>
                  </w14:solidFill>
                </w14:textFill>
              </w:rPr>
              <w:t>生产工艺流程及产污环节图</w:t>
            </w:r>
          </w:p>
          <w:p w14:paraId="36EEC0D1">
            <w:pPr>
              <w:tabs>
                <w:tab w:val="left" w:pos="1081"/>
              </w:tabs>
              <w:adjustRightInd w:val="0"/>
              <w:snapToGrid w:val="0"/>
              <w:spacing w:line="360" w:lineRule="auto"/>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8692515" cy="5365115"/>
                  <wp:effectExtent l="0" t="0" r="13334" b="6985"/>
                  <wp:docPr id="1043" name="图片 1"/>
                  <wp:cNvGraphicFramePr/>
                  <a:graphic xmlns:a="http://schemas.openxmlformats.org/drawingml/2006/main">
                    <a:graphicData uri="http://schemas.openxmlformats.org/drawingml/2006/picture">
                      <pic:pic xmlns:pic="http://schemas.openxmlformats.org/drawingml/2006/picture">
                        <pic:nvPicPr>
                          <pic:cNvPr id="1043" name="图片 1"/>
                          <pic:cNvPicPr/>
                        </pic:nvPicPr>
                        <pic:blipFill>
                          <a:blip r:embed="rId34" cstate="print"/>
                          <a:srcRect l="2194" r="2442"/>
                          <a:stretch>
                            <a:fillRect/>
                          </a:stretch>
                        </pic:blipFill>
                        <pic:spPr>
                          <a:xfrm>
                            <a:off x="0" y="0"/>
                            <a:ext cx="8692515" cy="5365115"/>
                          </a:xfrm>
                          <a:prstGeom prst="rect">
                            <a:avLst/>
                          </a:prstGeom>
                          <a:ln>
                            <a:noFill/>
                          </a:ln>
                        </pic:spPr>
                      </pic:pic>
                    </a:graphicData>
                  </a:graphic>
                </wp:inline>
              </w:drawing>
            </w:r>
          </w:p>
          <w:p w14:paraId="3AB0C970">
            <w:pPr>
              <w:tabs>
                <w:tab w:val="left" w:pos="1081"/>
              </w:tabs>
              <w:adjustRightInd w:val="0"/>
              <w:snapToGrid w:val="0"/>
              <w:spacing w:line="360" w:lineRule="auto"/>
              <w:jc w:val="center"/>
              <w:rPr>
                <w:color w:val="000000" w:themeColor="text1"/>
                <w14:textFill>
                  <w14:solidFill>
                    <w14:schemeClr w14:val="tx1"/>
                  </w14:solidFill>
                </w14:textFill>
              </w:rPr>
            </w:pPr>
            <w:r>
              <w:rPr>
                <w:b/>
                <w:color w:val="000000" w:themeColor="text1"/>
                <w:kern w:val="52"/>
                <w:sz w:val="24"/>
                <w14:textFill>
                  <w14:solidFill>
                    <w14:schemeClr w14:val="tx1"/>
                  </w14:solidFill>
                </w14:textFill>
              </w:rPr>
              <w:t>图2-</w:t>
            </w:r>
            <w:r>
              <w:rPr>
                <w:rFonts w:hint="eastAsia"/>
                <w:b/>
                <w:color w:val="000000" w:themeColor="text1"/>
                <w:kern w:val="52"/>
                <w:sz w:val="24"/>
                <w14:textFill>
                  <w14:solidFill>
                    <w14:schemeClr w14:val="tx1"/>
                  </w14:solidFill>
                </w14:textFill>
              </w:rPr>
              <w:t>17  啤酒</w:t>
            </w:r>
            <w:r>
              <w:rPr>
                <w:b/>
                <w:color w:val="000000" w:themeColor="text1"/>
                <w:kern w:val="52"/>
                <w:sz w:val="24"/>
                <w14:textFill>
                  <w14:solidFill>
                    <w14:schemeClr w14:val="tx1"/>
                  </w14:solidFill>
                </w14:textFill>
              </w:rPr>
              <w:t>生产工艺流程及产污环节图</w:t>
            </w:r>
          </w:p>
        </w:tc>
      </w:tr>
    </w:tbl>
    <w:p w14:paraId="7B3DE4CE">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5"/>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44"/>
        <w:gridCol w:w="9504"/>
      </w:tblGrid>
      <w:tr w14:paraId="03F611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3" w:hRule="atLeast"/>
          <w:jc w:val="center"/>
        </w:trPr>
        <w:tc>
          <w:tcPr>
            <w:tcW w:w="223" w:type="pct"/>
            <w:vAlign w:val="center"/>
          </w:tcPr>
          <w:p w14:paraId="5A89DFBF">
            <w:pPr>
              <w:pStyle w:val="21"/>
              <w:adjustRightInd w:val="0"/>
              <w:snapToGrid w:val="0"/>
              <w:spacing w:before="0" w:beforeAutospacing="0" w:after="0" w:afterAutospacing="0"/>
              <w:jc w:val="center"/>
              <w:rPr>
                <w:rFonts w:ascii="Times New Roman" w:hAnsi="Times New Roman"/>
                <w:color w:val="000000" w:themeColor="text1"/>
                <w:szCs w:val="24"/>
                <w14:textFill>
                  <w14:solidFill>
                    <w14:schemeClr w14:val="tx1"/>
                  </w14:solidFill>
                </w14:textFill>
              </w:rPr>
            </w:pPr>
          </w:p>
        </w:tc>
        <w:tc>
          <w:tcPr>
            <w:tcW w:w="4776" w:type="pct"/>
          </w:tcPr>
          <w:p w14:paraId="4D8A5097">
            <w:pPr>
              <w:tabs>
                <w:tab w:val="left" w:pos="1081"/>
              </w:tabs>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0F3C437A">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（1）原料</w:t>
            </w:r>
            <w:r>
              <w:rPr>
                <w:rFonts w:hint="eastAsia"/>
                <w:color w:val="000000" w:themeColor="text1"/>
                <w:kern w:val="0"/>
                <w:sz w:val="24"/>
                <w14:textFill>
                  <w14:solidFill>
                    <w14:schemeClr w14:val="tx1"/>
                  </w14:solidFill>
                </w14:textFill>
              </w:rPr>
              <w:t>处理</w:t>
            </w:r>
          </w:p>
          <w:p w14:paraId="4889CDE6">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原料麦芽、大米经汽车运至厂内后放置在原料库，原料麦芽、大米粉碎前加温水浸湿，保证粉水过程中麦芽皮</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破而不碎</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有利于蛋白质分解和糖分的浸出，有利于内含物与介质和生物催化剂酶的接触面积增大，从而保证糖化后续糖化过程高效稳定，麦皮可做天然的过滤层。原料粉碎过程在粉碎机内进行，大米粉碎后送到糊化锅，然后升温至120℃，再送至糖化工序。自投料开始起至糊化结束，搅拌自始至终开启，以防止糊锅。麦芽粉碎后调浆送到糖化锅。本工序废气污染源主要为麦芽原料卸料粉尘、大米原料卸料粉尘，原料处理、粉碎工序废气，主要污染物为颗粒物、噪声。</w:t>
            </w:r>
          </w:p>
          <w:p w14:paraId="6FEA2A5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（2）糖化</w:t>
            </w:r>
          </w:p>
          <w:p w14:paraId="7A8DC0C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糖化：糖化工序主要是利用麦芽中所含的酶，将麦芽中不溶性高分子物质分解为可溶性低分子物质，制取麦汁。糖化锅内泵入适量纯水，粉碎后麦芽粉料通过密闭管道输送到糖化锅中，利用蒸汽间接加热，温度控制在80℃，保温约30min，按糖化曲线进行控温然后并入糊化醪。糖化过程使麦芽中的高分子物质（淀粉、蛋白质、半纤维素及其中间分解产物等），逐步分解为可溶性的低分子物质，糖化后混合液成为糖化醪。</w:t>
            </w:r>
          </w:p>
          <w:p w14:paraId="17D1D04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过滤：糖化完成后，将经糖化后的糖化醪经管道泵入过滤槽中静置20min，以形成麦糟层作为过滤层进行过滤，使得麦汁和麦糟分离，得到澄清的麦汁，过滤剩下的麦糟使用热水洗糟2次，随即出渣，产生废麦糟（含水率约85%）。</w:t>
            </w:r>
          </w:p>
          <w:p w14:paraId="30CB70C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③煮沸：将过滤后的麦汁通过管道泵至</w:t>
            </w:r>
            <w:r>
              <w:rPr>
                <w:rFonts w:hint="eastAsia"/>
                <w:color w:val="000000" w:themeColor="text1"/>
                <w:sz w:val="24"/>
                <w14:textFill>
                  <w14:solidFill>
                    <w14:schemeClr w14:val="tx1"/>
                  </w14:solidFill>
                </w14:textFill>
              </w:rPr>
              <w:t>蒸煮</w:t>
            </w:r>
            <w:r>
              <w:rPr>
                <w:color w:val="000000" w:themeColor="text1"/>
                <w:sz w:val="24"/>
                <w14:textFill>
                  <w14:solidFill>
                    <w14:schemeClr w14:val="tx1"/>
                  </w14:solidFill>
                </w14:textFill>
              </w:rPr>
              <w:t>锅内进行煮沸，利用蒸汽间接加热使麦汁沸腾</w:t>
            </w:r>
            <w:r>
              <w:rPr>
                <w:rFonts w:hint="eastAsia"/>
                <w:color w:val="000000" w:themeColor="text1"/>
                <w:sz w:val="24"/>
                <w14:textFill>
                  <w14:solidFill>
                    <w14:schemeClr w14:val="tx1"/>
                  </w14:solidFill>
                </w14:textFill>
              </w:rPr>
              <w:t>约</w:t>
            </w:r>
            <w:r>
              <w:rPr>
                <w:color w:val="000000" w:themeColor="text1"/>
                <w:sz w:val="24"/>
                <w14:textFill>
                  <w14:solidFill>
                    <w14:schemeClr w14:val="tx1"/>
                  </w14:solidFill>
                </w14:textFill>
              </w:rPr>
              <w:t>60min，煮沸过程分3次添加酒花，</w:t>
            </w:r>
            <w:r>
              <w:rPr>
                <w:rFonts w:hint="eastAsia"/>
                <w:color w:val="000000" w:themeColor="text1"/>
                <w:sz w:val="24"/>
                <w14:textFill>
                  <w14:solidFill>
                    <w14:schemeClr w14:val="tx1"/>
                  </w14:solidFill>
                </w14:textFill>
              </w:rPr>
              <w:t>平均每20min添加一次酒花，</w:t>
            </w:r>
            <w:r>
              <w:rPr>
                <w:color w:val="000000" w:themeColor="text1"/>
                <w:sz w:val="24"/>
                <w14:textFill>
                  <w14:solidFill>
                    <w14:schemeClr w14:val="tx1"/>
                  </w14:solidFill>
                </w14:textFill>
              </w:rPr>
              <w:t>让麦汁形成独特的酒花芳香与苦味。煮沸结束后，将麦汁泵入回旋沉淀槽进行热凝固物分离，煮沸过程会有水蒸气的产生。</w:t>
            </w:r>
          </w:p>
          <w:p w14:paraId="74D8741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④回旋沉淀：煮沸后的热麦汁通过管道泵至回旋沉淀槽，经过</w:t>
            </w:r>
            <w:r>
              <w:rPr>
                <w:rFonts w:hint="eastAsia"/>
                <w:color w:val="000000" w:themeColor="text1"/>
                <w:sz w:val="24"/>
                <w14:textFill>
                  <w14:solidFill>
                    <w14:schemeClr w14:val="tx1"/>
                  </w14:solidFill>
                </w14:textFill>
              </w:rPr>
              <w:t>2h</w:t>
            </w:r>
            <w:r>
              <w:rPr>
                <w:color w:val="000000" w:themeColor="text1"/>
                <w:sz w:val="24"/>
                <w14:textFill>
                  <w14:solidFill>
                    <w14:schemeClr w14:val="tx1"/>
                  </w14:solidFill>
                </w14:textFill>
              </w:rPr>
              <w:t>的沉淀后分离热凝固物，将酒花与蛋白质结合后产生的沉淀物排出。回旋沉淀槽的工作原理是将麦汁以切线方向进入回旋沉淀槽，产生涡流（回旋效应），凭借离心力的作用使热凝固物以锥丘状沉降于槽底中央，与麦汁分离开来，清亮的麦汁则从侧面底部的麦汁出口排出。</w:t>
            </w:r>
          </w:p>
          <w:p w14:paraId="00C1752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⑤麦汁冷却：回旋沉淀槽分离后的麦汁经板式换热器采用</w:t>
            </w:r>
            <w:r>
              <w:rPr>
                <w:rFonts w:hint="eastAsia"/>
                <w:color w:val="000000" w:themeColor="text1"/>
                <w:sz w:val="24"/>
                <w14:textFill>
                  <w14:solidFill>
                    <w14:schemeClr w14:val="tx1"/>
                  </w14:solidFill>
                </w14:textFill>
              </w:rPr>
              <w:t>冰</w:t>
            </w:r>
            <w:r>
              <w:rPr>
                <w:color w:val="000000" w:themeColor="text1"/>
                <w:sz w:val="24"/>
                <w14:textFill>
                  <w14:solidFill>
                    <w14:schemeClr w14:val="tx1"/>
                  </w14:solidFill>
                </w14:textFill>
              </w:rPr>
              <w:t>水进行一段式冷却，将麦汁由</w:t>
            </w:r>
            <w:r>
              <w:rPr>
                <w:rFonts w:hint="eastAsia"/>
                <w:color w:val="000000" w:themeColor="text1"/>
                <w:sz w:val="24"/>
                <w14:textFill>
                  <w14:solidFill>
                    <w14:schemeClr w14:val="tx1"/>
                  </w14:solidFill>
                </w14:textFill>
              </w:rPr>
              <w:t>90</w:t>
            </w:r>
            <w:r>
              <w:rPr>
                <w:color w:val="000000" w:themeColor="text1"/>
                <w:sz w:val="24"/>
                <w14:textFill>
                  <w14:solidFill>
                    <w14:schemeClr w14:val="tx1"/>
                  </w14:solidFill>
                </w14:textFill>
              </w:rPr>
              <w:t>℃左右急速冷却（采用冷却用水间接冷却）至适于发酵的温度，冷却后麦汁降温到</w:t>
            </w:r>
            <w:r>
              <w:rPr>
                <w:rFonts w:hint="eastAsia"/>
                <w:color w:val="000000" w:themeColor="text1"/>
                <w14:textFill>
                  <w14:solidFill>
                    <w14:schemeClr w14:val="tx1"/>
                  </w14:solidFill>
                </w14:textFill>
              </w:rPr>
              <w:t>5</w:t>
            </w:r>
            <w:r>
              <w:rPr>
                <w:color w:val="000000" w:themeColor="text1"/>
                <w14:textFill>
                  <w14:solidFill>
                    <w14:schemeClr w14:val="tx1"/>
                  </w14:solidFill>
                </w14:textFill>
              </w:rPr>
              <w:t>~</w:t>
            </w:r>
            <w:r>
              <w:rPr>
                <w:rFonts w:hint="eastAsia"/>
                <w:color w:val="000000" w:themeColor="text1"/>
                <w14:textFill>
                  <w14:solidFill>
                    <w14:schemeClr w14:val="tx1"/>
                  </w14:solidFill>
                </w14:textFill>
              </w:rPr>
              <w:t>6</w:t>
            </w:r>
            <w:r>
              <w:rPr>
                <w:color w:val="000000" w:themeColor="text1"/>
                <w14:textFill>
                  <w14:solidFill>
                    <w14:schemeClr w14:val="tx1"/>
                  </w14:solidFill>
                </w14:textFill>
              </w:rPr>
              <w:t>℃</w:t>
            </w:r>
            <w:r>
              <w:rPr>
                <w:color w:val="000000" w:themeColor="text1"/>
                <w:sz w:val="24"/>
                <w14:textFill>
                  <w14:solidFill>
                    <w14:schemeClr w14:val="tx1"/>
                  </w14:solidFill>
                </w14:textFill>
              </w:rPr>
              <w:t>左右，每批热麦汁冷却时间控制在</w:t>
            </w:r>
            <w:r>
              <w:rPr>
                <w:rFonts w:hint="eastAsia"/>
                <w:color w:val="000000" w:themeColor="text1"/>
                <w:sz w:val="24"/>
                <w14:textFill>
                  <w14:solidFill>
                    <w14:schemeClr w14:val="tx1"/>
                  </w14:solidFill>
                </w14:textFill>
              </w:rPr>
              <w:t>30min</w:t>
            </w:r>
            <w:r>
              <w:rPr>
                <w:color w:val="000000" w:themeColor="text1"/>
                <w:sz w:val="24"/>
                <w14:textFill>
                  <w14:solidFill>
                    <w14:schemeClr w14:val="tx1"/>
                  </w14:solidFill>
                </w14:textFill>
              </w:rPr>
              <w:t>之内完成。向冷却后的麦汁进入下道工序。本工序废水污染源主要为糖化、过滤、煮沸、沉淀设施清洗废水及冷却更换废水，送至厂区内污水处理站处理后由污水管网排入污水处理厂进一步处理；噪声污染源主要为冷却设备运行产生的机械噪声，采取厂房隔声、减振降噪的措施；过滤废麦糟、沉淀废热凝固物统一收集后外售综合利用。</w:t>
            </w:r>
          </w:p>
          <w:p w14:paraId="4768316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（3）发酵</w:t>
            </w:r>
          </w:p>
          <w:p w14:paraId="0B220A9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①发酵：啤酒发酵过程是通过啤酒酵母内所含的一系列酶的作用下，利用麦汁中的可发酵性营养物质而进行的一系列生化反应，通过新陈代谢最终得到主要产物酒精、CO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以及少量发酵副产物如高级醇、酯类、酮类和醛类等。</w:t>
            </w:r>
          </w:p>
          <w:p w14:paraId="52782CB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冷麦汁按比例添加酵母后采用锥形发酵罐一罐法发酵工艺（或称为</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单罐发酵工艺</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），发酵时间为2</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~2</w:t>
            </w:r>
            <w:r>
              <w:rPr>
                <w:rFonts w:hint="eastAsia"/>
                <w:color w:val="000000" w:themeColor="text1"/>
                <w:sz w:val="24"/>
                <w14:textFill>
                  <w14:solidFill>
                    <w14:schemeClr w14:val="tx1"/>
                  </w14:solidFill>
                </w14:textFill>
              </w:rPr>
              <w:t>9</w:t>
            </w:r>
            <w:r>
              <w:rPr>
                <w:color w:val="000000" w:themeColor="text1"/>
                <w:sz w:val="24"/>
                <w14:textFill>
                  <w14:solidFill>
                    <w14:schemeClr w14:val="tx1"/>
                  </w14:solidFill>
                </w14:textFill>
              </w:rPr>
              <w:t>天，严格按发酵曲线进行温度控制，发酵温度控制在</w:t>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13</w:t>
            </w:r>
            <w:r>
              <w:rPr>
                <w:color w:val="000000" w:themeColor="text1"/>
                <w:sz w:val="24"/>
                <w14:textFill>
                  <w14:solidFill>
                    <w14:schemeClr w14:val="tx1"/>
                  </w14:solidFill>
                </w14:textFill>
              </w:rPr>
              <w:t>℃，发酵过程需采用</w:t>
            </w:r>
            <w:r>
              <w:rPr>
                <w:rFonts w:hint="eastAsia"/>
                <w:color w:val="000000" w:themeColor="text1"/>
                <w:sz w:val="24"/>
                <w14:textFill>
                  <w14:solidFill>
                    <w14:schemeClr w14:val="tx1"/>
                  </w14:solidFill>
                </w14:textFill>
              </w:rPr>
              <w:t>乙二醇</w:t>
            </w:r>
            <w:r>
              <w:rPr>
                <w:color w:val="000000" w:themeColor="text1"/>
                <w:sz w:val="24"/>
                <w14:textFill>
                  <w14:solidFill>
                    <w14:schemeClr w14:val="tx1"/>
                  </w14:solidFill>
                </w14:textFill>
              </w:rPr>
              <w:t>制冷。发酵结束后，发酵罐排出罐体底部大部分酵母，</w:t>
            </w:r>
            <w:r>
              <w:rPr>
                <w:rFonts w:hint="eastAsia"/>
                <w:color w:val="000000" w:themeColor="text1"/>
                <w:sz w:val="24"/>
                <w14:textFill>
                  <w14:solidFill>
                    <w14:schemeClr w14:val="tx1"/>
                  </w14:solidFill>
                </w14:textFill>
              </w:rPr>
              <w:t>排出</w:t>
            </w:r>
            <w:r>
              <w:rPr>
                <w:color w:val="000000" w:themeColor="text1"/>
                <w:sz w:val="24"/>
                <w14:textFill>
                  <w14:solidFill>
                    <w14:schemeClr w14:val="tx1"/>
                  </w14:solidFill>
                </w14:textFill>
              </w:rPr>
              <w:t>的酵母不可再回用，定期外售饲料厂家。</w:t>
            </w:r>
          </w:p>
          <w:p w14:paraId="0C2175D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过滤：发酵结束后，大部分酵母细胞和冷混浊物沉积到发酵罐的底部而被分离，但这种自然沉降的速度非常缓慢，发酵液中仍悬浮着大量的酵母细胞和蛋白质凝固物等混浊物质，需要进一步分离，分离方法主要采用硅藻土过滤。硅藻土具有很强的吸附能力，能除去0.1μm以上的粒子，酒液经密闭不锈钢管道进入硅藻土过滤机，将啤酒浊度降至0.3EBC以下。</w:t>
            </w:r>
          </w:p>
          <w:p w14:paraId="7C8EC62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（4）包装</w:t>
            </w:r>
          </w:p>
          <w:p w14:paraId="06C54B4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①灌装：</w:t>
            </w:r>
            <w:r>
              <w:rPr>
                <w:rFonts w:hint="eastAsia"/>
                <w:color w:val="000000" w:themeColor="text1"/>
                <w:sz w:val="24"/>
                <w14:textFill>
                  <w14:solidFill>
                    <w14:schemeClr w14:val="tx1"/>
                  </w14:solidFill>
                </w14:textFill>
              </w:rPr>
              <w:t>过滤</w:t>
            </w:r>
            <w:r>
              <w:rPr>
                <w:color w:val="000000" w:themeColor="text1"/>
                <w:sz w:val="24"/>
                <w14:textFill>
                  <w14:solidFill>
                    <w14:schemeClr w14:val="tx1"/>
                  </w14:solidFill>
                </w14:textFill>
              </w:rPr>
              <w:t>后的啤酒通过管道输送至灌装设备，清洗完成的啤酒瓶进行CO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备压，使瓶内充满CO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，以防止啤酒灌装过程出现起沫情况，然后对其进行灌装、封盖。</w:t>
            </w:r>
          </w:p>
          <w:p w14:paraId="0EF9496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②杀菌：将需要杀菌的灌装好的熟瓶装啤酒推入到隧道式杀菌机中采用高温蒸汽进行杀菌，杀菌20~30min，以确保啤酒中无有害于啤酒质量的杂菌</w:t>
            </w:r>
            <w:r>
              <w:rPr>
                <w:rFonts w:hint="eastAsia"/>
                <w:color w:val="000000" w:themeColor="text1"/>
                <w:kern w:val="0"/>
                <w:sz w:val="24"/>
                <w14:textFill>
                  <w14:solidFill>
                    <w14:schemeClr w14:val="tx1"/>
                  </w14:solidFill>
                </w14:textFill>
              </w:rPr>
              <w:t>；项目杀菌冷凝水回用于蒸汽发生器。</w:t>
            </w:r>
          </w:p>
          <w:p w14:paraId="0C05556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③包装：通过喷码机对杀菌后的啤酒进行激光打码，</w:t>
            </w:r>
            <w:r>
              <w:rPr>
                <w:rFonts w:hint="eastAsia"/>
                <w:color w:val="000000" w:themeColor="text1"/>
                <w:sz w:val="24"/>
                <w14:textFill>
                  <w14:solidFill>
                    <w14:schemeClr w14:val="tx1"/>
                  </w14:solidFill>
                </w14:textFill>
              </w:rPr>
              <w:t>激光打码后</w:t>
            </w:r>
            <w:r>
              <w:rPr>
                <w:color w:val="000000" w:themeColor="text1"/>
                <w:sz w:val="24"/>
                <w14:textFill>
                  <w14:solidFill>
                    <w14:schemeClr w14:val="tx1"/>
                  </w14:solidFill>
                </w14:textFill>
              </w:rPr>
              <w:t>对产品进行装箱处理，将包装好的啤酒箱进行码垛堆放。</w:t>
            </w:r>
          </w:p>
        </w:tc>
      </w:tr>
    </w:tbl>
    <w:p w14:paraId="332D42D7">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5"/>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9502"/>
      </w:tblGrid>
      <w:tr w14:paraId="406875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8" w:type="pct"/>
            <w:vAlign w:val="center"/>
          </w:tcPr>
          <w:p w14:paraId="2CF9FEB5">
            <w:pPr>
              <w:pStyle w:val="21"/>
              <w:adjustRightInd w:val="0"/>
              <w:snapToGrid w:val="0"/>
              <w:spacing w:before="0" w:beforeAutospacing="0" w:after="0" w:afterAutospacing="0"/>
              <w:jc w:val="center"/>
              <w:rPr>
                <w:rFonts w:ascii="Times New Roman" w:hAnsi="Times New Roman"/>
                <w:color w:val="000000" w:themeColor="text1"/>
                <w:szCs w:val="24"/>
                <w14:textFill>
                  <w14:solidFill>
                    <w14:schemeClr w14:val="tx1"/>
                  </w14:solidFill>
                </w14:textFill>
              </w:rPr>
            </w:pPr>
          </w:p>
        </w:tc>
        <w:tc>
          <w:tcPr>
            <w:tcW w:w="4771" w:type="pct"/>
          </w:tcPr>
          <w:p w14:paraId="44A430F0">
            <w:pPr>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1.1.4 果酒</w:t>
            </w:r>
            <w:r>
              <w:rPr>
                <w:color w:val="000000" w:themeColor="text1"/>
                <w:kern w:val="52"/>
                <w:sz w:val="24"/>
                <w14:textFill>
                  <w14:solidFill>
                    <w14:schemeClr w14:val="tx1"/>
                  </w14:solidFill>
                </w14:textFill>
              </w:rPr>
              <w:t>生产工艺流程及产污环节图</w:t>
            </w:r>
          </w:p>
          <w:p w14:paraId="4928AFBD">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项目果酒类（葡萄酒、苹果酒、猕猴桃酒）生产工艺相同，使用同一条生产线，根据市场需求交替生产。</w:t>
            </w:r>
          </w:p>
          <w:p w14:paraId="32787D28">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3848100" cy="7548245"/>
                  <wp:effectExtent l="0" t="0" r="0" b="14605"/>
                  <wp:docPr id="1044" name="图片 15"/>
                  <wp:cNvGraphicFramePr/>
                  <a:graphic xmlns:a="http://schemas.openxmlformats.org/drawingml/2006/main">
                    <a:graphicData uri="http://schemas.openxmlformats.org/drawingml/2006/picture">
                      <pic:pic xmlns:pic="http://schemas.openxmlformats.org/drawingml/2006/picture">
                        <pic:nvPicPr>
                          <pic:cNvPr id="1044" name="图片 15"/>
                          <pic:cNvPicPr/>
                        </pic:nvPicPr>
                        <pic:blipFill>
                          <a:blip r:embed="rId35" cstate="print"/>
                          <a:srcRect/>
                          <a:stretch>
                            <a:fillRect/>
                          </a:stretch>
                        </pic:blipFill>
                        <pic:spPr>
                          <a:xfrm>
                            <a:off x="0" y="0"/>
                            <a:ext cx="3848100" cy="7548245"/>
                          </a:xfrm>
                          <a:prstGeom prst="rect">
                            <a:avLst/>
                          </a:prstGeom>
                          <a:ln>
                            <a:noFill/>
                          </a:ln>
                        </pic:spPr>
                      </pic:pic>
                    </a:graphicData>
                  </a:graphic>
                </wp:inline>
              </w:drawing>
            </w:r>
          </w:p>
          <w:p w14:paraId="5A4F08A6">
            <w:pPr>
              <w:jc w:val="center"/>
              <w:rPr>
                <w:color w:val="000000" w:themeColor="text1"/>
                <w14:textFill>
                  <w14:solidFill>
                    <w14:schemeClr w14:val="tx1"/>
                  </w14:solidFill>
                </w14:textFill>
              </w:rPr>
            </w:pPr>
            <w:r>
              <w:rPr>
                <w:b/>
                <w:color w:val="000000" w:themeColor="text1"/>
                <w:kern w:val="52"/>
                <w:sz w:val="24"/>
                <w14:textFill>
                  <w14:solidFill>
                    <w14:schemeClr w14:val="tx1"/>
                  </w14:solidFill>
                </w14:textFill>
              </w:rPr>
              <w:t>图2-</w:t>
            </w:r>
            <w:r>
              <w:rPr>
                <w:rFonts w:hint="eastAsia"/>
                <w:b/>
                <w:color w:val="000000" w:themeColor="text1"/>
                <w:kern w:val="52"/>
                <w:sz w:val="24"/>
                <w14:textFill>
                  <w14:solidFill>
                    <w14:schemeClr w14:val="tx1"/>
                  </w14:solidFill>
                </w14:textFill>
              </w:rPr>
              <w:t>18  果酒</w:t>
            </w:r>
            <w:r>
              <w:rPr>
                <w:b/>
                <w:color w:val="000000" w:themeColor="text1"/>
                <w:kern w:val="52"/>
                <w:sz w:val="24"/>
                <w14:textFill>
                  <w14:solidFill>
                    <w14:schemeClr w14:val="tx1"/>
                  </w14:solidFill>
                </w14:textFill>
              </w:rPr>
              <w:t>生产工艺流程及产污环节图</w:t>
            </w:r>
          </w:p>
        </w:tc>
      </w:tr>
    </w:tbl>
    <w:p w14:paraId="50F1CC40">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5"/>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0"/>
        <w:gridCol w:w="9502"/>
      </w:tblGrid>
      <w:tr w14:paraId="2A46F4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26" w:type="pct"/>
            <w:vAlign w:val="center"/>
          </w:tcPr>
          <w:p w14:paraId="0621FCAC">
            <w:pPr>
              <w:pStyle w:val="21"/>
              <w:adjustRightInd w:val="0"/>
              <w:snapToGrid w:val="0"/>
              <w:spacing w:before="0" w:beforeAutospacing="0" w:after="0" w:afterAutospacing="0"/>
              <w:jc w:val="center"/>
              <w:rPr>
                <w:rFonts w:ascii="Times New Roman" w:hAnsi="Times New Roman"/>
                <w:color w:val="000000" w:themeColor="text1"/>
                <w:szCs w:val="24"/>
                <w14:textFill>
                  <w14:solidFill>
                    <w14:schemeClr w14:val="tx1"/>
                  </w14:solidFill>
                </w14:textFill>
              </w:rPr>
            </w:pPr>
          </w:p>
        </w:tc>
        <w:tc>
          <w:tcPr>
            <w:tcW w:w="4773" w:type="pct"/>
          </w:tcPr>
          <w:p w14:paraId="084B80A3">
            <w:pPr>
              <w:tabs>
                <w:tab w:val="left" w:pos="1081"/>
              </w:tabs>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75B2F4AE">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（1）原料</w:t>
            </w:r>
            <w:r>
              <w:rPr>
                <w:rFonts w:hint="eastAsia"/>
                <w:color w:val="000000" w:themeColor="text1"/>
                <w:kern w:val="0"/>
                <w:sz w:val="24"/>
                <w14:textFill>
                  <w14:solidFill>
                    <w14:schemeClr w14:val="tx1"/>
                  </w14:solidFill>
                </w14:textFill>
              </w:rPr>
              <w:t>处理</w:t>
            </w:r>
          </w:p>
          <w:p w14:paraId="5821598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w:t>
            </w:r>
            <w:r>
              <w:rPr>
                <w:color w:val="000000" w:themeColor="text1"/>
                <w:sz w:val="24"/>
                <w14:textFill>
                  <w14:solidFill>
                    <w14:schemeClr w14:val="tx1"/>
                  </w14:solidFill>
                </w14:textFill>
              </w:rPr>
              <w:t>外购新鲜</w:t>
            </w:r>
            <w:r>
              <w:rPr>
                <w:rFonts w:hint="eastAsia"/>
                <w:color w:val="000000" w:themeColor="text1"/>
                <w:sz w:val="24"/>
                <w14:textFill>
                  <w14:solidFill>
                    <w14:schemeClr w14:val="tx1"/>
                  </w14:solidFill>
                </w14:textFill>
              </w:rPr>
              <w:t>葡萄、苹果、猕猴桃</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主要利用人工分拣方法，去除葡萄、苹果、猕猴桃中的少量青果、腐烂果粒和枝叶，拣出混在其中的枝叶等杂物。要求成熟果在95%以上，颗粒完整无杂质，果柄已木质化，无污染、无异味，糖、酸含量达到标准要求。</w:t>
            </w:r>
          </w:p>
          <w:p w14:paraId="156B9A0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（2）清洗</w:t>
            </w:r>
          </w:p>
          <w:p w14:paraId="590DA79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经过拣选的原料（葡萄、苹果、猕猴桃）落入水果清洗机，对原料（葡萄、苹果、猕猴桃）进行清洗，以洗去粘附在果子上的泥沙、杂质等。清洗过程利用自来水进行清洗，不添加清洗剂。此过程会产生清洗废水及设备噪声。</w:t>
            </w:r>
          </w:p>
          <w:p w14:paraId="2EED57A1">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（3）破碎</w:t>
            </w:r>
          </w:p>
          <w:p w14:paraId="27F634A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原料（葡萄、苹果、猕猴桃）经过清洗后输送至粉碎机中，原料进厂4小时内采用粉碎机对其破碎、除梗，以保持原料新鲜。经除梗、破碎后得到果浆和皮渣，</w:t>
            </w:r>
            <w:r>
              <w:rPr>
                <w:color w:val="000000" w:themeColor="text1"/>
                <w:kern w:val="0"/>
                <w:sz w:val="24"/>
                <w14:textFill>
                  <w14:solidFill>
                    <w14:schemeClr w14:val="tx1"/>
                  </w14:solidFill>
                </w14:textFill>
              </w:rPr>
              <w:t>果皮、核渣进入废渣中转箱，</w:t>
            </w:r>
            <w:r>
              <w:rPr>
                <w:color w:val="000000" w:themeColor="text1"/>
                <w:sz w:val="24"/>
                <w14:textFill>
                  <w14:solidFill>
                    <w14:schemeClr w14:val="tx1"/>
                  </w14:solidFill>
                </w14:textFill>
              </w:rPr>
              <w:t>果浆</w:t>
            </w:r>
            <w:r>
              <w:rPr>
                <w:color w:val="000000" w:themeColor="text1"/>
                <w:kern w:val="0"/>
                <w:sz w:val="24"/>
                <w14:textFill>
                  <w14:solidFill>
                    <w14:schemeClr w14:val="tx1"/>
                  </w14:solidFill>
                </w14:textFill>
              </w:rPr>
              <w:t>进入下一</w:t>
            </w:r>
            <w:r>
              <w:rPr>
                <w:rFonts w:hint="eastAsia"/>
                <w:color w:val="000000" w:themeColor="text1"/>
                <w:kern w:val="0"/>
                <w:sz w:val="24"/>
                <w14:textFill>
                  <w14:solidFill>
                    <w14:schemeClr w14:val="tx1"/>
                  </w14:solidFill>
                </w14:textFill>
              </w:rPr>
              <w:t>道</w:t>
            </w:r>
            <w:r>
              <w:rPr>
                <w:color w:val="000000" w:themeColor="text1"/>
                <w:kern w:val="0"/>
                <w:sz w:val="24"/>
                <w14:textFill>
                  <w14:solidFill>
                    <w14:schemeClr w14:val="tx1"/>
                  </w14:solidFill>
                </w14:textFill>
              </w:rPr>
              <w:t>工序。</w:t>
            </w:r>
            <w:r>
              <w:rPr>
                <w:rFonts w:hint="eastAsia"/>
                <w:color w:val="000000" w:themeColor="text1"/>
                <w:sz w:val="24"/>
                <w14:textFill>
                  <w14:solidFill>
                    <w14:schemeClr w14:val="tx1"/>
                  </w14:solidFill>
                </w14:textFill>
              </w:rPr>
              <w:t>此工序主要产生废水、固废、噪声。废水为粉碎机冲洗水，固废主要为果皮、果渣及果梗，噪声主要为机械噪声。</w:t>
            </w:r>
          </w:p>
          <w:p w14:paraId="207EB3A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（4）浸渍</w:t>
            </w:r>
          </w:p>
          <w:p w14:paraId="4CAB054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原料（葡萄、苹果、猕猴桃）破皮后，会让果皮和果汁在低温下接触一段时间，这个过程叫浸渍，浸渍时间为7d，温度控制在25℃。浸渍可以增强果酒的果味和质感。此工序主要产生废水，废水为洗罐废水。</w:t>
            </w:r>
          </w:p>
          <w:p w14:paraId="4416E7A1">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（5）压榨</w:t>
            </w:r>
          </w:p>
          <w:p w14:paraId="20086922">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压榨是将果汁和果肉、果皮分离的过程，</w:t>
            </w:r>
          </w:p>
          <w:p w14:paraId="16EA8A5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果酒（葡萄酒、苹果酒、猕猴桃酒）在发酵前进行该步骤，</w:t>
            </w:r>
            <w:r>
              <w:rPr>
                <w:color w:val="000000" w:themeColor="text1"/>
                <w:sz w:val="24"/>
                <w14:textFill>
                  <w14:solidFill>
                    <w14:schemeClr w14:val="tx1"/>
                  </w14:solidFill>
                </w14:textFill>
              </w:rPr>
              <w:t>通过一段时间的浸渍，残糖降至5g/L以下、</w:t>
            </w:r>
            <w:r>
              <w:rPr>
                <w:rFonts w:hint="eastAsia"/>
                <w:color w:val="000000" w:themeColor="text1"/>
                <w:sz w:val="24"/>
                <w14:textFill>
                  <w14:solidFill>
                    <w14:schemeClr w14:val="tx1"/>
                  </w14:solidFill>
                </w14:textFill>
              </w:rPr>
              <w:t>浸渍</w:t>
            </w:r>
            <w:r>
              <w:rPr>
                <w:color w:val="000000" w:themeColor="text1"/>
                <w:sz w:val="24"/>
                <w14:textFill>
                  <w14:solidFill>
                    <w14:schemeClr w14:val="tx1"/>
                  </w14:solidFill>
                </w14:textFill>
              </w:rPr>
              <w:t>液面只有少量二氧化碳气泡、</w:t>
            </w:r>
            <w:r>
              <w:rPr>
                <w:rFonts w:hint="eastAsia"/>
                <w:color w:val="000000" w:themeColor="text1"/>
                <w:sz w:val="24"/>
                <w14:textFill>
                  <w14:solidFill>
                    <w14:schemeClr w14:val="tx1"/>
                  </w14:solidFill>
                </w14:textFill>
              </w:rPr>
              <w:t>浸渍</w:t>
            </w:r>
            <w:r>
              <w:rPr>
                <w:color w:val="000000" w:themeColor="text1"/>
                <w:sz w:val="24"/>
                <w14:textFill>
                  <w14:solidFill>
                    <w14:schemeClr w14:val="tx1"/>
                  </w14:solidFill>
                </w14:textFill>
              </w:rPr>
              <w:t>温度接近室温且有明显酒香时，将自流汁放出，过滤网进行过滤，清理出皮籽，将皮籽渣输送到压</w:t>
            </w:r>
            <w:r>
              <w:rPr>
                <w:rFonts w:hint="eastAsia"/>
                <w:color w:val="000000" w:themeColor="text1"/>
                <w:sz w:val="24"/>
                <w14:textFill>
                  <w14:solidFill>
                    <w14:schemeClr w14:val="tx1"/>
                  </w14:solidFill>
                </w14:textFill>
              </w:rPr>
              <w:t>滤</w:t>
            </w:r>
            <w:r>
              <w:rPr>
                <w:color w:val="000000" w:themeColor="text1"/>
                <w:sz w:val="24"/>
                <w14:textFill>
                  <w14:solidFill>
                    <w14:schemeClr w14:val="tx1"/>
                  </w14:solidFill>
                </w14:textFill>
              </w:rPr>
              <w:t>机进行压榨，获得次品原汁。该工序主要产生废水、固废。废水为</w:t>
            </w:r>
            <w:r>
              <w:rPr>
                <w:rFonts w:hint="eastAsia"/>
                <w:color w:val="000000" w:themeColor="text1"/>
                <w:sz w:val="24"/>
                <w14:textFill>
                  <w14:solidFill>
                    <w14:schemeClr w14:val="tx1"/>
                  </w14:solidFill>
                </w14:textFill>
              </w:rPr>
              <w:t>设备</w:t>
            </w:r>
            <w:r>
              <w:rPr>
                <w:color w:val="000000" w:themeColor="text1"/>
                <w:sz w:val="24"/>
                <w14:textFill>
                  <w14:solidFill>
                    <w14:schemeClr w14:val="tx1"/>
                  </w14:solidFill>
                </w14:textFill>
              </w:rPr>
              <w:t>清洗废水，固废主要成分为皮渣。</w:t>
            </w:r>
          </w:p>
          <w:p w14:paraId="3E3B575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（6）发酵</w:t>
            </w:r>
          </w:p>
          <w:p w14:paraId="2BBE3EBE">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将</w:t>
            </w:r>
            <w:r>
              <w:rPr>
                <w:rFonts w:hint="eastAsia"/>
                <w:color w:val="000000" w:themeColor="text1"/>
                <w:sz w:val="24"/>
                <w14:textFill>
                  <w14:solidFill>
                    <w14:schemeClr w14:val="tx1"/>
                  </w14:solidFill>
                </w14:textFill>
              </w:rPr>
              <w:t>压榨得到的果</w:t>
            </w:r>
            <w:r>
              <w:rPr>
                <w:color w:val="000000" w:themeColor="text1"/>
                <w:sz w:val="24"/>
                <w14:textFill>
                  <w14:solidFill>
                    <w14:schemeClr w14:val="tx1"/>
                  </w14:solidFill>
                </w14:textFill>
              </w:rPr>
              <w:t>汁泵入发酵罐，</w:t>
            </w:r>
            <w:r>
              <w:rPr>
                <w:rFonts w:hint="eastAsia"/>
                <w:color w:val="000000" w:themeColor="text1"/>
                <w:sz w:val="24"/>
                <w14:textFill>
                  <w14:solidFill>
                    <w14:schemeClr w14:val="tx1"/>
                  </w14:solidFill>
                </w14:textFill>
              </w:rPr>
              <w:t>果</w:t>
            </w:r>
            <w:r>
              <w:rPr>
                <w:color w:val="000000" w:themeColor="text1"/>
                <w:sz w:val="24"/>
                <w14:textFill>
                  <w14:solidFill>
                    <w14:schemeClr w14:val="tx1"/>
                  </w14:solidFill>
                </w14:textFill>
              </w:rPr>
              <w:t>汁体积为罐容的70-75%。装罐4小时后添加果胶酶、酵母等辅料，果胶酶用量一般为2g/100kg，加入果胶酶1小时后，</w:t>
            </w:r>
            <w:r>
              <w:rPr>
                <w:rFonts w:hint="eastAsia"/>
                <w:color w:val="000000" w:themeColor="text1"/>
                <w:sz w:val="24"/>
                <w14:textFill>
                  <w14:solidFill>
                    <w14:schemeClr w14:val="tx1"/>
                  </w14:solidFill>
                </w14:textFill>
              </w:rPr>
              <w:t>果</w:t>
            </w:r>
            <w:r>
              <w:rPr>
                <w:color w:val="000000" w:themeColor="text1"/>
                <w:sz w:val="24"/>
                <w14:textFill>
                  <w14:solidFill>
                    <w14:schemeClr w14:val="tx1"/>
                  </w14:solidFill>
                </w14:textFill>
              </w:rPr>
              <w:t>汁中胶体平衡被破坏，从而引起悬浮物的迅速沉淀，使</w:t>
            </w:r>
            <w:r>
              <w:rPr>
                <w:rFonts w:hint="eastAsia"/>
                <w:color w:val="000000" w:themeColor="text1"/>
                <w:sz w:val="24"/>
                <w14:textFill>
                  <w14:solidFill>
                    <w14:schemeClr w14:val="tx1"/>
                  </w14:solidFill>
                </w14:textFill>
              </w:rPr>
              <w:t>果</w:t>
            </w:r>
            <w:r>
              <w:rPr>
                <w:color w:val="000000" w:themeColor="text1"/>
                <w:sz w:val="24"/>
                <w14:textFill>
                  <w14:solidFill>
                    <w14:schemeClr w14:val="tx1"/>
                  </w14:solidFill>
                </w14:textFill>
              </w:rPr>
              <w:t>汁获得更好的澄清度。另外经果胶酶处理后的</w:t>
            </w:r>
            <w:r>
              <w:rPr>
                <w:rFonts w:hint="eastAsia"/>
                <w:color w:val="000000" w:themeColor="text1"/>
                <w:sz w:val="24"/>
                <w14:textFill>
                  <w14:solidFill>
                    <w14:schemeClr w14:val="tx1"/>
                  </w14:solidFill>
                </w14:textFill>
              </w:rPr>
              <w:t>果</w:t>
            </w:r>
            <w:r>
              <w:rPr>
                <w:color w:val="000000" w:themeColor="text1"/>
                <w:sz w:val="24"/>
                <w14:textFill>
                  <w14:solidFill>
                    <w14:schemeClr w14:val="tx1"/>
                  </w14:solidFill>
                </w14:textFill>
              </w:rPr>
              <w:t>汁更容易过滤。酵母按250g/t的量添加，加入前充分活化。发酵过程中酵母菌对葡萄糖进行不完全分解，形成乙醇和CO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w:t>
            </w:r>
          </w:p>
          <w:p w14:paraId="765EEA93">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（7）过滤</w:t>
            </w:r>
          </w:p>
          <w:p w14:paraId="4329B5A7">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将澄清后果酒原液先使用滤棉过滤再进入除菌过滤机，将果酒中的沉淀物质分离出来，从而保证果酒达到透明、澄清的效果。该工序主要产生固废。</w:t>
            </w:r>
          </w:p>
          <w:p w14:paraId="4A6AC5BF">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（8）杀菌</w:t>
            </w:r>
          </w:p>
          <w:p w14:paraId="555922FF">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过滤后的酒液</w:t>
            </w:r>
            <w:r>
              <w:rPr>
                <w:rFonts w:hint="eastAsia"/>
                <w:color w:val="000000" w:themeColor="text1"/>
                <w:kern w:val="0"/>
                <w:sz w:val="24"/>
                <w14:textFill>
                  <w14:solidFill>
                    <w14:schemeClr w14:val="tx1"/>
                  </w14:solidFill>
                </w14:textFill>
              </w:rPr>
              <w:t>通过管道进入高温杀菌机</w:t>
            </w:r>
            <w:r>
              <w:rPr>
                <w:color w:val="000000" w:themeColor="text1"/>
                <w:kern w:val="0"/>
                <w:sz w:val="24"/>
                <w14:textFill>
                  <w14:solidFill>
                    <w14:schemeClr w14:val="tx1"/>
                  </w14:solidFill>
                </w14:textFill>
              </w:rPr>
              <w:t>开始进行杀菌，灭菌采用蒸汽杀菌，品温在</w:t>
            </w:r>
            <w:r>
              <w:rPr>
                <w:rFonts w:hint="eastAsia"/>
                <w:color w:val="000000" w:themeColor="text1"/>
                <w:kern w:val="0"/>
                <w:sz w:val="24"/>
                <w14:textFill>
                  <w14:solidFill>
                    <w14:schemeClr w14:val="tx1"/>
                  </w14:solidFill>
                </w14:textFill>
              </w:rPr>
              <w:t>90</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左右</w:t>
            </w:r>
            <w:r>
              <w:rPr>
                <w:color w:val="000000" w:themeColor="text1"/>
                <w:kern w:val="0"/>
                <w:sz w:val="24"/>
                <w14:textFill>
                  <w14:solidFill>
                    <w14:schemeClr w14:val="tx1"/>
                  </w14:solidFill>
                </w14:textFill>
              </w:rPr>
              <w:t>，保温灭菌30min以上。经高温杀菌后的酒液</w:t>
            </w:r>
            <w:r>
              <w:rPr>
                <w:rFonts w:hint="eastAsia"/>
                <w:color w:val="000000" w:themeColor="text1"/>
                <w:kern w:val="0"/>
                <w:sz w:val="24"/>
                <w14:textFill>
                  <w14:solidFill>
                    <w14:schemeClr w14:val="tx1"/>
                  </w14:solidFill>
                </w14:textFill>
              </w:rPr>
              <w:t>再</w:t>
            </w:r>
            <w:r>
              <w:rPr>
                <w:color w:val="000000" w:themeColor="text1"/>
                <w:kern w:val="0"/>
                <w:sz w:val="24"/>
                <w14:textFill>
                  <w14:solidFill>
                    <w14:schemeClr w14:val="tx1"/>
                  </w14:solidFill>
                </w14:textFill>
              </w:rPr>
              <w:t>泵至</w:t>
            </w:r>
            <w:r>
              <w:rPr>
                <w:rFonts w:hint="eastAsia"/>
                <w:color w:val="000000" w:themeColor="text1"/>
                <w:sz w:val="24"/>
                <w:lang w:val="en-US" w:eastAsia="zh-CN"/>
                <w14:textFill>
                  <w14:solidFill>
                    <w14:schemeClr w14:val="tx1"/>
                  </w14:solidFill>
                </w14:textFill>
              </w:rPr>
              <w:t>陈酿</w:t>
            </w:r>
            <w:r>
              <w:rPr>
                <w:color w:val="000000" w:themeColor="text1"/>
                <w:kern w:val="0"/>
                <w:sz w:val="24"/>
                <w14:textFill>
                  <w14:solidFill>
                    <w14:schemeClr w14:val="tx1"/>
                  </w14:solidFill>
                </w14:textFill>
              </w:rPr>
              <w:t>罐内进行贮存</w:t>
            </w:r>
            <w:r>
              <w:rPr>
                <w:rFonts w:hint="eastAsia"/>
                <w:color w:val="000000" w:themeColor="text1"/>
                <w:kern w:val="0"/>
                <w:sz w:val="24"/>
                <w14:textFill>
                  <w14:solidFill>
                    <w14:schemeClr w14:val="tx1"/>
                  </w14:solidFill>
                </w14:textFill>
              </w:rPr>
              <w:t>；项目杀菌冷凝水回用于蒸汽发生器。</w:t>
            </w:r>
          </w:p>
          <w:p w14:paraId="609391AF">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（9）灌装</w:t>
            </w:r>
          </w:p>
          <w:p w14:paraId="0A496D8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将购进的玻璃酒瓶分批次放入灌装线中进行自动清洗。酒瓶清洗采用纯水进行清洗；清洗不添加清洗剂，清洗废水较洁净，清洗后玻瓶经过灌装线倒放设施晾干，以待灌装。</w:t>
            </w:r>
          </w:p>
          <w:p w14:paraId="4857592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过滤后</w:t>
            </w:r>
            <w:r>
              <w:rPr>
                <w:color w:val="000000" w:themeColor="text1"/>
                <w:sz w:val="24"/>
                <w14:textFill>
                  <w14:solidFill>
                    <w14:schemeClr w14:val="tx1"/>
                  </w14:solidFill>
                </w14:textFill>
              </w:rPr>
              <w:t>的酒液采用泵通过管道输送至储酒罐中转。通过灌装线灌装由输送带输送过来的洁净空瓶，灌装后通过灌装线进行压盖封口，经灯检箱灯检后进入包装车间再通过贴标、激光喷码，最终产品包装入库。</w:t>
            </w:r>
          </w:p>
          <w:p w14:paraId="3DDED51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1.2、饮料产品生产工艺流程</w:t>
            </w:r>
          </w:p>
          <w:p w14:paraId="09E5FF92">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1.2.1 植物饮料</w:t>
            </w:r>
            <w:r>
              <w:rPr>
                <w:color w:val="000000" w:themeColor="text1"/>
                <w:kern w:val="52"/>
                <w:sz w:val="24"/>
                <w14:textFill>
                  <w14:solidFill>
                    <w14:schemeClr w14:val="tx1"/>
                  </w14:solidFill>
                </w14:textFill>
              </w:rPr>
              <w:t>生产工艺流程及产污环节图</w:t>
            </w:r>
          </w:p>
          <w:tbl>
            <w:tblPr>
              <w:tblStyle w:val="2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81"/>
            </w:tblGrid>
            <w:tr w14:paraId="5C9A15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18" w:hRule="atLeast"/>
              </w:trPr>
              <w:tc>
                <w:tcPr>
                  <w:tcW w:w="9286" w:type="dxa"/>
                  <w:vAlign w:val="center"/>
                </w:tcPr>
                <w:p w14:paraId="30F14738">
                  <w:pPr>
                    <w:tabs>
                      <w:tab w:val="left" w:pos="1081"/>
                    </w:tabs>
                    <w:adjustRightInd w:val="0"/>
                    <w:snapToGrid w:val="0"/>
                    <w:spacing w:line="360" w:lineRule="auto"/>
                    <w:jc w:val="center"/>
                    <w:rPr>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0" distR="0">
                        <wp:extent cx="5617845" cy="1981200"/>
                        <wp:effectExtent l="0" t="0" r="1905" b="18415"/>
                        <wp:docPr id="1045" name="图片 9"/>
                        <wp:cNvGraphicFramePr/>
                        <a:graphic xmlns:a="http://schemas.openxmlformats.org/drawingml/2006/main">
                          <a:graphicData uri="http://schemas.openxmlformats.org/drawingml/2006/picture">
                            <pic:pic xmlns:pic="http://schemas.openxmlformats.org/drawingml/2006/picture">
                              <pic:nvPicPr>
                                <pic:cNvPr id="1045" name="图片 9"/>
                                <pic:cNvPicPr/>
                              </pic:nvPicPr>
                              <pic:blipFill>
                                <a:blip r:embed="rId36" cstate="print"/>
                                <a:srcRect/>
                                <a:stretch>
                                  <a:fillRect/>
                                </a:stretch>
                              </pic:blipFill>
                              <pic:spPr>
                                <a:xfrm>
                                  <a:off x="0" y="0"/>
                                  <a:ext cx="5617845" cy="1981834"/>
                                </a:xfrm>
                                <a:prstGeom prst="rect">
                                  <a:avLst/>
                                </a:prstGeom>
                                <a:ln>
                                  <a:noFill/>
                                </a:ln>
                              </pic:spPr>
                            </pic:pic>
                          </a:graphicData>
                        </a:graphic>
                      </wp:inline>
                    </w:drawing>
                  </w:r>
                </w:p>
              </w:tc>
            </w:tr>
            <w:tr w14:paraId="5E3FEF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286" w:type="dxa"/>
                </w:tcPr>
                <w:p w14:paraId="439A8CB3">
                  <w:pPr>
                    <w:tabs>
                      <w:tab w:val="left" w:pos="1081"/>
                    </w:tabs>
                    <w:adjustRightInd w:val="0"/>
                    <w:snapToGrid w:val="0"/>
                    <w:spacing w:line="360" w:lineRule="auto"/>
                    <w:jc w:val="center"/>
                    <w:rPr>
                      <w:color w:val="000000" w:themeColor="text1"/>
                      <w:sz w:val="24"/>
                      <w14:textFill>
                        <w14:solidFill>
                          <w14:schemeClr w14:val="tx1"/>
                        </w14:solidFill>
                      </w14:textFill>
                    </w:rPr>
                  </w:pPr>
                  <w:r>
                    <w:rPr>
                      <w:b/>
                      <w:color w:val="000000" w:themeColor="text1"/>
                      <w:kern w:val="52"/>
                      <w:sz w:val="24"/>
                      <w14:textFill>
                        <w14:solidFill>
                          <w14:schemeClr w14:val="tx1"/>
                        </w14:solidFill>
                      </w14:textFill>
                    </w:rPr>
                    <w:t>图2-</w:t>
                  </w:r>
                  <w:r>
                    <w:rPr>
                      <w:rFonts w:hint="eastAsia"/>
                      <w:b/>
                      <w:color w:val="000000" w:themeColor="text1"/>
                      <w:kern w:val="52"/>
                      <w:sz w:val="24"/>
                      <w14:textFill>
                        <w14:solidFill>
                          <w14:schemeClr w14:val="tx1"/>
                        </w14:solidFill>
                      </w14:textFill>
                    </w:rPr>
                    <w:t>19  植物饮料</w:t>
                  </w:r>
                  <w:r>
                    <w:rPr>
                      <w:b/>
                      <w:color w:val="000000" w:themeColor="text1"/>
                      <w:kern w:val="52"/>
                      <w:sz w:val="24"/>
                      <w14:textFill>
                        <w14:solidFill>
                          <w14:schemeClr w14:val="tx1"/>
                        </w14:solidFill>
                      </w14:textFill>
                    </w:rPr>
                    <w:t>生产工艺流程及产污环节图</w:t>
                  </w:r>
                </w:p>
              </w:tc>
            </w:tr>
          </w:tbl>
          <w:p w14:paraId="11948819">
            <w:pPr>
              <w:tabs>
                <w:tab w:val="left" w:pos="1081"/>
              </w:tabs>
              <w:adjustRightInd w:val="0"/>
              <w:snapToGrid w:val="0"/>
              <w:spacing w:line="360" w:lineRule="auto"/>
              <w:ind w:firstLine="482" w:firstLineChars="200"/>
              <w:rPr>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4A23A771">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（1）清洗</w:t>
            </w:r>
          </w:p>
          <w:p w14:paraId="3617B2C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将原料（山楂、大麦、茯苓、桑葚以及枸杞子）落入清洗机，对原料（山楂、大麦、茯苓、桑葚以及枸杞子）进行清洗，以洗去粘附在原料上的泥沙、杂质等。清洗过程利用自来水进行清洗，不添加清洗剂。此过程会产生清洗废水及设备噪声。</w:t>
            </w:r>
          </w:p>
          <w:p w14:paraId="1AC503A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（2）烘干</w:t>
            </w:r>
          </w:p>
          <w:p w14:paraId="4B0BA12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将清洗后的原料（山楂、大麦、茯苓、桑葚以及枸杞子）放入烘烤箱进行烘干处理，烘烤箱采用电加热处理，烘干温度为60℃左右。</w:t>
            </w:r>
          </w:p>
          <w:p w14:paraId="62FECEA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（3）粉碎</w:t>
            </w:r>
          </w:p>
          <w:p w14:paraId="48D0CED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在</w:t>
            </w:r>
            <w:r>
              <w:rPr>
                <w:color w:val="000000" w:themeColor="text1"/>
                <w:sz w:val="24"/>
                <w14:textFill>
                  <w14:solidFill>
                    <w14:schemeClr w14:val="tx1"/>
                  </w14:solidFill>
                </w14:textFill>
              </w:rPr>
              <w:t>烘烤箱</w:t>
            </w:r>
            <w:r>
              <w:rPr>
                <w:rFonts w:hint="eastAsia"/>
                <w:color w:val="000000" w:themeColor="text1"/>
                <w:sz w:val="24"/>
                <w14:textFill>
                  <w14:solidFill>
                    <w14:schemeClr w14:val="tx1"/>
                  </w14:solidFill>
                </w14:textFill>
              </w:rPr>
              <w:t>中烘干后的原料经粉碎机粉碎后，再经振动筛过筛后，符合要求的经振动筛进入下一工序，不符合要求的经粉碎机粉碎后在进入振动筛筛分合格后进入下一工序。此过程会产生废气及设备噪声。</w:t>
            </w:r>
          </w:p>
          <w:p w14:paraId="7977FD2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（4）提取</w:t>
            </w:r>
          </w:p>
          <w:p w14:paraId="5DEB18A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粉碎</w:t>
            </w:r>
            <w:r>
              <w:rPr>
                <w:color w:val="000000" w:themeColor="text1"/>
                <w:sz w:val="24"/>
                <w14:textFill>
                  <w14:solidFill>
                    <w14:schemeClr w14:val="tx1"/>
                  </w14:solidFill>
                </w14:textFill>
              </w:rPr>
              <w:t>过的物料（山楂、大麦、茯苓等）</w:t>
            </w:r>
            <w:r>
              <w:rPr>
                <w:rFonts w:hint="eastAsia"/>
                <w:color w:val="000000" w:themeColor="text1"/>
                <w:sz w:val="24"/>
                <w14:textFill>
                  <w14:solidFill>
                    <w14:schemeClr w14:val="tx1"/>
                  </w14:solidFill>
                </w14:textFill>
              </w:rPr>
              <w:t>分别</w:t>
            </w:r>
            <w:r>
              <w:rPr>
                <w:color w:val="000000" w:themeColor="text1"/>
                <w:sz w:val="24"/>
                <w14:textFill>
                  <w14:solidFill>
                    <w14:schemeClr w14:val="tx1"/>
                  </w14:solidFill>
                </w14:textFill>
              </w:rPr>
              <w:t>经提取设备上料工段进入提取工段，向提取设备内加水，通过蒸汽加热至</w:t>
            </w:r>
            <w:r>
              <w:rPr>
                <w:rFonts w:hint="eastAsia"/>
                <w:color w:val="000000" w:themeColor="text1"/>
                <w:sz w:val="24"/>
                <w14:textFill>
                  <w14:solidFill>
                    <w14:schemeClr w14:val="tx1"/>
                  </w14:solidFill>
                </w14:textFill>
              </w:rPr>
              <w:t>90</w:t>
            </w:r>
            <w:r>
              <w:rPr>
                <w:color w:val="000000" w:themeColor="text1"/>
                <w:sz w:val="24"/>
                <w14:textFill>
                  <w14:solidFill>
                    <w14:schemeClr w14:val="tx1"/>
                  </w14:solidFill>
                </w14:textFill>
              </w:rPr>
              <w:t>℃进行蒸煮，经蒸煮后的液体通过泵打入提取储液罐。提取后经提取设备自带的过滤器过滤出来的山楂、大麦、茯苓等原料的残渣进行处理后放入一般固废暂存间内，定期外售，水分含量较小。蒸汽加热采用</w:t>
            </w:r>
            <w:r>
              <w:rPr>
                <w:rFonts w:hint="eastAsia"/>
                <w:color w:val="000000" w:themeColor="text1"/>
                <w:sz w:val="24"/>
                <w14:textFill>
                  <w14:solidFill>
                    <w14:schemeClr w14:val="tx1"/>
                  </w14:solidFill>
                </w14:textFill>
              </w:rPr>
              <w:t>蒸汽发生器</w:t>
            </w:r>
            <w:r>
              <w:rPr>
                <w:color w:val="000000" w:themeColor="text1"/>
                <w:sz w:val="24"/>
                <w14:textFill>
                  <w14:solidFill>
                    <w14:schemeClr w14:val="tx1"/>
                  </w14:solidFill>
                </w14:textFill>
              </w:rPr>
              <w:t>进行加热，能源为</w:t>
            </w:r>
            <w:r>
              <w:rPr>
                <w:rFonts w:hint="eastAsia"/>
                <w:color w:val="000000" w:themeColor="text1"/>
                <w:sz w:val="24"/>
                <w14:textFill>
                  <w14:solidFill>
                    <w14:schemeClr w14:val="tx1"/>
                  </w14:solidFill>
                </w14:textFill>
              </w:rPr>
              <w:t>天然气</w:t>
            </w:r>
            <w:r>
              <w:rPr>
                <w:color w:val="000000" w:themeColor="text1"/>
                <w:sz w:val="24"/>
                <w14:textFill>
                  <w14:solidFill>
                    <w14:schemeClr w14:val="tx1"/>
                  </w14:solidFill>
                </w14:textFill>
              </w:rPr>
              <w:t>。此过程会产生废气、废水、固废</w:t>
            </w:r>
            <w:r>
              <w:rPr>
                <w:rFonts w:hint="eastAsia"/>
                <w:color w:val="000000" w:themeColor="text1"/>
                <w:sz w:val="24"/>
                <w14:textFill>
                  <w14:solidFill>
                    <w14:schemeClr w14:val="tx1"/>
                  </w14:solidFill>
                </w14:textFill>
              </w:rPr>
              <w:t>以及</w:t>
            </w:r>
            <w:r>
              <w:rPr>
                <w:color w:val="000000" w:themeColor="text1"/>
                <w:sz w:val="24"/>
                <w14:textFill>
                  <w14:solidFill>
                    <w14:schemeClr w14:val="tx1"/>
                  </w14:solidFill>
                </w14:textFill>
              </w:rPr>
              <w:t>噪声。</w:t>
            </w:r>
          </w:p>
          <w:p w14:paraId="43F6988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（5）称量</w:t>
            </w:r>
          </w:p>
          <w:p w14:paraId="2FC968D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经提取工序提取后的原料采用电子秤按照比例进行称量，称量后进入混合罐进行混合操作。此过程会产生废气。</w:t>
            </w:r>
          </w:p>
          <w:p w14:paraId="085E1D9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（6）混合</w:t>
            </w:r>
          </w:p>
          <w:p w14:paraId="2AD8B87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经电子秤称量后的原料按比例放入混合罐内进行混合搅拌，充分混合搅拌后进入下一工序。此过程会产生废气及设备噪声。</w:t>
            </w:r>
          </w:p>
          <w:p w14:paraId="6378753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（7）高温杀菌</w:t>
            </w:r>
          </w:p>
          <w:p w14:paraId="63A93940">
            <w:pPr>
              <w:tabs>
                <w:tab w:val="left" w:pos="1081"/>
              </w:tabs>
              <w:adjustRightInd w:val="0"/>
              <w:snapToGrid w:val="0"/>
              <w:spacing w:line="360" w:lineRule="auto"/>
              <w:ind w:firstLine="480" w:firstLineChars="200"/>
              <w:rPr>
                <w:color w:val="000000" w:themeColor="text1"/>
                <w:kern w:val="32"/>
                <w:sz w:val="24"/>
                <w14:textFill>
                  <w14:solidFill>
                    <w14:schemeClr w14:val="tx1"/>
                  </w14:solidFill>
                </w14:textFill>
              </w:rPr>
            </w:pPr>
            <w:r>
              <w:rPr>
                <w:rFonts w:hint="eastAsia"/>
                <w:color w:val="000000" w:themeColor="text1"/>
                <w:sz w:val="24"/>
                <w14:textFill>
                  <w14:solidFill>
                    <w14:schemeClr w14:val="tx1"/>
                  </w14:solidFill>
                </w14:textFill>
              </w:rPr>
              <w:t>混合</w:t>
            </w:r>
            <w:r>
              <w:rPr>
                <w:color w:val="000000" w:themeColor="text1"/>
                <w:kern w:val="32"/>
                <w:sz w:val="24"/>
                <w14:textFill>
                  <w14:solidFill>
                    <w14:schemeClr w14:val="tx1"/>
                  </w14:solidFill>
                </w14:textFill>
              </w:rPr>
              <w:t>后的</w:t>
            </w:r>
            <w:r>
              <w:rPr>
                <w:rFonts w:hint="eastAsia"/>
                <w:color w:val="000000" w:themeColor="text1"/>
                <w:kern w:val="32"/>
                <w:sz w:val="24"/>
                <w14:textFill>
                  <w14:solidFill>
                    <w14:schemeClr w14:val="tx1"/>
                  </w14:solidFill>
                </w14:textFill>
              </w:rPr>
              <w:t>饮料</w:t>
            </w:r>
            <w:r>
              <w:rPr>
                <w:color w:val="000000" w:themeColor="text1"/>
                <w:kern w:val="32"/>
                <w:sz w:val="24"/>
                <w14:textFill>
                  <w14:solidFill>
                    <w14:schemeClr w14:val="tx1"/>
                  </w14:solidFill>
                </w14:textFill>
              </w:rPr>
              <w:t>通过管道进入高温杀菌机开始进行杀菌，灭菌采用蒸汽杀菌，品温在90℃左右，保温灭菌30min以上。经高温杀菌后的</w:t>
            </w:r>
            <w:r>
              <w:rPr>
                <w:rFonts w:hint="eastAsia"/>
                <w:color w:val="000000" w:themeColor="text1"/>
                <w:kern w:val="32"/>
                <w:sz w:val="24"/>
                <w14:textFill>
                  <w14:solidFill>
                    <w14:schemeClr w14:val="tx1"/>
                  </w14:solidFill>
                </w14:textFill>
              </w:rPr>
              <w:t>饮料经管道进入下一工序。</w:t>
            </w:r>
          </w:p>
          <w:p w14:paraId="1EA39B6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（8）灌装</w:t>
            </w:r>
          </w:p>
          <w:p w14:paraId="7C1A698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将购进的</w:t>
            </w:r>
            <w:r>
              <w:rPr>
                <w:rFonts w:hint="eastAsia"/>
                <w:color w:val="000000" w:themeColor="text1"/>
                <w:sz w:val="24"/>
                <w14:textFill>
                  <w14:solidFill>
                    <w14:schemeClr w14:val="tx1"/>
                  </w14:solidFill>
                </w14:textFill>
              </w:rPr>
              <w:t>塑料瓶</w:t>
            </w:r>
            <w:r>
              <w:rPr>
                <w:color w:val="000000" w:themeColor="text1"/>
                <w:sz w:val="24"/>
                <w14:textFill>
                  <w14:solidFill>
                    <w14:schemeClr w14:val="tx1"/>
                  </w14:solidFill>
                </w14:textFill>
              </w:rPr>
              <w:t>分批次放入灌装线中进行自动清洗。</w:t>
            </w:r>
            <w:r>
              <w:rPr>
                <w:rFonts w:hint="eastAsia"/>
                <w:color w:val="000000" w:themeColor="text1"/>
                <w:sz w:val="24"/>
                <w14:textFill>
                  <w14:solidFill>
                    <w14:schemeClr w14:val="tx1"/>
                  </w14:solidFill>
                </w14:textFill>
              </w:rPr>
              <w:t>塑料瓶</w:t>
            </w:r>
            <w:r>
              <w:rPr>
                <w:color w:val="000000" w:themeColor="text1"/>
                <w:sz w:val="24"/>
                <w14:textFill>
                  <w14:solidFill>
                    <w14:schemeClr w14:val="tx1"/>
                  </w14:solidFill>
                </w14:textFill>
              </w:rPr>
              <w:t>清洗采用纯水进行清洗；清洗不添加清洗剂，清洗废水较洁净，清洗后</w:t>
            </w:r>
            <w:r>
              <w:rPr>
                <w:rFonts w:hint="eastAsia"/>
                <w:color w:val="000000" w:themeColor="text1"/>
                <w:sz w:val="24"/>
                <w14:textFill>
                  <w14:solidFill>
                    <w14:schemeClr w14:val="tx1"/>
                  </w14:solidFill>
                </w14:textFill>
              </w:rPr>
              <w:t>塑料瓶</w:t>
            </w:r>
            <w:r>
              <w:rPr>
                <w:color w:val="000000" w:themeColor="text1"/>
                <w:sz w:val="24"/>
                <w14:textFill>
                  <w14:solidFill>
                    <w14:schemeClr w14:val="tx1"/>
                  </w14:solidFill>
                </w14:textFill>
              </w:rPr>
              <w:t>经过灌装线倒放设施晾干，以待灌装。</w:t>
            </w:r>
          </w:p>
          <w:p w14:paraId="1C0251A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高温杀菌</w:t>
            </w:r>
            <w:r>
              <w:rPr>
                <w:color w:val="000000" w:themeColor="text1"/>
                <w:sz w:val="24"/>
                <w14:textFill>
                  <w14:solidFill>
                    <w14:schemeClr w14:val="tx1"/>
                  </w14:solidFill>
                </w14:textFill>
              </w:rPr>
              <w:t>后的</w:t>
            </w:r>
            <w:r>
              <w:rPr>
                <w:rFonts w:hint="eastAsia"/>
                <w:color w:val="000000" w:themeColor="text1"/>
                <w:kern w:val="32"/>
                <w:sz w:val="24"/>
                <w14:textFill>
                  <w14:solidFill>
                    <w14:schemeClr w14:val="tx1"/>
                  </w14:solidFill>
                </w14:textFill>
              </w:rPr>
              <w:t>饮料</w:t>
            </w:r>
            <w:r>
              <w:rPr>
                <w:color w:val="000000" w:themeColor="text1"/>
                <w:sz w:val="24"/>
                <w14:textFill>
                  <w14:solidFill>
                    <w14:schemeClr w14:val="tx1"/>
                  </w14:solidFill>
                </w14:textFill>
              </w:rPr>
              <w:t>采用泵通过管道输送至灌装线。通过灌装线灌装由输送带输送过来的洁净空瓶，灌装后通过灌装线进行压盖封口，最终产品包装入库。</w:t>
            </w:r>
            <w:r>
              <w:rPr>
                <w:rFonts w:hint="eastAsia"/>
                <w:color w:val="000000" w:themeColor="text1"/>
                <w:sz w:val="24"/>
                <w14:textFill>
                  <w14:solidFill>
                    <w14:schemeClr w14:val="tx1"/>
                  </w14:solidFill>
                </w14:textFill>
              </w:rPr>
              <w:t>此过程会产生废水及设备噪声。</w:t>
            </w:r>
          </w:p>
          <w:p w14:paraId="1C838A8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1.2.2 袋泡茶</w:t>
            </w:r>
            <w:r>
              <w:rPr>
                <w:color w:val="000000" w:themeColor="text1"/>
                <w:kern w:val="52"/>
                <w:sz w:val="24"/>
                <w14:textFill>
                  <w14:solidFill>
                    <w14:schemeClr w14:val="tx1"/>
                  </w14:solidFill>
                </w14:textFill>
              </w:rPr>
              <w:t>生产工艺流程及产污环节图</w:t>
            </w:r>
          </w:p>
          <w:tbl>
            <w:tblPr>
              <w:tblStyle w:val="2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81"/>
            </w:tblGrid>
            <w:tr w14:paraId="2FC5F4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86" w:type="dxa"/>
                  <w:vAlign w:val="center"/>
                </w:tcPr>
                <w:p w14:paraId="2964D2FF">
                  <w:pPr>
                    <w:tabs>
                      <w:tab w:val="left" w:pos="1081"/>
                    </w:tabs>
                    <w:adjustRightInd w:val="0"/>
                    <w:snapToGrid w:val="0"/>
                    <w:spacing w:line="360" w:lineRule="auto"/>
                    <w:jc w:val="center"/>
                    <w:rPr>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0" distR="0">
                        <wp:extent cx="5630545" cy="1896745"/>
                        <wp:effectExtent l="0" t="0" r="8255" b="8255"/>
                        <wp:docPr id="1046" name="图片 10"/>
                        <wp:cNvGraphicFramePr/>
                        <a:graphic xmlns:a="http://schemas.openxmlformats.org/drawingml/2006/main">
                          <a:graphicData uri="http://schemas.openxmlformats.org/drawingml/2006/picture">
                            <pic:pic xmlns:pic="http://schemas.openxmlformats.org/drawingml/2006/picture">
                              <pic:nvPicPr>
                                <pic:cNvPr id="1046" name="图片 10"/>
                                <pic:cNvPicPr/>
                              </pic:nvPicPr>
                              <pic:blipFill>
                                <a:blip r:embed="rId37" cstate="print"/>
                                <a:srcRect/>
                                <a:stretch>
                                  <a:fillRect/>
                                </a:stretch>
                              </pic:blipFill>
                              <pic:spPr>
                                <a:xfrm>
                                  <a:off x="0" y="0"/>
                                  <a:ext cx="5630545" cy="1896745"/>
                                </a:xfrm>
                                <a:prstGeom prst="rect">
                                  <a:avLst/>
                                </a:prstGeom>
                                <a:ln>
                                  <a:noFill/>
                                </a:ln>
                              </pic:spPr>
                            </pic:pic>
                          </a:graphicData>
                        </a:graphic>
                      </wp:inline>
                    </w:drawing>
                  </w:r>
                </w:p>
              </w:tc>
            </w:tr>
            <w:tr w14:paraId="60F7F5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86" w:type="dxa"/>
                  <w:vAlign w:val="center"/>
                </w:tcPr>
                <w:p w14:paraId="223FC8AB">
                  <w:pPr>
                    <w:tabs>
                      <w:tab w:val="left" w:pos="1081"/>
                    </w:tabs>
                    <w:adjustRightInd w:val="0"/>
                    <w:snapToGrid w:val="0"/>
                    <w:spacing w:line="360" w:lineRule="auto"/>
                    <w:jc w:val="center"/>
                    <w:rPr>
                      <w:color w:val="000000" w:themeColor="text1"/>
                      <w:sz w:val="24"/>
                      <w14:textFill>
                        <w14:solidFill>
                          <w14:schemeClr w14:val="tx1"/>
                        </w14:solidFill>
                      </w14:textFill>
                    </w:rPr>
                  </w:pPr>
                  <w:r>
                    <w:rPr>
                      <w:b/>
                      <w:color w:val="000000" w:themeColor="text1"/>
                      <w:kern w:val="52"/>
                      <w:sz w:val="24"/>
                      <w14:textFill>
                        <w14:solidFill>
                          <w14:schemeClr w14:val="tx1"/>
                        </w14:solidFill>
                      </w14:textFill>
                    </w:rPr>
                    <w:t>图2-</w:t>
                  </w:r>
                  <w:r>
                    <w:rPr>
                      <w:rFonts w:hint="eastAsia"/>
                      <w:b/>
                      <w:color w:val="000000" w:themeColor="text1"/>
                      <w:kern w:val="52"/>
                      <w:sz w:val="24"/>
                      <w14:textFill>
                        <w14:solidFill>
                          <w14:schemeClr w14:val="tx1"/>
                        </w14:solidFill>
                      </w14:textFill>
                    </w:rPr>
                    <w:t>20  袋泡茶</w:t>
                  </w:r>
                  <w:r>
                    <w:rPr>
                      <w:b/>
                      <w:color w:val="000000" w:themeColor="text1"/>
                      <w:kern w:val="52"/>
                      <w:sz w:val="24"/>
                      <w14:textFill>
                        <w14:solidFill>
                          <w14:schemeClr w14:val="tx1"/>
                        </w14:solidFill>
                      </w14:textFill>
                    </w:rPr>
                    <w:t>生产工艺流程及产污环节图</w:t>
                  </w:r>
                </w:p>
              </w:tc>
            </w:tr>
          </w:tbl>
          <w:p w14:paraId="10BC5992">
            <w:pPr>
              <w:tabs>
                <w:tab w:val="left" w:pos="1081"/>
              </w:tabs>
              <w:adjustRightInd w:val="0"/>
              <w:snapToGrid w:val="0"/>
              <w:spacing w:line="360" w:lineRule="auto"/>
              <w:ind w:firstLine="482" w:firstLineChars="200"/>
              <w:rPr>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4DE2D20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（1）清洗</w:t>
            </w:r>
          </w:p>
          <w:p w14:paraId="009ABA6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将原料（铁观音、野山茶、荷叶、甘草、菊花以及大枣）落入清洗机，对原料（铁观音、野山茶、荷叶、甘草、菊花以及大枣）进行清洗，以洗去粘附在原料上的泥沙、杂质等。清洗过程利用自来水进行清洗，不添加清洗剂。此过程会产生清洗废水及设备噪声。</w:t>
            </w:r>
          </w:p>
          <w:p w14:paraId="4433696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（2）烘干</w:t>
            </w:r>
          </w:p>
          <w:p w14:paraId="010CEC6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将清洗后的原料（</w:t>
            </w:r>
            <w:r>
              <w:rPr>
                <w:rFonts w:hint="eastAsia"/>
                <w:color w:val="000000" w:themeColor="text1"/>
                <w:sz w:val="24"/>
                <w14:textFill>
                  <w14:solidFill>
                    <w14:schemeClr w14:val="tx1"/>
                  </w14:solidFill>
                </w14:textFill>
              </w:rPr>
              <w:t>铁观音、野山茶、荷叶、甘草、菊花以及大枣</w:t>
            </w:r>
            <w:r>
              <w:rPr>
                <w:color w:val="000000" w:themeColor="text1"/>
                <w:sz w:val="24"/>
                <w14:textFill>
                  <w14:solidFill>
                    <w14:schemeClr w14:val="tx1"/>
                  </w14:solidFill>
                </w14:textFill>
              </w:rPr>
              <w:t>）放入烘烤箱进行烘干处理，烘烤箱采用电加热处理，烘干温度为60℃左右。</w:t>
            </w:r>
          </w:p>
          <w:p w14:paraId="3F569982">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（3）粉碎/研磨</w:t>
            </w:r>
          </w:p>
          <w:p w14:paraId="295BFC0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在</w:t>
            </w:r>
            <w:r>
              <w:rPr>
                <w:color w:val="000000" w:themeColor="text1"/>
                <w:sz w:val="24"/>
                <w14:textFill>
                  <w14:solidFill>
                    <w14:schemeClr w14:val="tx1"/>
                  </w14:solidFill>
                </w14:textFill>
              </w:rPr>
              <w:t>烘烤箱</w:t>
            </w:r>
            <w:r>
              <w:rPr>
                <w:rFonts w:hint="eastAsia"/>
                <w:color w:val="000000" w:themeColor="text1"/>
                <w:sz w:val="24"/>
                <w14:textFill>
                  <w14:solidFill>
                    <w14:schemeClr w14:val="tx1"/>
                  </w14:solidFill>
                </w14:textFill>
              </w:rPr>
              <w:t>中烘干后的原料经粉碎机粉碎后在进入研磨机研磨后进入下一工序。此过程会产生废气及设备噪声。</w:t>
            </w:r>
          </w:p>
          <w:p w14:paraId="0724C4D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（4）混合</w:t>
            </w:r>
          </w:p>
          <w:p w14:paraId="4C0AC22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经粉碎/研磨后的原料按比例放入混合机内进行混合搅拌，充分混合搅拌后进入下一工序。此过程会产生废气及设备噪声。</w:t>
            </w:r>
          </w:p>
          <w:p w14:paraId="633F64A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（5）制粒</w:t>
            </w:r>
          </w:p>
          <w:p w14:paraId="3B7D610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将混合后的物料投入制粒机内进行制粒。</w:t>
            </w:r>
            <w:r>
              <w:rPr>
                <w:rFonts w:hint="eastAsia"/>
                <w:color w:val="000000" w:themeColor="text1"/>
                <w:sz w:val="24"/>
                <w14:textFill>
                  <w14:solidFill>
                    <w14:schemeClr w14:val="tx1"/>
                  </w14:solidFill>
                </w14:textFill>
              </w:rPr>
              <w:t>此过程会产生废气及设备噪声</w:t>
            </w:r>
            <w:r>
              <w:rPr>
                <w:color w:val="000000" w:themeColor="text1"/>
                <w:sz w:val="24"/>
                <w14:textFill>
                  <w14:solidFill>
                    <w14:schemeClr w14:val="tx1"/>
                  </w14:solidFill>
                </w14:textFill>
              </w:rPr>
              <w:t>。</w:t>
            </w:r>
          </w:p>
          <w:p w14:paraId="10895ED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（6）内包</w:t>
            </w:r>
          </w:p>
          <w:p w14:paraId="587E931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将制粒后的物料加入分包机的料斗，按照袋泡茶规格尺寸进行内包；此过程会产生废气及设备噪声。</w:t>
            </w:r>
          </w:p>
          <w:p w14:paraId="53CEE95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（7）检验、包装入库</w:t>
            </w:r>
          </w:p>
          <w:p w14:paraId="0FC0416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对内包完成后的袋泡茶进行检验无破损后进行装盒后入库。</w:t>
            </w:r>
          </w:p>
        </w:tc>
      </w:tr>
    </w:tbl>
    <w:p w14:paraId="49E4890E">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5"/>
        <w:tblW w:w="4985"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92"/>
        <w:gridCol w:w="9434"/>
      </w:tblGrid>
      <w:tr w14:paraId="01FF80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63" w:hRule="atLeast"/>
          <w:jc w:val="center"/>
        </w:trPr>
        <w:tc>
          <w:tcPr>
            <w:tcW w:w="248" w:type="pct"/>
            <w:vAlign w:val="center"/>
          </w:tcPr>
          <w:p w14:paraId="6F4510C8">
            <w:pPr>
              <w:pStyle w:val="21"/>
              <w:adjustRightInd w:val="0"/>
              <w:snapToGrid w:val="0"/>
              <w:spacing w:before="0" w:beforeAutospacing="0" w:after="0" w:afterAutospacing="0"/>
              <w:jc w:val="center"/>
              <w:rPr>
                <w:rFonts w:ascii="Times New Roman" w:hAnsi="Times New Roman"/>
                <w:color w:val="000000" w:themeColor="text1"/>
                <w:szCs w:val="24"/>
                <w14:textFill>
                  <w14:solidFill>
                    <w14:schemeClr w14:val="tx1"/>
                  </w14:solidFill>
                </w14:textFill>
              </w:rPr>
            </w:pPr>
          </w:p>
        </w:tc>
        <w:tc>
          <w:tcPr>
            <w:tcW w:w="4751" w:type="pct"/>
          </w:tcPr>
          <w:p w14:paraId="2D47916F">
            <w:pPr>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1.3、医疗器械产品生产工艺流程</w:t>
            </w:r>
          </w:p>
          <w:p w14:paraId="4E62915A">
            <w:pPr>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1.3.1 医用手术衣</w:t>
            </w:r>
            <w:r>
              <w:rPr>
                <w:color w:val="000000" w:themeColor="text1"/>
                <w:kern w:val="52"/>
                <w:sz w:val="24"/>
                <w14:textFill>
                  <w14:solidFill>
                    <w14:schemeClr w14:val="tx1"/>
                  </w14:solidFill>
                </w14:textFill>
              </w:rPr>
              <w:t>生产工艺流程及产污环节图</w:t>
            </w:r>
          </w:p>
          <w:p w14:paraId="66F27305">
            <w:pPr>
              <w:jc w:val="center"/>
              <w:rPr>
                <w:b/>
                <w:color w:val="000000" w:themeColor="text1"/>
                <w:kern w:val="52"/>
                <w:sz w:val="24"/>
                <w14:textOutline w14:w="9525" w14:cap="flat" w14:cmpd="sng" w14:algn="ctr">
                  <w14:solidFill>
                    <w14:srgbClr w14:val="0000FF"/>
                  </w14:solidFill>
                  <w14:prstDash w14:val="solid"/>
                  <w14:round/>
                </w14:textOutline>
                <w14:textFill>
                  <w14:solidFill>
                    <w14:schemeClr w14:val="tx1"/>
                  </w14:solidFill>
                </w14:textFill>
              </w:rPr>
            </w:pPr>
            <w:r>
              <w:rPr>
                <w:color w:val="000000" w:themeColor="text1"/>
                <w14:textFill>
                  <w14:solidFill>
                    <w14:schemeClr w14:val="tx1"/>
                  </w14:solidFill>
                </w14:textFill>
              </w:rPr>
              <w:drawing>
                <wp:inline distT="0" distB="0" distL="114300" distR="114300">
                  <wp:extent cx="4578985" cy="3826510"/>
                  <wp:effectExtent l="0" t="0" r="12065" b="2540"/>
                  <wp:docPr id="4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8"/>
                          <pic:cNvPicPr>
                            <a:picLocks noChangeAspect="1"/>
                          </pic:cNvPicPr>
                        </pic:nvPicPr>
                        <pic:blipFill>
                          <a:blip r:embed="rId38"/>
                          <a:stretch>
                            <a:fillRect/>
                          </a:stretch>
                        </pic:blipFill>
                        <pic:spPr>
                          <a:xfrm>
                            <a:off x="0" y="0"/>
                            <a:ext cx="4578985" cy="3826510"/>
                          </a:xfrm>
                          <a:prstGeom prst="rect">
                            <a:avLst/>
                          </a:prstGeom>
                          <a:noFill/>
                          <a:ln>
                            <a:noFill/>
                          </a:ln>
                        </pic:spPr>
                      </pic:pic>
                    </a:graphicData>
                  </a:graphic>
                </wp:inline>
              </w:drawing>
            </w:r>
          </w:p>
          <w:p w14:paraId="05BE86F4">
            <w:pPr>
              <w:jc w:val="center"/>
              <w:rPr>
                <w:b/>
                <w:color w:val="000000" w:themeColor="text1"/>
                <w:kern w:val="52"/>
                <w:sz w:val="24"/>
                <w14:textFill>
                  <w14:solidFill>
                    <w14:schemeClr w14:val="tx1"/>
                  </w14:solidFill>
                </w14:textFill>
              </w:rPr>
            </w:pPr>
            <w:r>
              <w:rPr>
                <w:b/>
                <w:color w:val="000000" w:themeColor="text1"/>
                <w:kern w:val="52"/>
                <w:sz w:val="24"/>
                <w14:textFill>
                  <w14:solidFill>
                    <w14:schemeClr w14:val="tx1"/>
                  </w14:solidFill>
                </w14:textFill>
              </w:rPr>
              <w:t>图2-</w:t>
            </w:r>
            <w:r>
              <w:rPr>
                <w:rFonts w:hint="eastAsia"/>
                <w:b/>
                <w:color w:val="000000" w:themeColor="text1"/>
                <w:kern w:val="52"/>
                <w:sz w:val="24"/>
                <w14:textFill>
                  <w14:solidFill>
                    <w14:schemeClr w14:val="tx1"/>
                  </w14:solidFill>
                </w14:textFill>
              </w:rPr>
              <w:t>10  医用手术衣</w:t>
            </w:r>
            <w:r>
              <w:rPr>
                <w:b/>
                <w:color w:val="000000" w:themeColor="text1"/>
                <w:kern w:val="52"/>
                <w:sz w:val="24"/>
                <w14:textFill>
                  <w14:solidFill>
                    <w14:schemeClr w14:val="tx1"/>
                  </w14:solidFill>
                </w14:textFill>
              </w:rPr>
              <w:t>生产工艺流程及产污环节图</w:t>
            </w:r>
          </w:p>
          <w:p w14:paraId="234597E0">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4D42B59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（1）分切剪裁：将外购的SMS无纺布由人工进行往复铺布，形成多层重叠的布料堆，再将布料堆移至分切机中，并压实，按设定的尺寸，对布料堆进行切割，形成裁片。此工序会产生废边角料和噪声。</w:t>
            </w:r>
          </w:p>
          <w:p w14:paraId="7A4FB8A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（2）超声波缝合：裁剪完成后的布料使用超声波缝合机对剪裁后的裁片进行合缝，成为完整的手术衣。此工序会产生超声波焊接废气。</w:t>
            </w:r>
          </w:p>
          <w:p w14:paraId="4D401DC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超声波缝合机</w:t>
            </w:r>
            <w:r>
              <w:rPr>
                <w:rFonts w:hint="eastAsia"/>
                <w:color w:val="000000" w:themeColor="text1"/>
                <w:sz w:val="24"/>
                <w:lang w:val="en-US" w:eastAsia="zh-CN"/>
                <w14:textFill>
                  <w14:solidFill>
                    <w14:schemeClr w14:val="tx1"/>
                  </w14:solidFill>
                </w14:textFill>
              </w:rPr>
              <w:t>的</w:t>
            </w:r>
            <w:r>
              <w:rPr>
                <w:color w:val="000000" w:themeColor="text1"/>
                <w:sz w:val="24"/>
                <w14:textFill>
                  <w14:solidFill>
                    <w14:schemeClr w14:val="tx1"/>
                  </w14:solidFill>
                </w14:textFill>
              </w:rPr>
              <w:t>工作原理利用焊头的高频率振荡使SMS无纺布表层纤维（尤其是熔喷层）剧烈摩擦，使其局部温度瞬时升至120-170℃，达到聚丙烯（PP）的熔点，熔融的纤维在压力作用下相互渗透、缠结，冷却后形成无缝的分子键合，焊接强度接近材料本体。</w:t>
            </w:r>
          </w:p>
          <w:p w14:paraId="7B03EA2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包装、装箱：由人工对手术衣进行折叠，再使用包装用聚乙烯塑料袋对折叠后的手术衣进行装袋包装并封口，装袋后的手术衣再放入纸箱进行二次包装，每个纸箱装手术衣50件。此工序会产生废包装材料和噪声。</w:t>
            </w:r>
          </w:p>
          <w:p w14:paraId="43873688">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（4）灭菌消毒：</w:t>
            </w:r>
          </w:p>
          <w:p w14:paraId="61E43E0F">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一次灭菌（臭氧）：本项目使用臭氧灭菌柜对产品进行一次灭菌，灭菌时将需灭菌的手术衣放入灭菌柜内并封闭灭菌柜，然后灭菌柜内抽成真空，使用臭氧发生器电离空气或紫外线照射氧气产生臭氧对手术衣进行灭菌，灭菌结束后通过尾气处理器将残留的臭氧分解为氧气，等待20-30min后确保浓度将至安全水平后再开门取物。</w:t>
            </w:r>
          </w:p>
          <w:p w14:paraId="405BA216">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②二次灭菌（紫外线）：本项目生产区安装有可双向开门的紫外线消毒柜，包装后的手术衣放入紫外线消毒柜进行二次灭菌，二次灭菌后的产品在成品暂存间暂存。</w:t>
            </w:r>
          </w:p>
          <w:p w14:paraId="2D22BAFD">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（5）成品：解析后的产品送入成品区暂存待售。</w:t>
            </w:r>
          </w:p>
          <w:p w14:paraId="38FDAE7E">
            <w:pPr>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1.3.2 热敷理疗产品</w:t>
            </w:r>
            <w:r>
              <w:rPr>
                <w:color w:val="000000" w:themeColor="text1"/>
                <w:kern w:val="52"/>
                <w:sz w:val="24"/>
                <w14:textFill>
                  <w14:solidFill>
                    <w14:schemeClr w14:val="tx1"/>
                  </w14:solidFill>
                </w14:textFill>
              </w:rPr>
              <w:t>生产工艺流程及产污环节图</w:t>
            </w:r>
          </w:p>
          <w:p w14:paraId="6066E8D5">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4621530" cy="3642995"/>
                  <wp:effectExtent l="0" t="0" r="7620" b="14605"/>
                  <wp:docPr id="1048" name="图片 9"/>
                  <wp:cNvGraphicFramePr/>
                  <a:graphic xmlns:a="http://schemas.openxmlformats.org/drawingml/2006/main">
                    <a:graphicData uri="http://schemas.openxmlformats.org/drawingml/2006/picture">
                      <pic:pic xmlns:pic="http://schemas.openxmlformats.org/drawingml/2006/picture">
                        <pic:nvPicPr>
                          <pic:cNvPr id="1048" name="图片 9"/>
                          <pic:cNvPicPr/>
                        </pic:nvPicPr>
                        <pic:blipFill>
                          <a:blip r:embed="rId39" cstate="print"/>
                          <a:srcRect/>
                          <a:stretch>
                            <a:fillRect/>
                          </a:stretch>
                        </pic:blipFill>
                        <pic:spPr>
                          <a:xfrm>
                            <a:off x="0" y="0"/>
                            <a:ext cx="4621530" cy="3642995"/>
                          </a:xfrm>
                          <a:prstGeom prst="rect">
                            <a:avLst/>
                          </a:prstGeom>
                          <a:ln>
                            <a:noFill/>
                          </a:ln>
                        </pic:spPr>
                      </pic:pic>
                    </a:graphicData>
                  </a:graphic>
                </wp:inline>
              </w:drawing>
            </w:r>
          </w:p>
          <w:p w14:paraId="0F28A782">
            <w:pPr>
              <w:jc w:val="center"/>
              <w:rPr>
                <w:b/>
                <w:color w:val="000000" w:themeColor="text1"/>
                <w:kern w:val="52"/>
                <w:sz w:val="24"/>
                <w14:textFill>
                  <w14:solidFill>
                    <w14:schemeClr w14:val="tx1"/>
                  </w14:solidFill>
                </w14:textFill>
              </w:rPr>
            </w:pPr>
            <w:r>
              <w:rPr>
                <w:b/>
                <w:color w:val="000000" w:themeColor="text1"/>
                <w:kern w:val="52"/>
                <w:sz w:val="24"/>
                <w14:textFill>
                  <w14:solidFill>
                    <w14:schemeClr w14:val="tx1"/>
                  </w14:solidFill>
                </w14:textFill>
              </w:rPr>
              <w:t>图2-</w:t>
            </w:r>
            <w:r>
              <w:rPr>
                <w:rFonts w:hint="eastAsia"/>
                <w:b/>
                <w:color w:val="000000" w:themeColor="text1"/>
                <w:kern w:val="52"/>
                <w:sz w:val="24"/>
                <w14:textFill>
                  <w14:solidFill>
                    <w14:schemeClr w14:val="tx1"/>
                  </w14:solidFill>
                </w14:textFill>
              </w:rPr>
              <w:t>11  热敷理疗产品</w:t>
            </w:r>
            <w:r>
              <w:rPr>
                <w:b/>
                <w:color w:val="000000" w:themeColor="text1"/>
                <w:kern w:val="52"/>
                <w:sz w:val="24"/>
                <w14:textFill>
                  <w14:solidFill>
                    <w14:schemeClr w14:val="tx1"/>
                  </w14:solidFill>
                </w14:textFill>
              </w:rPr>
              <w:t>生产工艺流程及产污环节图</w:t>
            </w:r>
          </w:p>
          <w:p w14:paraId="7A492B43">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4213BF4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（1）原料称重：将铁粉、活性炭、蛭石粉、盐按照比例进行称重；原料采用袋装转运。</w:t>
            </w:r>
          </w:p>
          <w:p w14:paraId="30947AD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（2）混合：将称重后的铁粉、活性炭、蛭石粉、盐和纯水按比例放入混合搅拌机进行搅拌；此工序会产生投料粉尘。</w:t>
            </w:r>
          </w:p>
          <w:p w14:paraId="534DE07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（3）内包：将混合搅拌后的物料加入内包机的料斗，按照热敷袋规格尺寸进行内包；</w:t>
            </w:r>
          </w:p>
          <w:p w14:paraId="56C684D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（4）超声波点焊：内包完成后使用超声波点焊机对内包后的热敷袋进行焊接。此工序会产生超声波焊接废气。</w:t>
            </w:r>
          </w:p>
          <w:p w14:paraId="1AADBB8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超声波焊机</w:t>
            </w:r>
            <w:r>
              <w:rPr>
                <w:rFonts w:hint="eastAsia"/>
                <w:color w:val="000000" w:themeColor="text1"/>
                <w:sz w:val="24"/>
                <w:lang w:val="en-US" w:eastAsia="zh-CN"/>
                <w14:textFill>
                  <w14:solidFill>
                    <w14:schemeClr w14:val="tx1"/>
                  </w14:solidFill>
                </w14:textFill>
              </w:rPr>
              <w:t>的</w:t>
            </w:r>
            <w:r>
              <w:rPr>
                <w:rFonts w:hint="eastAsia"/>
                <w:color w:val="000000" w:themeColor="text1"/>
                <w:sz w:val="24"/>
                <w14:textFill>
                  <w14:solidFill>
                    <w14:schemeClr w14:val="tx1"/>
                  </w14:solidFill>
                </w14:textFill>
              </w:rPr>
              <w:t>工作原理</w:t>
            </w:r>
            <w:r>
              <w:rPr>
                <w:color w:val="000000" w:themeColor="text1"/>
                <w:sz w:val="24"/>
                <w14:textFill>
                  <w14:solidFill>
                    <w14:schemeClr w14:val="tx1"/>
                  </w14:solidFill>
                </w14:textFill>
              </w:rPr>
              <w:t>利用焊头的高频率振荡使SMS无纺布表层纤维（尤其是熔喷层）剧烈摩擦，使其局部温度瞬时升至120-170℃，达到聚丙烯（PP）的熔点，熔融的纤维在压力作用下相互渗透、缠结，冷却后形成无缝的分子键合，焊接强度接近材料本体。</w:t>
            </w:r>
            <w:r>
              <w:rPr>
                <w:rFonts w:hint="eastAsia"/>
                <w:color w:val="000000" w:themeColor="text1"/>
                <w:sz w:val="24"/>
                <w14:textFill>
                  <w14:solidFill>
                    <w14:schemeClr w14:val="tx1"/>
                  </w14:solidFill>
                </w14:textFill>
              </w:rPr>
              <w:t>。</w:t>
            </w:r>
          </w:p>
          <w:p w14:paraId="5A305AA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（5）外包：超声波点焊后在使用连续封口机对热敷袋进行外包。</w:t>
            </w:r>
          </w:p>
          <w:p w14:paraId="3634489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（6）包装、装箱：由人工将热敷袋装盒，装盒后的热敷袋再放入纸箱进行二次包装，每个纸箱装热敷袋200盒，每盒装热敷袋100g。</w:t>
            </w:r>
          </w:p>
          <w:p w14:paraId="3D45066D">
            <w:pPr>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1.3.3 治疗凝胶</w:t>
            </w:r>
            <w:r>
              <w:rPr>
                <w:color w:val="000000" w:themeColor="text1"/>
                <w:kern w:val="52"/>
                <w:sz w:val="24"/>
                <w14:textFill>
                  <w14:solidFill>
                    <w14:schemeClr w14:val="tx1"/>
                  </w14:solidFill>
                </w14:textFill>
              </w:rPr>
              <w:t>生产工艺流程及产污环节图</w:t>
            </w:r>
          </w:p>
          <w:p w14:paraId="65F4C32A">
            <w:pPr>
              <w:tabs>
                <w:tab w:val="left" w:pos="1081"/>
              </w:tabs>
              <w:adjustRightInd w:val="0"/>
              <w:snapToGrid w:val="0"/>
              <w:spacing w:line="360" w:lineRule="auto"/>
              <w:jc w:val="center"/>
              <w:rPr>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0" distR="0">
                  <wp:extent cx="4086225" cy="3677285"/>
                  <wp:effectExtent l="0" t="0" r="9525" b="18415"/>
                  <wp:docPr id="1049" name="图片 10"/>
                  <wp:cNvGraphicFramePr/>
                  <a:graphic xmlns:a="http://schemas.openxmlformats.org/drawingml/2006/main">
                    <a:graphicData uri="http://schemas.openxmlformats.org/drawingml/2006/picture">
                      <pic:pic xmlns:pic="http://schemas.openxmlformats.org/drawingml/2006/picture">
                        <pic:nvPicPr>
                          <pic:cNvPr id="1049" name="图片 10"/>
                          <pic:cNvPicPr/>
                        </pic:nvPicPr>
                        <pic:blipFill>
                          <a:blip r:embed="rId40" cstate="print"/>
                          <a:srcRect/>
                          <a:stretch>
                            <a:fillRect/>
                          </a:stretch>
                        </pic:blipFill>
                        <pic:spPr>
                          <a:xfrm>
                            <a:off x="0" y="0"/>
                            <a:ext cx="4086225" cy="3677285"/>
                          </a:xfrm>
                          <a:prstGeom prst="rect">
                            <a:avLst/>
                          </a:prstGeom>
                          <a:ln>
                            <a:noFill/>
                          </a:ln>
                        </pic:spPr>
                      </pic:pic>
                    </a:graphicData>
                  </a:graphic>
                </wp:inline>
              </w:drawing>
            </w:r>
          </w:p>
          <w:p w14:paraId="26B493F4">
            <w:pPr>
              <w:tabs>
                <w:tab w:val="left" w:pos="1081"/>
              </w:tabs>
              <w:adjustRightInd w:val="0"/>
              <w:snapToGrid w:val="0"/>
              <w:spacing w:line="360" w:lineRule="auto"/>
              <w:jc w:val="center"/>
              <w:rPr>
                <w:b/>
                <w:color w:val="000000" w:themeColor="text1"/>
                <w:kern w:val="52"/>
                <w:sz w:val="24"/>
                <w14:textFill>
                  <w14:solidFill>
                    <w14:schemeClr w14:val="tx1"/>
                  </w14:solidFill>
                </w14:textFill>
              </w:rPr>
            </w:pPr>
            <w:r>
              <w:rPr>
                <w:b/>
                <w:color w:val="000000" w:themeColor="text1"/>
                <w:kern w:val="52"/>
                <w:sz w:val="24"/>
                <w14:textFill>
                  <w14:solidFill>
                    <w14:schemeClr w14:val="tx1"/>
                  </w14:solidFill>
                </w14:textFill>
              </w:rPr>
              <w:t>图2-</w:t>
            </w:r>
            <w:r>
              <w:rPr>
                <w:rFonts w:hint="eastAsia"/>
                <w:b/>
                <w:color w:val="000000" w:themeColor="text1"/>
                <w:kern w:val="52"/>
                <w:sz w:val="24"/>
                <w14:textFill>
                  <w14:solidFill>
                    <w14:schemeClr w14:val="tx1"/>
                  </w14:solidFill>
                </w14:textFill>
              </w:rPr>
              <w:t>12  治疗凝胶</w:t>
            </w:r>
            <w:r>
              <w:rPr>
                <w:b/>
                <w:color w:val="000000" w:themeColor="text1"/>
                <w:kern w:val="52"/>
                <w:sz w:val="24"/>
                <w14:textFill>
                  <w14:solidFill>
                    <w14:schemeClr w14:val="tx1"/>
                  </w14:solidFill>
                </w14:textFill>
              </w:rPr>
              <w:t>生产工艺流程及产污环节图</w:t>
            </w:r>
          </w:p>
          <w:p w14:paraId="1E28C047">
            <w:pPr>
              <w:tabs>
                <w:tab w:val="left" w:pos="1081"/>
              </w:tabs>
              <w:adjustRightInd w:val="0"/>
              <w:snapToGrid w:val="0"/>
              <w:spacing w:line="360" w:lineRule="auto"/>
              <w:rPr>
                <w:b/>
                <w:color w:val="000000" w:themeColor="text1"/>
                <w:sz w:val="24"/>
                <w14:textFill>
                  <w14:solidFill>
                    <w14:schemeClr w14:val="tx1"/>
                  </w14:solidFill>
                </w14:textFill>
              </w:rPr>
            </w:pPr>
            <w:r>
              <w:rPr>
                <w:b/>
                <w:color w:val="000000" w:themeColor="text1"/>
                <w:sz w:val="24"/>
                <w14:textFill>
                  <w14:solidFill>
                    <w14:schemeClr w14:val="tx1"/>
                  </w14:solidFill>
                </w14:textFill>
              </w:rPr>
              <w:t>工艺流程简述：</w:t>
            </w:r>
          </w:p>
          <w:p w14:paraId="229BBA9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（1）配料：将卡波姆、壳聚糖、薄荷醇酒精溶液等、纯水分别按比例称量，称量后卡波姆需用纯水在搅拌桶内浸泡约24h，浸泡至呈糊状。本工序产污节点：废包装材料、少量异味、少量粉尘及器皿清洗废水。</w:t>
            </w:r>
          </w:p>
          <w:p w14:paraId="5123D17C">
            <w:pPr>
              <w:tabs>
                <w:tab w:val="left" w:pos="1081"/>
              </w:tabs>
              <w:adjustRightInd w:val="0"/>
              <w:snapToGrid w:val="0"/>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（2）混合搅拌（乳化）：将称量好的物料分别加入加入到真空均质乳化机内，按照既定工艺温度60℃、时间 120min、压力 50KPa 的参数进行乳化。并抽取样品检测其外观和PH值，合格后进入下道工序。乳化（搅拌）的目的是使原料充分融合、分散，乳化的原理为将一种液体分散到第二不相溶的液体中去的过程，为物理变化，不发生化学反应。更换产品种类时，需用自来水和纯水清洗设备以去除残留的原产品，故该工序会设备清洗废水、噪声、少量异味。</w:t>
            </w:r>
          </w:p>
          <w:p w14:paraId="39639E51">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灌装：混合制剂混匀后通过封闭管路自动转移至灌装机中灌装，通过灌装机将混合制剂自动灌装至包装容器中制备成半成品，灌装后使用纯水清洗真空均质乳化机、灌装机。此过程密闭进行，将产生噪声、废清洗水。</w:t>
            </w:r>
          </w:p>
          <w:p w14:paraId="093F7AE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检验：对约2%的成品进行抽检，进行理化pH值检验及微生物实验，该工序产生检验废液、实验质检固废。</w:t>
            </w:r>
          </w:p>
          <w:p w14:paraId="1B83B0F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内外包装：使用内包机、封口机自动对灌装后的半成品进行内外包装，放入合格证和说明书。质量部抽取样品进行产品性能检验，检验合格后放行。</w:t>
            </w:r>
          </w:p>
          <w:p w14:paraId="444D431B">
            <w:pPr>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1.3.4 CIP系统</w:t>
            </w:r>
            <w:r>
              <w:rPr>
                <w:color w:val="000000" w:themeColor="text1"/>
                <w:kern w:val="52"/>
                <w:sz w:val="24"/>
                <w14:textFill>
                  <w14:solidFill>
                    <w14:schemeClr w14:val="tx1"/>
                  </w14:solidFill>
                </w14:textFill>
              </w:rPr>
              <w:t>工艺流程及产污环节图</w:t>
            </w:r>
          </w:p>
          <w:tbl>
            <w:tblPr>
              <w:tblStyle w:val="2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13"/>
            </w:tblGrid>
            <w:tr w14:paraId="65E055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47" w:type="dxa"/>
                </w:tcPr>
                <w:p w14:paraId="7CEEF3BE">
                  <w:pPr>
                    <w:adjustRightInd w:val="0"/>
                    <w:snapToGrid w:val="0"/>
                    <w:spacing w:line="360" w:lineRule="auto"/>
                    <w:jc w:val="center"/>
                    <w:rPr>
                      <w:bCs/>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0" distR="0">
                        <wp:extent cx="4180840" cy="2164715"/>
                        <wp:effectExtent l="0" t="0" r="10160" b="6985"/>
                        <wp:docPr id="1050" name="图片 9"/>
                        <wp:cNvGraphicFramePr/>
                        <a:graphic xmlns:a="http://schemas.openxmlformats.org/drawingml/2006/main">
                          <a:graphicData uri="http://schemas.openxmlformats.org/drawingml/2006/picture">
                            <pic:pic xmlns:pic="http://schemas.openxmlformats.org/drawingml/2006/picture">
                              <pic:nvPicPr>
                                <pic:cNvPr id="1050" name="图片 9"/>
                                <pic:cNvPicPr/>
                              </pic:nvPicPr>
                              <pic:blipFill>
                                <a:blip r:embed="rId41" cstate="print"/>
                                <a:srcRect b="18715"/>
                                <a:stretch>
                                  <a:fillRect/>
                                </a:stretch>
                              </pic:blipFill>
                              <pic:spPr>
                                <a:xfrm>
                                  <a:off x="0" y="0"/>
                                  <a:ext cx="4181474" cy="2164715"/>
                                </a:xfrm>
                                <a:prstGeom prst="rect">
                                  <a:avLst/>
                                </a:prstGeom>
                                <a:ln>
                                  <a:noFill/>
                                </a:ln>
                              </pic:spPr>
                            </pic:pic>
                          </a:graphicData>
                        </a:graphic>
                      </wp:inline>
                    </w:drawing>
                  </w:r>
                </w:p>
              </w:tc>
            </w:tr>
            <w:tr w14:paraId="34C7EF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47" w:type="dxa"/>
                </w:tcPr>
                <w:p w14:paraId="0BAC85D2">
                  <w:pPr>
                    <w:adjustRightInd w:val="0"/>
                    <w:snapToGrid w:val="0"/>
                    <w:spacing w:line="360" w:lineRule="auto"/>
                    <w:jc w:val="center"/>
                    <w:rPr>
                      <w:color w:val="000000" w:themeColor="text1"/>
                      <w14:textFill>
                        <w14:solidFill>
                          <w14:schemeClr w14:val="tx1"/>
                        </w14:solidFill>
                      </w14:textFill>
                    </w:rPr>
                  </w:pPr>
                  <w:r>
                    <w:rPr>
                      <w:rFonts w:hint="eastAsia"/>
                      <w:b/>
                      <w:bCs/>
                      <w:color w:val="000000" w:themeColor="text1"/>
                      <w:sz w:val="24"/>
                      <w14:textFill>
                        <w14:solidFill>
                          <w14:schemeClr w14:val="tx1"/>
                        </w14:solidFill>
                      </w14:textFill>
                    </w:rPr>
                    <w:t>图2-13  CIP系统工艺流程及产污节点图</w:t>
                  </w:r>
                </w:p>
              </w:tc>
            </w:tr>
          </w:tbl>
          <w:p w14:paraId="656768FE">
            <w:pPr>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CIP系统工艺流程简述如下：</w:t>
            </w:r>
          </w:p>
          <w:p w14:paraId="4A2535A0">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CIP系统即自动管道清洗系统，在不对设备进行拆解的状态下，通过清洗剂和水的循环冲洗，去除生产设备、管道等的内表面残留的杂质和微生物，具有定时、自动清洗功能，在保证管道清洁的基础上，满足对杀菌设备管道洁净与杀菌的要求，而且大大减少了水的用量及排水量。</w:t>
            </w:r>
          </w:p>
          <w:p w14:paraId="264AFD5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CIP系统采用的清洗剂主要为碱性清洗剂（NaOH，</w:t>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%）、酸性清洗剂（HNO</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，1%~2%）。</w:t>
            </w:r>
          </w:p>
          <w:p w14:paraId="10E27E4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①预清洗：采用常温纯水对各</w:t>
            </w:r>
            <w:r>
              <w:rPr>
                <w:rFonts w:hint="eastAsia"/>
                <w:color w:val="000000" w:themeColor="text1"/>
                <w:sz w:val="24"/>
                <w14:textFill>
                  <w14:solidFill>
                    <w14:schemeClr w14:val="tx1"/>
                  </w14:solidFill>
                </w14:textFill>
              </w:rPr>
              <w:t>设备</w:t>
            </w:r>
            <w:r>
              <w:rPr>
                <w:color w:val="000000" w:themeColor="text1"/>
                <w:sz w:val="24"/>
                <w14:textFill>
                  <w14:solidFill>
                    <w14:schemeClr w14:val="tx1"/>
                  </w14:solidFill>
                </w14:textFill>
              </w:rPr>
              <w:t>及管路等预冲洗2~3min，将</w:t>
            </w:r>
            <w:r>
              <w:rPr>
                <w:rFonts w:hint="eastAsia"/>
                <w:color w:val="000000" w:themeColor="text1"/>
                <w:sz w:val="24"/>
                <w14:textFill>
                  <w14:solidFill>
                    <w14:schemeClr w14:val="tx1"/>
                  </w14:solidFill>
                </w14:textFill>
              </w:rPr>
              <w:t>设备内</w:t>
            </w:r>
            <w:r>
              <w:rPr>
                <w:color w:val="000000" w:themeColor="text1"/>
                <w:sz w:val="24"/>
                <w14:textFill>
                  <w14:solidFill>
                    <w14:schemeClr w14:val="tx1"/>
                  </w14:solidFill>
                </w14:textFill>
              </w:rPr>
              <w:t>及管路残留杂质冲洗干净。</w:t>
            </w:r>
          </w:p>
          <w:p w14:paraId="6F6132A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②碱液清洗：采用</w:t>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%热NaOH溶液对各设备及管路进行冲洗20min，以去除设备内表面的蛋白质等残留物。清洗碱液循环使用，定期更换。</w:t>
            </w:r>
          </w:p>
          <w:p w14:paraId="1954ED58">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③中间冲洗：采用常温纯水清洗3min左右，将残留于生产设备及管路中的碱液冲洗干净。</w:t>
            </w:r>
          </w:p>
          <w:p w14:paraId="675E53D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④酸液清洗：采用酸液对生产设备及管路进行循环冲洗约20min，清洗剂为1%~2% HNO</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清洗溶液。酸性清洗溶液循环使用，定期更换。</w:t>
            </w:r>
          </w:p>
          <w:p w14:paraId="1D0F356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⑤热水冲洗：采用80℃的热水进行冲洗3min左右，去除酸液、残留污染物，并去除异味杀灭细菌。上述清洗过程中，碱液、酸液清洗过程中产生的碱液回收至系统自带碱液罐、酸液罐内，循环使用，浓度降低时补充清洗剂，清洗剂循环一定时间需更换。</w:t>
            </w:r>
          </w:p>
          <w:p w14:paraId="31C5DF92">
            <w:pPr>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1.3.5 纯水制备系统</w:t>
            </w:r>
            <w:r>
              <w:rPr>
                <w:color w:val="000000" w:themeColor="text1"/>
                <w:kern w:val="52"/>
                <w:sz w:val="24"/>
                <w14:textFill>
                  <w14:solidFill>
                    <w14:schemeClr w14:val="tx1"/>
                  </w14:solidFill>
                </w14:textFill>
              </w:rPr>
              <w:t>工艺流程及产污环节图</w:t>
            </w:r>
          </w:p>
          <w:tbl>
            <w:tblPr>
              <w:tblStyle w:val="2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13"/>
            </w:tblGrid>
            <w:tr w14:paraId="1E972F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247" w:type="dxa"/>
                  <w:vAlign w:val="center"/>
                </w:tcPr>
                <w:p w14:paraId="59DBD712">
                  <w:pPr>
                    <w:adjustRightInd w:val="0"/>
                    <w:snapToGrid w:val="0"/>
                    <w:spacing w:line="360" w:lineRule="auto"/>
                    <w:jc w:val="center"/>
                    <w:rPr>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0" distR="0">
                        <wp:extent cx="2590800" cy="2217420"/>
                        <wp:effectExtent l="0" t="0" r="0" b="11430"/>
                        <wp:docPr id="1051" name="图片 10"/>
                        <wp:cNvGraphicFramePr/>
                        <a:graphic xmlns:a="http://schemas.openxmlformats.org/drawingml/2006/main">
                          <a:graphicData uri="http://schemas.openxmlformats.org/drawingml/2006/picture">
                            <pic:pic xmlns:pic="http://schemas.openxmlformats.org/drawingml/2006/picture">
                              <pic:nvPicPr>
                                <pic:cNvPr id="1051" name="图片 10"/>
                                <pic:cNvPicPr/>
                              </pic:nvPicPr>
                              <pic:blipFill>
                                <a:blip r:embed="rId42" cstate="print"/>
                                <a:srcRect/>
                                <a:stretch>
                                  <a:fillRect/>
                                </a:stretch>
                              </pic:blipFill>
                              <pic:spPr>
                                <a:xfrm>
                                  <a:off x="0" y="0"/>
                                  <a:ext cx="2590800" cy="2217420"/>
                                </a:xfrm>
                                <a:prstGeom prst="rect">
                                  <a:avLst/>
                                </a:prstGeom>
                                <a:ln>
                                  <a:noFill/>
                                </a:ln>
                              </pic:spPr>
                            </pic:pic>
                          </a:graphicData>
                        </a:graphic>
                      </wp:inline>
                    </w:drawing>
                  </w:r>
                </w:p>
              </w:tc>
            </w:tr>
            <w:tr w14:paraId="42BE55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247" w:type="dxa"/>
                  <w:vAlign w:val="center"/>
                </w:tcPr>
                <w:p w14:paraId="135B9C32">
                  <w:pPr>
                    <w:adjustRightInd w:val="0"/>
                    <w:snapToGrid w:val="0"/>
                    <w:spacing w:line="360" w:lineRule="auto"/>
                    <w:jc w:val="center"/>
                    <w:rPr>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图2-14  纯水制备系统工艺流程及产污节点图</w:t>
                  </w:r>
                </w:p>
              </w:tc>
            </w:tr>
          </w:tbl>
          <w:p w14:paraId="31C0B9A3">
            <w:pPr>
              <w:adjustRightInd w:val="0"/>
              <w:snapToGrid w:val="0"/>
              <w:spacing w:line="360" w:lineRule="auto"/>
              <w:ind w:firstLine="482" w:firstLineChars="200"/>
              <w:rPr>
                <w:bCs/>
                <w:color w:val="000000" w:themeColor="text1"/>
                <w:sz w:val="24"/>
                <w14:textFill>
                  <w14:solidFill>
                    <w14:schemeClr w14:val="tx1"/>
                  </w14:solidFill>
                </w14:textFill>
              </w:rPr>
            </w:pPr>
            <w:r>
              <w:rPr>
                <w:b/>
                <w:bCs/>
                <w:color w:val="000000" w:themeColor="text1"/>
                <w:sz w:val="24"/>
                <w14:textFill>
                  <w14:solidFill>
                    <w14:schemeClr w14:val="tx1"/>
                  </w14:solidFill>
                </w14:textFill>
              </w:rPr>
              <w:t>纯水制备系统工艺流程简述如下：</w:t>
            </w:r>
          </w:p>
          <w:p w14:paraId="1A3C406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预处理：对原水进行前期处理，改善供水水质，使之达到要求，减少、延缓膜的污染、延长其寿命。处理的对象主要是进水中的微生物、细菌、胶体、有机物、重金属离子、固体颗粒及游离氯等，以满足反渗透装置进水的要求，保证反渗透装置能长期稳定运行。预处理设备具体由砂滤、活性炭过滤器、软水器和精密过滤器组成。</w:t>
            </w:r>
          </w:p>
          <w:p w14:paraId="5C95EA2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①砂滤：利用石英砂滤除水中的泥沙、杂质、悬浮物、降低原水的SDI（污染指数密度）值。</w:t>
            </w:r>
          </w:p>
          <w:p w14:paraId="469F05C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②活性炭过滤器：具有双重作用，一是吸附，二是过滤。利用活性炭滤除自来水中的化学有机物、重金属、色度、异味、余氯等，改善口感。</w:t>
            </w:r>
          </w:p>
          <w:p w14:paraId="76BD099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③精密过滤器：5微米PPF滤芯，PPF滤芯是一种高密度纤维棉滤芯，拦截大于5微米的物体，延长反渗透膜的寿命。</w:t>
            </w:r>
          </w:p>
          <w:p w14:paraId="40CBA715">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④反渗透装置：膜的分离孔径在10-6~10-7cm，能除去水中有机物（如三卤甲烷中间体、胶体、悬浮物、微生物、细菌、藻类、霉类等）、热源、病毒等物质，经前几级预处理后的水再由反渗透RO膜主机深层分离处理，使有益于人体健康的水通过，不利于人体健康的水排除，脱盐率98%，生产出纯净水进入RO水箱。</w:t>
            </w:r>
          </w:p>
          <w:p w14:paraId="10A3CE7C">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2、主要产排污环节</w:t>
            </w:r>
          </w:p>
          <w:p w14:paraId="14550080">
            <w:pPr>
              <w:pStyle w:val="24"/>
              <w:spacing w:line="360" w:lineRule="auto"/>
              <w:ind w:firstLine="482"/>
              <w:jc w:val="center"/>
              <w:rPr>
                <w:rFonts w:ascii="Times New Roman" w:hAnsi="Times New Roman"/>
                <w:b/>
                <w:color w:val="000000" w:themeColor="text1"/>
                <w:sz w:val="24"/>
                <w14:textFill>
                  <w14:solidFill>
                    <w14:schemeClr w14:val="tx1"/>
                  </w14:solidFill>
                </w14:textFill>
              </w:rPr>
            </w:pPr>
            <w:r>
              <w:rPr>
                <w:rFonts w:ascii="Times New Roman" w:hAnsi="Times New Roman"/>
                <w:b/>
                <w:color w:val="000000" w:themeColor="text1"/>
                <w:sz w:val="24"/>
                <w14:textFill>
                  <w14:solidFill>
                    <w14:schemeClr w14:val="tx1"/>
                  </w14:solidFill>
                </w14:textFill>
              </w:rPr>
              <w:t>表2-</w:t>
            </w:r>
            <w:r>
              <w:rPr>
                <w:rFonts w:hint="eastAsia" w:ascii="Times New Roman" w:hAnsi="Times New Roman"/>
                <w:b/>
                <w:color w:val="000000" w:themeColor="text1"/>
                <w:sz w:val="24"/>
                <w14:textFill>
                  <w14:solidFill>
                    <w14:schemeClr w14:val="tx1"/>
                  </w14:solidFill>
                </w14:textFill>
              </w:rPr>
              <w:t xml:space="preserve">20  </w:t>
            </w:r>
            <w:r>
              <w:rPr>
                <w:rFonts w:ascii="Times New Roman" w:hAnsi="Times New Roman"/>
                <w:b/>
                <w:color w:val="000000" w:themeColor="text1"/>
                <w:sz w:val="24"/>
                <w14:textFill>
                  <w14:solidFill>
                    <w14:schemeClr w14:val="tx1"/>
                  </w14:solidFill>
                </w14:textFill>
              </w:rPr>
              <w:t>项目主要产排污环节一览表</w:t>
            </w:r>
          </w:p>
          <w:tbl>
            <w:tblPr>
              <w:tblStyle w:val="25"/>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2"/>
              <w:gridCol w:w="1115"/>
              <w:gridCol w:w="4217"/>
              <w:gridCol w:w="2897"/>
            </w:tblGrid>
            <w:tr w14:paraId="7F8F6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Align w:val="center"/>
                </w:tcPr>
                <w:p w14:paraId="5597AA28">
                  <w:pPr>
                    <w:spacing w:line="36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类别</w:t>
                  </w:r>
                </w:p>
              </w:tc>
              <w:tc>
                <w:tcPr>
                  <w:tcW w:w="2291" w:type="pct"/>
                  <w:vAlign w:val="center"/>
                </w:tcPr>
                <w:p w14:paraId="3A4948EB">
                  <w:pPr>
                    <w:spacing w:line="36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主要产生环节</w:t>
                  </w:r>
                </w:p>
              </w:tc>
              <w:tc>
                <w:tcPr>
                  <w:tcW w:w="1574" w:type="pct"/>
                  <w:vAlign w:val="center"/>
                </w:tcPr>
                <w:p w14:paraId="04398D66">
                  <w:pPr>
                    <w:spacing w:line="36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主要污染因子</w:t>
                  </w:r>
                </w:p>
              </w:tc>
            </w:tr>
            <w:tr w14:paraId="03172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restart"/>
                  <w:vAlign w:val="center"/>
                </w:tcPr>
                <w:p w14:paraId="5AFE2961">
                  <w:pPr>
                    <w:spacing w:line="360" w:lineRule="exact"/>
                    <w:jc w:val="center"/>
                    <w:rPr>
                      <w:color w:val="000000" w:themeColor="text1"/>
                      <w:szCs w:val="21"/>
                      <w14:textFill>
                        <w14:solidFill>
                          <w14:schemeClr w14:val="tx1"/>
                        </w14:solidFill>
                      </w14:textFill>
                    </w:rPr>
                  </w:pPr>
                  <w:bookmarkStart w:id="55" w:name="OLE_LINK19" w:colFirst="2" w:colLast="3"/>
                  <w:bookmarkStart w:id="56" w:name="_Hlk194239312"/>
                  <w:bookmarkStart w:id="57" w:name="OLE_LINK20" w:colFirst="2" w:colLast="3"/>
                  <w:r>
                    <w:rPr>
                      <w:color w:val="000000" w:themeColor="text1"/>
                      <w:szCs w:val="21"/>
                      <w14:textFill>
                        <w14:solidFill>
                          <w14:schemeClr w14:val="tx1"/>
                        </w14:solidFill>
                      </w14:textFill>
                    </w:rPr>
                    <w:t>废气</w:t>
                  </w:r>
                </w:p>
              </w:tc>
              <w:tc>
                <w:tcPr>
                  <w:tcW w:w="605" w:type="pct"/>
                  <w:vMerge w:val="restart"/>
                  <w:vAlign w:val="center"/>
                </w:tcPr>
                <w:p w14:paraId="546CF041">
                  <w:pPr>
                    <w:spacing w:line="36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有组织</w:t>
                  </w:r>
                </w:p>
              </w:tc>
              <w:tc>
                <w:tcPr>
                  <w:tcW w:w="2291" w:type="pct"/>
                  <w:vAlign w:val="center"/>
                </w:tcPr>
                <w:p w14:paraId="19F2A345">
                  <w:pPr>
                    <w:jc w:val="center"/>
                    <w:outlineLvl w:val="9"/>
                    <w:rPr>
                      <w:color w:val="000000" w:themeColor="text1"/>
                      <w:szCs w:val="21"/>
                      <w14:textFill>
                        <w14:solidFill>
                          <w14:schemeClr w14:val="tx1"/>
                        </w14:solidFill>
                      </w14:textFill>
                    </w:rPr>
                  </w:pPr>
                  <w:bookmarkStart w:id="58" w:name="_Toc8311"/>
                  <w:r>
                    <w:rPr>
                      <w:rFonts w:hint="eastAsia"/>
                      <w:color w:val="000000" w:themeColor="text1"/>
                      <w:szCs w:val="21"/>
                      <w14:textFill>
                        <w14:solidFill>
                          <w14:schemeClr w14:val="tx1"/>
                        </w14:solidFill>
                      </w14:textFill>
                    </w:rPr>
                    <w:t>原料投料、粉碎工序和袋泡茶生产过程粉尘</w:t>
                  </w:r>
                  <w:bookmarkEnd w:id="58"/>
                </w:p>
              </w:tc>
              <w:tc>
                <w:tcPr>
                  <w:tcW w:w="1574" w:type="pct"/>
                  <w:vAlign w:val="center"/>
                </w:tcPr>
                <w:p w14:paraId="7E5261CA">
                  <w:pPr>
                    <w:jc w:val="center"/>
                    <w:outlineLvl w:val="9"/>
                    <w:rPr>
                      <w:color w:val="000000" w:themeColor="text1"/>
                      <w:szCs w:val="21"/>
                      <w14:textFill>
                        <w14:solidFill>
                          <w14:schemeClr w14:val="tx1"/>
                        </w14:solidFill>
                      </w14:textFill>
                    </w:rPr>
                  </w:pPr>
                  <w:bookmarkStart w:id="59" w:name="_Toc15984"/>
                  <w:r>
                    <w:rPr>
                      <w:rFonts w:hint="eastAsia"/>
                      <w:color w:val="000000" w:themeColor="text1"/>
                      <w:szCs w:val="21"/>
                      <w14:textFill>
                        <w14:solidFill>
                          <w14:schemeClr w14:val="tx1"/>
                        </w14:solidFill>
                      </w14:textFill>
                    </w:rPr>
                    <w:t>颗粒物</w:t>
                  </w:r>
                  <w:bookmarkEnd w:id="59"/>
                </w:p>
              </w:tc>
            </w:tr>
            <w:tr w14:paraId="1E406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0C7E6016">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303FF675">
                  <w:pPr>
                    <w:spacing w:line="360" w:lineRule="exact"/>
                    <w:jc w:val="center"/>
                    <w:rPr>
                      <w:color w:val="000000" w:themeColor="text1"/>
                      <w:szCs w:val="21"/>
                      <w14:textFill>
                        <w14:solidFill>
                          <w14:schemeClr w14:val="tx1"/>
                        </w14:solidFill>
                      </w14:textFill>
                    </w:rPr>
                  </w:pPr>
                </w:p>
              </w:tc>
              <w:tc>
                <w:tcPr>
                  <w:tcW w:w="2291" w:type="pct"/>
                  <w:vAlign w:val="center"/>
                </w:tcPr>
                <w:p w14:paraId="2EA38DFA">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1t/h蒸汽发生器天然气燃烧废气</w:t>
                  </w:r>
                </w:p>
              </w:tc>
              <w:tc>
                <w:tcPr>
                  <w:tcW w:w="1574" w:type="pct"/>
                  <w:vAlign w:val="center"/>
                </w:tcPr>
                <w:p w14:paraId="1AE0C6E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p>
              </w:tc>
            </w:tr>
            <w:tr w14:paraId="4ABF9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00250499">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413A9FEF">
                  <w:pPr>
                    <w:spacing w:line="360" w:lineRule="exact"/>
                    <w:jc w:val="center"/>
                    <w:rPr>
                      <w:color w:val="000000" w:themeColor="text1"/>
                      <w:szCs w:val="21"/>
                      <w14:textFill>
                        <w14:solidFill>
                          <w14:schemeClr w14:val="tx1"/>
                        </w14:solidFill>
                      </w14:textFill>
                    </w:rPr>
                  </w:pPr>
                </w:p>
              </w:tc>
              <w:tc>
                <w:tcPr>
                  <w:tcW w:w="2291" w:type="pct"/>
                  <w:vAlign w:val="center"/>
                </w:tcPr>
                <w:p w14:paraId="48D3F9E6">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0.3t/h蒸汽发生器天然气燃烧废气</w:t>
                  </w:r>
                </w:p>
              </w:tc>
              <w:tc>
                <w:tcPr>
                  <w:tcW w:w="1574" w:type="pct"/>
                  <w:vAlign w:val="center"/>
                </w:tcPr>
                <w:p w14:paraId="256B030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p>
              </w:tc>
            </w:tr>
            <w:tr w14:paraId="3BAE8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70F780F8">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5748807E">
                  <w:pPr>
                    <w:spacing w:line="360" w:lineRule="exact"/>
                    <w:jc w:val="center"/>
                    <w:rPr>
                      <w:color w:val="000000" w:themeColor="text1"/>
                      <w:szCs w:val="21"/>
                      <w14:textFill>
                        <w14:solidFill>
                          <w14:schemeClr w14:val="tx1"/>
                        </w14:solidFill>
                      </w14:textFill>
                    </w:rPr>
                  </w:pPr>
                </w:p>
              </w:tc>
              <w:tc>
                <w:tcPr>
                  <w:tcW w:w="2291" w:type="pct"/>
                  <w:vAlign w:val="center"/>
                </w:tcPr>
                <w:p w14:paraId="3D148E24">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0.5t/h蒸汽发生器天然气燃烧废气</w:t>
                  </w:r>
                </w:p>
              </w:tc>
              <w:tc>
                <w:tcPr>
                  <w:tcW w:w="1574" w:type="pct"/>
                  <w:vAlign w:val="center"/>
                </w:tcPr>
                <w:p w14:paraId="7138D9B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p>
              </w:tc>
            </w:tr>
            <w:tr w14:paraId="4C9E1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34B4D552">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53155BEE">
                  <w:pPr>
                    <w:spacing w:line="360" w:lineRule="exact"/>
                    <w:jc w:val="center"/>
                    <w:rPr>
                      <w:color w:val="000000" w:themeColor="text1"/>
                      <w:szCs w:val="21"/>
                      <w14:textFill>
                        <w14:solidFill>
                          <w14:schemeClr w14:val="tx1"/>
                        </w14:solidFill>
                      </w14:textFill>
                    </w:rPr>
                  </w:pPr>
                </w:p>
              </w:tc>
              <w:tc>
                <w:tcPr>
                  <w:tcW w:w="2291" w:type="pct"/>
                  <w:vAlign w:val="center"/>
                </w:tcPr>
                <w:p w14:paraId="0DECD9D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治疗凝胶生产线乳化工序废气</w:t>
                  </w:r>
                </w:p>
              </w:tc>
              <w:tc>
                <w:tcPr>
                  <w:tcW w:w="1574" w:type="pct"/>
                  <w:vAlign w:val="center"/>
                </w:tcPr>
                <w:p w14:paraId="63FBA0A1">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r>
            <w:tr w14:paraId="41D90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78C3BD5E">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503F1B1C">
                  <w:pPr>
                    <w:spacing w:line="360" w:lineRule="exact"/>
                    <w:jc w:val="center"/>
                    <w:rPr>
                      <w:color w:val="000000" w:themeColor="text1"/>
                      <w:szCs w:val="21"/>
                      <w14:textFill>
                        <w14:solidFill>
                          <w14:schemeClr w14:val="tx1"/>
                        </w14:solidFill>
                      </w14:textFill>
                    </w:rPr>
                  </w:pPr>
                </w:p>
              </w:tc>
              <w:tc>
                <w:tcPr>
                  <w:tcW w:w="2291" w:type="pct"/>
                  <w:vAlign w:val="center"/>
                </w:tcPr>
                <w:p w14:paraId="39D2A9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热敷理疗产品上料粉尘</w:t>
                  </w:r>
                </w:p>
              </w:tc>
              <w:tc>
                <w:tcPr>
                  <w:tcW w:w="1574" w:type="pct"/>
                  <w:vAlign w:val="center"/>
                </w:tcPr>
                <w:p w14:paraId="49C272DF">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r>
            <w:tr w14:paraId="2DA64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1722F0AD">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4E77374B">
                  <w:pPr>
                    <w:spacing w:line="360" w:lineRule="exact"/>
                    <w:jc w:val="center"/>
                    <w:rPr>
                      <w:color w:val="000000" w:themeColor="text1"/>
                      <w:szCs w:val="21"/>
                      <w14:textFill>
                        <w14:solidFill>
                          <w14:schemeClr w14:val="tx1"/>
                        </w14:solidFill>
                      </w14:textFill>
                    </w:rPr>
                  </w:pPr>
                </w:p>
              </w:tc>
              <w:tc>
                <w:tcPr>
                  <w:tcW w:w="2291" w:type="pct"/>
                  <w:vAlign w:val="center"/>
                </w:tcPr>
                <w:p w14:paraId="2CFD4937">
                  <w:pPr>
                    <w:widowControl/>
                    <w:jc w:val="center"/>
                    <w:rPr>
                      <w:color w:val="000000" w:themeColor="text1"/>
                      <w:szCs w:val="21"/>
                      <w14:textFill>
                        <w14:solidFill>
                          <w14:schemeClr w14:val="tx1"/>
                        </w14:solidFill>
                      </w14:textFill>
                    </w:rPr>
                  </w:pPr>
                  <w:r>
                    <w:rPr>
                      <w:color w:val="000000" w:themeColor="text1"/>
                      <w:kern w:val="52"/>
                      <w:szCs w:val="21"/>
                      <w14:textFill>
                        <w14:solidFill>
                          <w14:schemeClr w14:val="tx1"/>
                        </w14:solidFill>
                      </w14:textFill>
                    </w:rPr>
                    <w:t>污水处理站</w:t>
                  </w:r>
                  <w:r>
                    <w:rPr>
                      <w:rFonts w:hint="eastAsia"/>
                      <w:color w:val="000000" w:themeColor="text1"/>
                      <w:kern w:val="52"/>
                      <w:szCs w:val="21"/>
                      <w14:textFill>
                        <w14:solidFill>
                          <w14:schemeClr w14:val="tx1"/>
                        </w14:solidFill>
                      </w14:textFill>
                    </w:rPr>
                    <w:t>及酒糟暂存恶臭气体</w:t>
                  </w:r>
                </w:p>
              </w:tc>
              <w:tc>
                <w:tcPr>
                  <w:tcW w:w="1574" w:type="pct"/>
                  <w:vAlign w:val="center"/>
                </w:tcPr>
                <w:p w14:paraId="226F0DB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r>
            <w:bookmarkEnd w:id="55"/>
            <w:bookmarkEnd w:id="56"/>
            <w:bookmarkEnd w:id="57"/>
            <w:tr w14:paraId="56B6A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4781A871">
                  <w:pPr>
                    <w:spacing w:line="360" w:lineRule="exact"/>
                    <w:jc w:val="center"/>
                    <w:rPr>
                      <w:color w:val="000000" w:themeColor="text1"/>
                      <w:szCs w:val="21"/>
                      <w14:textFill>
                        <w14:solidFill>
                          <w14:schemeClr w14:val="tx1"/>
                        </w14:solidFill>
                      </w14:textFill>
                    </w:rPr>
                  </w:pPr>
                </w:p>
              </w:tc>
              <w:tc>
                <w:tcPr>
                  <w:tcW w:w="605" w:type="pct"/>
                  <w:vMerge w:val="restart"/>
                  <w:vAlign w:val="center"/>
                </w:tcPr>
                <w:p w14:paraId="577ABD47">
                  <w:pPr>
                    <w:spacing w:line="36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无组织</w:t>
                  </w:r>
                </w:p>
              </w:tc>
              <w:tc>
                <w:tcPr>
                  <w:tcW w:w="2291" w:type="pct"/>
                  <w:vAlign w:val="center"/>
                </w:tcPr>
                <w:p w14:paraId="7158DC24">
                  <w:pPr>
                    <w:jc w:val="center"/>
                    <w:outlineLvl w:val="9"/>
                    <w:rPr>
                      <w:color w:val="000000" w:themeColor="text1"/>
                      <w:szCs w:val="21"/>
                      <w14:textFill>
                        <w14:solidFill>
                          <w14:schemeClr w14:val="tx1"/>
                        </w14:solidFill>
                      </w14:textFill>
                    </w:rPr>
                  </w:pPr>
                  <w:bookmarkStart w:id="60" w:name="_Toc10093"/>
                  <w:r>
                    <w:rPr>
                      <w:rFonts w:hint="eastAsia"/>
                      <w:color w:val="000000" w:themeColor="text1"/>
                      <w:szCs w:val="21"/>
                      <w14:textFill>
                        <w14:solidFill>
                          <w14:schemeClr w14:val="tx1"/>
                        </w14:solidFill>
                      </w14:textFill>
                    </w:rPr>
                    <w:t>白酒、啤酒生产线辅料投料粉尘</w:t>
                  </w:r>
                  <w:bookmarkEnd w:id="60"/>
                </w:p>
              </w:tc>
              <w:tc>
                <w:tcPr>
                  <w:tcW w:w="1574" w:type="pct"/>
                  <w:vAlign w:val="center"/>
                </w:tcPr>
                <w:p w14:paraId="63616D75">
                  <w:pPr>
                    <w:jc w:val="center"/>
                    <w:outlineLvl w:val="9"/>
                    <w:rPr>
                      <w:color w:val="000000" w:themeColor="text1"/>
                      <w:szCs w:val="21"/>
                      <w14:textFill>
                        <w14:solidFill>
                          <w14:schemeClr w14:val="tx1"/>
                        </w14:solidFill>
                      </w14:textFill>
                    </w:rPr>
                  </w:pPr>
                  <w:bookmarkStart w:id="61" w:name="_Toc16683"/>
                  <w:r>
                    <w:rPr>
                      <w:rFonts w:hint="eastAsia"/>
                      <w:color w:val="000000" w:themeColor="text1"/>
                      <w:szCs w:val="21"/>
                      <w14:textFill>
                        <w14:solidFill>
                          <w14:schemeClr w14:val="tx1"/>
                        </w14:solidFill>
                      </w14:textFill>
                    </w:rPr>
                    <w:t>颗粒物</w:t>
                  </w:r>
                  <w:bookmarkEnd w:id="61"/>
                </w:p>
              </w:tc>
            </w:tr>
            <w:tr w14:paraId="055FFB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61835103">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62337483">
                  <w:pPr>
                    <w:spacing w:line="360" w:lineRule="exact"/>
                    <w:jc w:val="center"/>
                    <w:rPr>
                      <w:color w:val="000000" w:themeColor="text1"/>
                      <w:szCs w:val="21"/>
                      <w14:textFill>
                        <w14:solidFill>
                          <w14:schemeClr w14:val="tx1"/>
                        </w14:solidFill>
                      </w14:textFill>
                    </w:rPr>
                  </w:pPr>
                </w:p>
              </w:tc>
              <w:tc>
                <w:tcPr>
                  <w:tcW w:w="2291" w:type="pct"/>
                  <w:vAlign w:val="center"/>
                </w:tcPr>
                <w:p w14:paraId="06116BFC">
                  <w:pPr>
                    <w:jc w:val="center"/>
                    <w:outlineLvl w:val="9"/>
                    <w:rPr>
                      <w:color w:val="000000" w:themeColor="text1"/>
                      <w:szCs w:val="21"/>
                      <w:lang w:bidi="ar"/>
                      <w14:textFill>
                        <w14:solidFill>
                          <w14:schemeClr w14:val="tx1"/>
                        </w14:solidFill>
                      </w14:textFill>
                    </w:rPr>
                  </w:pPr>
                  <w:bookmarkStart w:id="62" w:name="_Toc23935"/>
                  <w:r>
                    <w:rPr>
                      <w:rFonts w:hint="eastAsia"/>
                      <w:color w:val="000000" w:themeColor="text1"/>
                      <w:szCs w:val="21"/>
                      <w14:textFill>
                        <w14:solidFill>
                          <w14:schemeClr w14:val="tx1"/>
                        </w14:solidFill>
                      </w14:textFill>
                    </w:rPr>
                    <w:t>白酒、啤酒以及植物饮料生产线原料投料、破碎工序和袋泡茶生产过程未收集粉尘</w:t>
                  </w:r>
                  <w:bookmarkEnd w:id="62"/>
                </w:p>
              </w:tc>
              <w:tc>
                <w:tcPr>
                  <w:tcW w:w="1574" w:type="pct"/>
                  <w:vAlign w:val="center"/>
                </w:tcPr>
                <w:p w14:paraId="4AD56A86">
                  <w:pPr>
                    <w:jc w:val="center"/>
                    <w:outlineLvl w:val="9"/>
                    <w:rPr>
                      <w:color w:val="000000" w:themeColor="text1"/>
                      <w:szCs w:val="21"/>
                      <w14:textFill>
                        <w14:solidFill>
                          <w14:schemeClr w14:val="tx1"/>
                        </w14:solidFill>
                      </w14:textFill>
                    </w:rPr>
                  </w:pPr>
                  <w:bookmarkStart w:id="63" w:name="_Toc21706"/>
                  <w:r>
                    <w:rPr>
                      <w:rFonts w:hint="eastAsia"/>
                      <w:color w:val="000000" w:themeColor="text1"/>
                      <w:szCs w:val="21"/>
                      <w14:textFill>
                        <w14:solidFill>
                          <w14:schemeClr w14:val="tx1"/>
                        </w14:solidFill>
                      </w14:textFill>
                    </w:rPr>
                    <w:t>颗粒物</w:t>
                  </w:r>
                  <w:bookmarkEnd w:id="63"/>
                </w:p>
              </w:tc>
            </w:tr>
            <w:tr w14:paraId="7986A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474BEAE6">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5417CC03">
                  <w:pPr>
                    <w:spacing w:line="360" w:lineRule="exact"/>
                    <w:jc w:val="center"/>
                    <w:rPr>
                      <w:color w:val="000000" w:themeColor="text1"/>
                      <w:szCs w:val="21"/>
                      <w14:textFill>
                        <w14:solidFill>
                          <w14:schemeClr w14:val="tx1"/>
                        </w14:solidFill>
                      </w14:textFill>
                    </w:rPr>
                  </w:pPr>
                </w:p>
              </w:tc>
              <w:tc>
                <w:tcPr>
                  <w:tcW w:w="2291" w:type="pct"/>
                  <w:vAlign w:val="center"/>
                </w:tcPr>
                <w:p w14:paraId="08561BDB">
                  <w:pPr>
                    <w:jc w:val="center"/>
                    <w:outlineLvl w:val="9"/>
                    <w:rPr>
                      <w:color w:val="000000" w:themeColor="text1"/>
                      <w:szCs w:val="21"/>
                      <w:lang w:bidi="ar"/>
                      <w14:textFill>
                        <w14:solidFill>
                          <w14:schemeClr w14:val="tx1"/>
                        </w14:solidFill>
                      </w14:textFill>
                    </w:rPr>
                  </w:pPr>
                  <w:bookmarkStart w:id="64" w:name="_Toc12100"/>
                  <w:r>
                    <w:rPr>
                      <w:rFonts w:hint="eastAsia"/>
                      <w:color w:val="000000" w:themeColor="text1"/>
                      <w:szCs w:val="21"/>
                      <w14:textFill>
                        <w14:solidFill>
                          <w14:schemeClr w14:val="tx1"/>
                        </w14:solidFill>
                      </w14:textFill>
                    </w:rPr>
                    <w:t>综合车间发酵工序废气</w:t>
                  </w:r>
                  <w:bookmarkEnd w:id="64"/>
                </w:p>
              </w:tc>
              <w:tc>
                <w:tcPr>
                  <w:tcW w:w="1574" w:type="pct"/>
                  <w:vAlign w:val="center"/>
                </w:tcPr>
                <w:p w14:paraId="470A37AC">
                  <w:pPr>
                    <w:jc w:val="center"/>
                    <w:outlineLvl w:val="9"/>
                    <w:rPr>
                      <w:color w:val="000000" w:themeColor="text1"/>
                      <w:szCs w:val="21"/>
                      <w14:textFill>
                        <w14:solidFill>
                          <w14:schemeClr w14:val="tx1"/>
                        </w14:solidFill>
                      </w14:textFill>
                    </w:rPr>
                  </w:pPr>
                  <w:bookmarkStart w:id="65" w:name="_Toc12088"/>
                  <w:r>
                    <w:rPr>
                      <w:rFonts w:hint="eastAsia"/>
                      <w:color w:val="000000" w:themeColor="text1"/>
                      <w:szCs w:val="21"/>
                      <w14:textFill>
                        <w14:solidFill>
                          <w14:schemeClr w14:val="tx1"/>
                        </w14:solidFill>
                      </w14:textFill>
                    </w:rPr>
                    <w:t>二氧化碳</w:t>
                  </w:r>
                  <w:bookmarkEnd w:id="65"/>
                </w:p>
              </w:tc>
            </w:tr>
            <w:tr w14:paraId="61B92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192A2CBD">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6BE74A13">
                  <w:pPr>
                    <w:spacing w:line="360" w:lineRule="exact"/>
                    <w:jc w:val="center"/>
                    <w:rPr>
                      <w:color w:val="000000" w:themeColor="text1"/>
                      <w:szCs w:val="21"/>
                      <w14:textFill>
                        <w14:solidFill>
                          <w14:schemeClr w14:val="tx1"/>
                        </w14:solidFill>
                      </w14:textFill>
                    </w:rPr>
                  </w:pPr>
                </w:p>
              </w:tc>
              <w:tc>
                <w:tcPr>
                  <w:tcW w:w="2291" w:type="pct"/>
                  <w:vAlign w:val="center"/>
                </w:tcPr>
                <w:p w14:paraId="0020FE82">
                  <w:pPr>
                    <w:jc w:val="center"/>
                    <w:outlineLvl w:val="9"/>
                    <w:rPr>
                      <w:color w:val="000000" w:themeColor="text1"/>
                      <w:szCs w:val="21"/>
                      <w:lang w:bidi="ar"/>
                      <w14:textFill>
                        <w14:solidFill>
                          <w14:schemeClr w14:val="tx1"/>
                        </w14:solidFill>
                      </w14:textFill>
                    </w:rPr>
                  </w:pPr>
                  <w:bookmarkStart w:id="66" w:name="_Toc20450"/>
                  <w:r>
                    <w:rPr>
                      <w:rFonts w:hint="eastAsia"/>
                      <w:color w:val="000000" w:themeColor="text1"/>
                      <w:szCs w:val="21"/>
                      <w14:textFill>
                        <w14:solidFill>
                          <w14:schemeClr w14:val="tx1"/>
                        </w14:solidFill>
                      </w14:textFill>
                    </w:rPr>
                    <w:t>白酒储存过程产生的废气</w:t>
                  </w:r>
                  <w:bookmarkEnd w:id="66"/>
                </w:p>
              </w:tc>
              <w:tc>
                <w:tcPr>
                  <w:tcW w:w="1574" w:type="pct"/>
                  <w:vAlign w:val="center"/>
                </w:tcPr>
                <w:p w14:paraId="687570E6">
                  <w:pPr>
                    <w:jc w:val="center"/>
                    <w:outlineLvl w:val="9"/>
                    <w:rPr>
                      <w:color w:val="000000" w:themeColor="text1"/>
                      <w:szCs w:val="21"/>
                      <w14:textFill>
                        <w14:solidFill>
                          <w14:schemeClr w14:val="tx1"/>
                        </w14:solidFill>
                      </w14:textFill>
                    </w:rPr>
                  </w:pPr>
                  <w:bookmarkStart w:id="67" w:name="_Toc24648"/>
                  <w:r>
                    <w:rPr>
                      <w:rFonts w:hint="eastAsia"/>
                      <w:color w:val="000000" w:themeColor="text1"/>
                      <w:szCs w:val="21"/>
                      <w14:textFill>
                        <w14:solidFill>
                          <w14:schemeClr w14:val="tx1"/>
                        </w14:solidFill>
                      </w14:textFill>
                    </w:rPr>
                    <w:t>非甲烷总烃</w:t>
                  </w:r>
                  <w:bookmarkEnd w:id="67"/>
                </w:p>
              </w:tc>
            </w:tr>
            <w:tr w14:paraId="062D9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2817A872">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456B7543">
                  <w:pPr>
                    <w:spacing w:line="360" w:lineRule="exact"/>
                    <w:jc w:val="center"/>
                    <w:rPr>
                      <w:color w:val="000000" w:themeColor="text1"/>
                      <w:szCs w:val="21"/>
                      <w14:textFill>
                        <w14:solidFill>
                          <w14:schemeClr w14:val="tx1"/>
                        </w14:solidFill>
                      </w14:textFill>
                    </w:rPr>
                  </w:pPr>
                </w:p>
              </w:tc>
              <w:tc>
                <w:tcPr>
                  <w:tcW w:w="2291" w:type="pct"/>
                  <w:vAlign w:val="center"/>
                </w:tcPr>
                <w:p w14:paraId="0F56E6B9">
                  <w:pPr>
                    <w:jc w:val="center"/>
                    <w:outlineLvl w:val="9"/>
                    <w:rPr>
                      <w:color w:val="000000" w:themeColor="text1"/>
                      <w:szCs w:val="21"/>
                      <w:lang w:bidi="ar"/>
                      <w14:textFill>
                        <w14:solidFill>
                          <w14:schemeClr w14:val="tx1"/>
                        </w14:solidFill>
                      </w14:textFill>
                    </w:rPr>
                  </w:pPr>
                  <w:bookmarkStart w:id="68" w:name="_Toc7196"/>
                  <w:r>
                    <w:rPr>
                      <w:rFonts w:hint="eastAsia"/>
                      <w:color w:val="000000" w:themeColor="text1"/>
                      <w:kern w:val="52"/>
                      <w:szCs w:val="21"/>
                      <w14:textFill>
                        <w14:solidFill>
                          <w14:schemeClr w14:val="tx1"/>
                        </w14:solidFill>
                      </w14:textFill>
                    </w:rPr>
                    <w:t>黄酒生产线原辅料投料过程粉尘</w:t>
                  </w:r>
                  <w:bookmarkEnd w:id="68"/>
                </w:p>
              </w:tc>
              <w:tc>
                <w:tcPr>
                  <w:tcW w:w="1574" w:type="pct"/>
                  <w:vAlign w:val="center"/>
                </w:tcPr>
                <w:p w14:paraId="2FA678AF">
                  <w:pPr>
                    <w:jc w:val="center"/>
                    <w:outlineLvl w:val="9"/>
                    <w:rPr>
                      <w:color w:val="000000" w:themeColor="text1"/>
                      <w:szCs w:val="21"/>
                      <w14:textFill>
                        <w14:solidFill>
                          <w14:schemeClr w14:val="tx1"/>
                        </w14:solidFill>
                      </w14:textFill>
                    </w:rPr>
                  </w:pPr>
                  <w:bookmarkStart w:id="69" w:name="_Toc5373"/>
                  <w:r>
                    <w:rPr>
                      <w:rFonts w:hint="eastAsia"/>
                      <w:color w:val="000000" w:themeColor="text1"/>
                      <w:szCs w:val="21"/>
                      <w14:textFill>
                        <w14:solidFill>
                          <w14:schemeClr w14:val="tx1"/>
                        </w14:solidFill>
                      </w14:textFill>
                    </w:rPr>
                    <w:t>颗粒物</w:t>
                  </w:r>
                  <w:bookmarkEnd w:id="69"/>
                </w:p>
              </w:tc>
            </w:tr>
            <w:tr w14:paraId="4A139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54B841FE">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03584490">
                  <w:pPr>
                    <w:spacing w:line="360" w:lineRule="exact"/>
                    <w:jc w:val="center"/>
                    <w:rPr>
                      <w:color w:val="000000" w:themeColor="text1"/>
                      <w:szCs w:val="21"/>
                      <w14:textFill>
                        <w14:solidFill>
                          <w14:schemeClr w14:val="tx1"/>
                        </w14:solidFill>
                      </w14:textFill>
                    </w:rPr>
                  </w:pPr>
                </w:p>
              </w:tc>
              <w:tc>
                <w:tcPr>
                  <w:tcW w:w="2291" w:type="pct"/>
                  <w:vAlign w:val="center"/>
                </w:tcPr>
                <w:p w14:paraId="7090DFDF">
                  <w:pPr>
                    <w:jc w:val="center"/>
                    <w:outlineLvl w:val="9"/>
                    <w:rPr>
                      <w:color w:val="000000" w:themeColor="text1"/>
                      <w:szCs w:val="21"/>
                      <w:lang w:bidi="ar"/>
                      <w14:textFill>
                        <w14:solidFill>
                          <w14:schemeClr w14:val="tx1"/>
                        </w14:solidFill>
                      </w14:textFill>
                    </w:rPr>
                  </w:pPr>
                  <w:bookmarkStart w:id="70" w:name="_Toc2801"/>
                  <w:r>
                    <w:rPr>
                      <w:rFonts w:hint="eastAsia"/>
                      <w:color w:val="000000" w:themeColor="text1"/>
                      <w:kern w:val="52"/>
                      <w:szCs w:val="21"/>
                      <w14:textFill>
                        <w14:solidFill>
                          <w14:schemeClr w14:val="tx1"/>
                        </w14:solidFill>
                      </w14:textFill>
                    </w:rPr>
                    <w:t>封坛发酵车间废气</w:t>
                  </w:r>
                  <w:bookmarkEnd w:id="70"/>
                </w:p>
              </w:tc>
              <w:tc>
                <w:tcPr>
                  <w:tcW w:w="1574" w:type="pct"/>
                  <w:vAlign w:val="center"/>
                </w:tcPr>
                <w:p w14:paraId="2BDA48C3">
                  <w:pPr>
                    <w:jc w:val="center"/>
                    <w:outlineLvl w:val="9"/>
                    <w:rPr>
                      <w:color w:val="000000" w:themeColor="text1"/>
                      <w:szCs w:val="21"/>
                      <w14:textFill>
                        <w14:solidFill>
                          <w14:schemeClr w14:val="tx1"/>
                        </w14:solidFill>
                      </w14:textFill>
                    </w:rPr>
                  </w:pPr>
                  <w:bookmarkStart w:id="71" w:name="_Toc5695"/>
                  <w:r>
                    <w:rPr>
                      <w:rFonts w:hint="eastAsia"/>
                      <w:color w:val="000000" w:themeColor="text1"/>
                      <w:szCs w:val="21"/>
                      <w14:textFill>
                        <w14:solidFill>
                          <w14:schemeClr w14:val="tx1"/>
                        </w14:solidFill>
                      </w14:textFill>
                    </w:rPr>
                    <w:t>二氧化碳</w:t>
                  </w:r>
                  <w:bookmarkEnd w:id="71"/>
                </w:p>
              </w:tc>
            </w:tr>
            <w:tr w14:paraId="54595F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2E590F27">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0F543931">
                  <w:pPr>
                    <w:spacing w:line="360" w:lineRule="exact"/>
                    <w:jc w:val="center"/>
                    <w:rPr>
                      <w:color w:val="000000" w:themeColor="text1"/>
                      <w:szCs w:val="21"/>
                      <w14:textFill>
                        <w14:solidFill>
                          <w14:schemeClr w14:val="tx1"/>
                        </w14:solidFill>
                      </w14:textFill>
                    </w:rPr>
                  </w:pPr>
                </w:p>
              </w:tc>
              <w:tc>
                <w:tcPr>
                  <w:tcW w:w="2291" w:type="pct"/>
                  <w:vAlign w:val="center"/>
                </w:tcPr>
                <w:p w14:paraId="062EC164">
                  <w:pPr>
                    <w:jc w:val="center"/>
                    <w:outlineLvl w:val="9"/>
                    <w:rPr>
                      <w:color w:val="000000" w:themeColor="text1"/>
                      <w:szCs w:val="21"/>
                      <w:lang w:bidi="ar"/>
                      <w14:textFill>
                        <w14:solidFill>
                          <w14:schemeClr w14:val="tx1"/>
                        </w14:solidFill>
                      </w14:textFill>
                    </w:rPr>
                  </w:pPr>
                  <w:bookmarkStart w:id="72" w:name="_Toc16388"/>
                  <w:r>
                    <w:rPr>
                      <w:rFonts w:hint="eastAsia"/>
                      <w:color w:val="000000" w:themeColor="text1"/>
                      <w:kern w:val="52"/>
                      <w:szCs w:val="21"/>
                      <w14:textFill>
                        <w14:solidFill>
                          <w14:schemeClr w14:val="tx1"/>
                        </w14:solidFill>
                      </w14:textFill>
                    </w:rPr>
                    <w:t>封坛区域废气</w:t>
                  </w:r>
                  <w:bookmarkEnd w:id="72"/>
                </w:p>
              </w:tc>
              <w:tc>
                <w:tcPr>
                  <w:tcW w:w="1574" w:type="pct"/>
                  <w:vAlign w:val="center"/>
                </w:tcPr>
                <w:p w14:paraId="3FB12426">
                  <w:pPr>
                    <w:jc w:val="center"/>
                    <w:outlineLvl w:val="9"/>
                    <w:rPr>
                      <w:color w:val="000000" w:themeColor="text1"/>
                      <w:szCs w:val="21"/>
                      <w14:textFill>
                        <w14:solidFill>
                          <w14:schemeClr w14:val="tx1"/>
                        </w14:solidFill>
                      </w14:textFill>
                    </w:rPr>
                  </w:pPr>
                  <w:bookmarkStart w:id="73" w:name="_Toc26137"/>
                  <w:r>
                    <w:rPr>
                      <w:rFonts w:hint="eastAsia"/>
                      <w:color w:val="000000" w:themeColor="text1"/>
                      <w:szCs w:val="21"/>
                      <w14:textFill>
                        <w14:solidFill>
                          <w14:schemeClr w14:val="tx1"/>
                        </w14:solidFill>
                      </w14:textFill>
                    </w:rPr>
                    <w:t>二氧化碳</w:t>
                  </w:r>
                  <w:bookmarkEnd w:id="73"/>
                </w:p>
              </w:tc>
            </w:tr>
            <w:tr w14:paraId="07678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61FC4CA8">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33C6D365">
                  <w:pPr>
                    <w:spacing w:line="360" w:lineRule="exact"/>
                    <w:jc w:val="center"/>
                    <w:rPr>
                      <w:color w:val="000000" w:themeColor="text1"/>
                      <w:szCs w:val="21"/>
                      <w14:textFill>
                        <w14:solidFill>
                          <w14:schemeClr w14:val="tx1"/>
                        </w14:solidFill>
                      </w14:textFill>
                    </w:rPr>
                  </w:pPr>
                </w:p>
              </w:tc>
              <w:tc>
                <w:tcPr>
                  <w:tcW w:w="2291" w:type="pct"/>
                  <w:vAlign w:val="center"/>
                </w:tcPr>
                <w:p w14:paraId="4F9174D6">
                  <w:pPr>
                    <w:jc w:val="center"/>
                    <w:outlineLvl w:val="9"/>
                    <w:rPr>
                      <w:color w:val="000000" w:themeColor="text1"/>
                      <w:szCs w:val="21"/>
                      <w:lang w:bidi="ar"/>
                      <w14:textFill>
                        <w14:solidFill>
                          <w14:schemeClr w14:val="tx1"/>
                        </w14:solidFill>
                      </w14:textFill>
                    </w:rPr>
                  </w:pPr>
                  <w:bookmarkStart w:id="74" w:name="_Toc13919"/>
                  <w:r>
                    <w:rPr>
                      <w:rFonts w:hint="eastAsia"/>
                      <w:color w:val="000000" w:themeColor="text1"/>
                      <w:szCs w:val="21"/>
                      <w14:textFill>
                        <w14:solidFill>
                          <w14:schemeClr w14:val="tx1"/>
                        </w14:solidFill>
                      </w14:textFill>
                    </w:rPr>
                    <w:t>医用手术衣生产线超声波缝合工序废气</w:t>
                  </w:r>
                  <w:bookmarkEnd w:id="74"/>
                </w:p>
              </w:tc>
              <w:tc>
                <w:tcPr>
                  <w:tcW w:w="1574" w:type="pct"/>
                  <w:vAlign w:val="center"/>
                </w:tcPr>
                <w:p w14:paraId="2BFE8E33">
                  <w:pPr>
                    <w:jc w:val="center"/>
                    <w:outlineLvl w:val="9"/>
                    <w:rPr>
                      <w:color w:val="000000" w:themeColor="text1"/>
                      <w:szCs w:val="21"/>
                      <w14:textFill>
                        <w14:solidFill>
                          <w14:schemeClr w14:val="tx1"/>
                        </w14:solidFill>
                      </w14:textFill>
                    </w:rPr>
                  </w:pPr>
                  <w:bookmarkStart w:id="75" w:name="_Toc14315"/>
                  <w:r>
                    <w:rPr>
                      <w:rFonts w:hint="eastAsia"/>
                      <w:color w:val="000000" w:themeColor="text1"/>
                      <w:szCs w:val="21"/>
                      <w14:textFill>
                        <w14:solidFill>
                          <w14:schemeClr w14:val="tx1"/>
                        </w14:solidFill>
                      </w14:textFill>
                    </w:rPr>
                    <w:t>非甲烷总烃</w:t>
                  </w:r>
                  <w:bookmarkEnd w:id="75"/>
                </w:p>
              </w:tc>
            </w:tr>
            <w:tr w14:paraId="3C3B3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4C807D0D">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1C438DC0">
                  <w:pPr>
                    <w:spacing w:line="360" w:lineRule="exact"/>
                    <w:jc w:val="center"/>
                    <w:rPr>
                      <w:color w:val="000000" w:themeColor="text1"/>
                      <w:szCs w:val="21"/>
                      <w14:textFill>
                        <w14:solidFill>
                          <w14:schemeClr w14:val="tx1"/>
                        </w14:solidFill>
                      </w14:textFill>
                    </w:rPr>
                  </w:pPr>
                </w:p>
              </w:tc>
              <w:tc>
                <w:tcPr>
                  <w:tcW w:w="2291" w:type="pct"/>
                  <w:vAlign w:val="center"/>
                </w:tcPr>
                <w:p w14:paraId="39202AD9">
                  <w:pPr>
                    <w:jc w:val="center"/>
                    <w:outlineLvl w:val="9"/>
                    <w:rPr>
                      <w:color w:val="000000" w:themeColor="text1"/>
                      <w:szCs w:val="21"/>
                      <w:lang w:bidi="ar"/>
                      <w14:textFill>
                        <w14:solidFill>
                          <w14:schemeClr w14:val="tx1"/>
                        </w14:solidFill>
                      </w14:textFill>
                    </w:rPr>
                  </w:pPr>
                  <w:bookmarkStart w:id="76" w:name="_Toc28253"/>
                  <w:r>
                    <w:rPr>
                      <w:rFonts w:hint="eastAsia"/>
                      <w:color w:val="000000" w:themeColor="text1"/>
                      <w:szCs w:val="21"/>
                      <w14:textFill>
                        <w14:solidFill>
                          <w14:schemeClr w14:val="tx1"/>
                        </w14:solidFill>
                      </w14:textFill>
                    </w:rPr>
                    <w:t>治疗凝胶生产线乳化工序未收集的废气</w:t>
                  </w:r>
                  <w:bookmarkEnd w:id="76"/>
                </w:p>
              </w:tc>
              <w:tc>
                <w:tcPr>
                  <w:tcW w:w="1574" w:type="pct"/>
                  <w:vAlign w:val="center"/>
                </w:tcPr>
                <w:p w14:paraId="5129960F">
                  <w:pPr>
                    <w:jc w:val="center"/>
                    <w:outlineLvl w:val="9"/>
                    <w:rPr>
                      <w:color w:val="000000" w:themeColor="text1"/>
                      <w:szCs w:val="21"/>
                      <w14:textFill>
                        <w14:solidFill>
                          <w14:schemeClr w14:val="tx1"/>
                        </w14:solidFill>
                      </w14:textFill>
                    </w:rPr>
                  </w:pPr>
                  <w:bookmarkStart w:id="77" w:name="_Toc9019"/>
                  <w:r>
                    <w:rPr>
                      <w:rFonts w:hint="eastAsia"/>
                      <w:color w:val="000000" w:themeColor="text1"/>
                      <w:szCs w:val="21"/>
                      <w14:textFill>
                        <w14:solidFill>
                          <w14:schemeClr w14:val="tx1"/>
                        </w14:solidFill>
                      </w14:textFill>
                    </w:rPr>
                    <w:t>非甲烷总烃</w:t>
                  </w:r>
                  <w:bookmarkEnd w:id="77"/>
                </w:p>
              </w:tc>
            </w:tr>
            <w:tr w14:paraId="5F39A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0E0B5710">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009B3822">
                  <w:pPr>
                    <w:spacing w:line="360" w:lineRule="exact"/>
                    <w:jc w:val="center"/>
                    <w:rPr>
                      <w:color w:val="000000" w:themeColor="text1"/>
                      <w:szCs w:val="21"/>
                      <w14:textFill>
                        <w14:solidFill>
                          <w14:schemeClr w14:val="tx1"/>
                        </w14:solidFill>
                      </w14:textFill>
                    </w:rPr>
                  </w:pPr>
                </w:p>
              </w:tc>
              <w:tc>
                <w:tcPr>
                  <w:tcW w:w="2291" w:type="pct"/>
                  <w:vAlign w:val="center"/>
                </w:tcPr>
                <w:p w14:paraId="275EAB96">
                  <w:pPr>
                    <w:jc w:val="center"/>
                    <w:outlineLvl w:val="9"/>
                    <w:rPr>
                      <w:color w:val="000000" w:themeColor="text1"/>
                      <w:szCs w:val="21"/>
                      <w:lang w:bidi="ar"/>
                      <w14:textFill>
                        <w14:solidFill>
                          <w14:schemeClr w14:val="tx1"/>
                        </w14:solidFill>
                      </w14:textFill>
                    </w:rPr>
                  </w:pPr>
                  <w:bookmarkStart w:id="78" w:name="_Toc8113"/>
                  <w:r>
                    <w:rPr>
                      <w:rFonts w:hint="eastAsia"/>
                      <w:color w:val="000000" w:themeColor="text1"/>
                      <w:szCs w:val="21"/>
                      <w14:textFill>
                        <w14:solidFill>
                          <w14:schemeClr w14:val="tx1"/>
                        </w14:solidFill>
                      </w14:textFill>
                    </w:rPr>
                    <w:t>热敷理疗产品上料工序未收集的粉尘</w:t>
                  </w:r>
                  <w:bookmarkEnd w:id="78"/>
                </w:p>
              </w:tc>
              <w:tc>
                <w:tcPr>
                  <w:tcW w:w="1574" w:type="pct"/>
                  <w:vAlign w:val="center"/>
                </w:tcPr>
                <w:p w14:paraId="3F018BF9">
                  <w:pPr>
                    <w:jc w:val="center"/>
                    <w:outlineLvl w:val="9"/>
                    <w:rPr>
                      <w:color w:val="000000" w:themeColor="text1"/>
                      <w:szCs w:val="21"/>
                      <w14:textFill>
                        <w14:solidFill>
                          <w14:schemeClr w14:val="tx1"/>
                        </w14:solidFill>
                      </w14:textFill>
                    </w:rPr>
                  </w:pPr>
                  <w:bookmarkStart w:id="79" w:name="_Toc11790"/>
                  <w:r>
                    <w:rPr>
                      <w:rFonts w:hint="eastAsia"/>
                      <w:color w:val="000000" w:themeColor="text1"/>
                      <w:szCs w:val="21"/>
                      <w14:textFill>
                        <w14:solidFill>
                          <w14:schemeClr w14:val="tx1"/>
                        </w14:solidFill>
                      </w14:textFill>
                    </w:rPr>
                    <w:t>颗粒物</w:t>
                  </w:r>
                  <w:bookmarkEnd w:id="79"/>
                </w:p>
              </w:tc>
            </w:tr>
            <w:tr w14:paraId="6EC601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1E46CFD7">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5CEBB51D">
                  <w:pPr>
                    <w:spacing w:line="360" w:lineRule="exact"/>
                    <w:jc w:val="center"/>
                    <w:rPr>
                      <w:color w:val="000000" w:themeColor="text1"/>
                      <w:szCs w:val="21"/>
                      <w14:textFill>
                        <w14:solidFill>
                          <w14:schemeClr w14:val="tx1"/>
                        </w14:solidFill>
                      </w14:textFill>
                    </w:rPr>
                  </w:pPr>
                </w:p>
              </w:tc>
              <w:tc>
                <w:tcPr>
                  <w:tcW w:w="2291" w:type="pct"/>
                  <w:vAlign w:val="center"/>
                </w:tcPr>
                <w:p w14:paraId="1EA760D5">
                  <w:pPr>
                    <w:jc w:val="center"/>
                    <w:outlineLvl w:val="9"/>
                    <w:rPr>
                      <w:color w:val="000000" w:themeColor="text1"/>
                      <w:szCs w:val="21"/>
                      <w:lang w:bidi="ar"/>
                      <w14:textFill>
                        <w14:solidFill>
                          <w14:schemeClr w14:val="tx1"/>
                        </w14:solidFill>
                      </w14:textFill>
                    </w:rPr>
                  </w:pPr>
                  <w:bookmarkStart w:id="80" w:name="_Toc14572"/>
                  <w:r>
                    <w:rPr>
                      <w:rFonts w:hint="eastAsia"/>
                      <w:color w:val="000000" w:themeColor="text1"/>
                      <w:szCs w:val="21"/>
                      <w14:textFill>
                        <w14:solidFill>
                          <w14:schemeClr w14:val="tx1"/>
                        </w14:solidFill>
                      </w14:textFill>
                    </w:rPr>
                    <w:t>热敷理疗产品超声波点焊废气</w:t>
                  </w:r>
                  <w:bookmarkEnd w:id="80"/>
                </w:p>
              </w:tc>
              <w:tc>
                <w:tcPr>
                  <w:tcW w:w="1574" w:type="pct"/>
                  <w:vAlign w:val="center"/>
                </w:tcPr>
                <w:p w14:paraId="18AF71B1">
                  <w:pPr>
                    <w:jc w:val="center"/>
                    <w:outlineLvl w:val="9"/>
                    <w:rPr>
                      <w:color w:val="000000" w:themeColor="text1"/>
                      <w:szCs w:val="21"/>
                      <w14:textFill>
                        <w14:solidFill>
                          <w14:schemeClr w14:val="tx1"/>
                        </w14:solidFill>
                      </w14:textFill>
                    </w:rPr>
                  </w:pPr>
                  <w:bookmarkStart w:id="81" w:name="_Toc29413"/>
                  <w:r>
                    <w:rPr>
                      <w:rFonts w:hint="eastAsia"/>
                      <w:color w:val="000000" w:themeColor="text1"/>
                      <w:szCs w:val="21"/>
                      <w14:textFill>
                        <w14:solidFill>
                          <w14:schemeClr w14:val="tx1"/>
                        </w14:solidFill>
                      </w14:textFill>
                    </w:rPr>
                    <w:t>非甲烷总烃</w:t>
                  </w:r>
                  <w:bookmarkEnd w:id="81"/>
                </w:p>
              </w:tc>
            </w:tr>
            <w:tr w14:paraId="55A9B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28" w:type="pct"/>
                  <w:vMerge w:val="continue"/>
                  <w:vAlign w:val="center"/>
                </w:tcPr>
                <w:p w14:paraId="7E3246AB">
                  <w:pPr>
                    <w:spacing w:line="360" w:lineRule="exact"/>
                    <w:jc w:val="center"/>
                    <w:rPr>
                      <w:color w:val="000000" w:themeColor="text1"/>
                      <w:szCs w:val="21"/>
                      <w14:textFill>
                        <w14:solidFill>
                          <w14:schemeClr w14:val="tx1"/>
                        </w14:solidFill>
                      </w14:textFill>
                    </w:rPr>
                  </w:pPr>
                </w:p>
              </w:tc>
              <w:tc>
                <w:tcPr>
                  <w:tcW w:w="605" w:type="pct"/>
                  <w:vMerge w:val="continue"/>
                  <w:vAlign w:val="center"/>
                </w:tcPr>
                <w:p w14:paraId="56AB761F">
                  <w:pPr>
                    <w:spacing w:line="360" w:lineRule="exact"/>
                    <w:jc w:val="center"/>
                    <w:rPr>
                      <w:color w:val="000000" w:themeColor="text1"/>
                      <w:szCs w:val="21"/>
                      <w14:textFill>
                        <w14:solidFill>
                          <w14:schemeClr w14:val="tx1"/>
                        </w14:solidFill>
                      </w14:textFill>
                    </w:rPr>
                  </w:pPr>
                </w:p>
              </w:tc>
              <w:tc>
                <w:tcPr>
                  <w:tcW w:w="2291" w:type="pct"/>
                  <w:vAlign w:val="center"/>
                </w:tcPr>
                <w:p w14:paraId="1A9EC097">
                  <w:pPr>
                    <w:jc w:val="center"/>
                    <w:outlineLvl w:val="9"/>
                    <w:rPr>
                      <w:color w:val="000000" w:themeColor="text1"/>
                      <w:szCs w:val="21"/>
                      <w14:textFill>
                        <w14:solidFill>
                          <w14:schemeClr w14:val="tx1"/>
                        </w14:solidFill>
                      </w14:textFill>
                    </w:rPr>
                  </w:pPr>
                  <w:bookmarkStart w:id="82" w:name="_Toc32752"/>
                  <w:r>
                    <w:rPr>
                      <w:color w:val="000000" w:themeColor="text1"/>
                      <w:kern w:val="52"/>
                      <w:szCs w:val="21"/>
                      <w14:textFill>
                        <w14:solidFill>
                          <w14:schemeClr w14:val="tx1"/>
                        </w14:solidFill>
                      </w14:textFill>
                    </w:rPr>
                    <w:t>污水处理站</w:t>
                  </w:r>
                  <w:r>
                    <w:rPr>
                      <w:rFonts w:hint="eastAsia"/>
                      <w:color w:val="000000" w:themeColor="text1"/>
                      <w:kern w:val="52"/>
                      <w:szCs w:val="21"/>
                      <w14:textFill>
                        <w14:solidFill>
                          <w14:schemeClr w14:val="tx1"/>
                        </w14:solidFill>
                      </w14:textFill>
                    </w:rPr>
                    <w:t>及酒糟暂存未收集的恶臭气体</w:t>
                  </w:r>
                  <w:bookmarkEnd w:id="82"/>
                </w:p>
              </w:tc>
              <w:tc>
                <w:tcPr>
                  <w:tcW w:w="1574" w:type="pct"/>
                  <w:vAlign w:val="center"/>
                </w:tcPr>
                <w:p w14:paraId="055F2EF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r>
            <w:tr w14:paraId="6074A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restart"/>
                  <w:vAlign w:val="center"/>
                </w:tcPr>
                <w:p w14:paraId="6E5347BC">
                  <w:pPr>
                    <w:spacing w:line="36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废水</w:t>
                  </w:r>
                </w:p>
              </w:tc>
              <w:tc>
                <w:tcPr>
                  <w:tcW w:w="2291" w:type="pct"/>
                  <w:vAlign w:val="center"/>
                </w:tcPr>
                <w:p w14:paraId="4ADE8988">
                  <w:pPr>
                    <w:autoSpaceDE w:val="0"/>
                    <w:autoSpaceDN w:val="0"/>
                    <w:adjustRightInd w:val="0"/>
                    <w:snapToGrid w:val="0"/>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职工生活污水</w:t>
                  </w:r>
                </w:p>
              </w:tc>
              <w:tc>
                <w:tcPr>
                  <w:tcW w:w="1574" w:type="pct"/>
                  <w:vAlign w:val="center"/>
                </w:tcPr>
                <w:p w14:paraId="22548A33">
                  <w:pPr>
                    <w:snapToGrid w:val="0"/>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pH、</w:t>
                  </w:r>
                  <w:r>
                    <w:rPr>
                      <w:color w:val="000000" w:themeColor="text1"/>
                      <w:kern w:val="0"/>
                      <w:szCs w:val="21"/>
                      <w14:textFill>
                        <w14:solidFill>
                          <w14:schemeClr w14:val="tx1"/>
                        </w14:solidFill>
                      </w14:textFill>
                    </w:rPr>
                    <w:t>COD、BOD</w:t>
                  </w:r>
                  <w:r>
                    <w:rPr>
                      <w:color w:val="000000" w:themeColor="text1"/>
                      <w:kern w:val="0"/>
                      <w:szCs w:val="21"/>
                      <w:vertAlign w:val="subscript"/>
                      <w14:textFill>
                        <w14:solidFill>
                          <w14:schemeClr w14:val="tx1"/>
                        </w14:solidFill>
                      </w14:textFill>
                    </w:rPr>
                    <w:t>5</w:t>
                  </w:r>
                  <w:r>
                    <w:rPr>
                      <w:color w:val="000000" w:themeColor="text1"/>
                      <w:kern w:val="0"/>
                      <w:szCs w:val="21"/>
                      <w14:textFill>
                        <w14:solidFill>
                          <w14:schemeClr w14:val="tx1"/>
                        </w14:solidFill>
                      </w14:textFill>
                    </w:rPr>
                    <w:t>、NH</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-N、SS</w:t>
                  </w:r>
                </w:p>
              </w:tc>
            </w:tr>
            <w:tr w14:paraId="389289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1C6DE3E4">
                  <w:pPr>
                    <w:spacing w:line="360" w:lineRule="exact"/>
                    <w:jc w:val="center"/>
                    <w:rPr>
                      <w:color w:val="000000" w:themeColor="text1"/>
                      <w:szCs w:val="21"/>
                      <w14:textFill>
                        <w14:solidFill>
                          <w14:schemeClr w14:val="tx1"/>
                        </w14:solidFill>
                      </w14:textFill>
                    </w:rPr>
                  </w:pPr>
                </w:p>
              </w:tc>
              <w:tc>
                <w:tcPr>
                  <w:tcW w:w="2291" w:type="pct"/>
                  <w:vAlign w:val="center"/>
                </w:tcPr>
                <w:p w14:paraId="7ECB1D94">
                  <w:pPr>
                    <w:autoSpaceDE w:val="0"/>
                    <w:autoSpaceDN w:val="0"/>
                    <w:adjustRightInd w:val="0"/>
                    <w:snapToGrid w:val="0"/>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生产工序</w:t>
                  </w:r>
                  <w:r>
                    <w:rPr>
                      <w:color w:val="000000" w:themeColor="text1"/>
                      <w:kern w:val="0"/>
                      <w:szCs w:val="21"/>
                      <w14:textFill>
                        <w14:solidFill>
                          <w14:schemeClr w14:val="tx1"/>
                        </w14:solidFill>
                      </w14:textFill>
                    </w:rPr>
                    <w:t>废水</w:t>
                  </w:r>
                </w:p>
              </w:tc>
              <w:tc>
                <w:tcPr>
                  <w:tcW w:w="1574" w:type="pct"/>
                  <w:vAlign w:val="center"/>
                </w:tcPr>
                <w:p w14:paraId="5858FE33">
                  <w:pPr>
                    <w:snapToGrid w:val="0"/>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pH、</w:t>
                  </w:r>
                  <w:r>
                    <w:rPr>
                      <w:color w:val="000000" w:themeColor="text1"/>
                      <w:kern w:val="0"/>
                      <w:szCs w:val="21"/>
                      <w14:textFill>
                        <w14:solidFill>
                          <w14:schemeClr w14:val="tx1"/>
                        </w14:solidFill>
                      </w14:textFill>
                    </w:rPr>
                    <w:t>COD、BOD</w:t>
                  </w:r>
                  <w:r>
                    <w:rPr>
                      <w:color w:val="000000" w:themeColor="text1"/>
                      <w:kern w:val="0"/>
                      <w:szCs w:val="21"/>
                      <w:vertAlign w:val="subscript"/>
                      <w14:textFill>
                        <w14:solidFill>
                          <w14:schemeClr w14:val="tx1"/>
                        </w14:solidFill>
                      </w14:textFill>
                    </w:rPr>
                    <w:t>5</w:t>
                  </w:r>
                  <w:r>
                    <w:rPr>
                      <w:color w:val="000000" w:themeColor="text1"/>
                      <w:kern w:val="0"/>
                      <w:szCs w:val="21"/>
                      <w14:textFill>
                        <w14:solidFill>
                          <w14:schemeClr w14:val="tx1"/>
                        </w14:solidFill>
                      </w14:textFill>
                    </w:rPr>
                    <w:t>、NH</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-N、SS、</w:t>
                  </w:r>
                  <w:r>
                    <w:rPr>
                      <w:rFonts w:hint="eastAsia"/>
                      <w:color w:val="000000" w:themeColor="text1"/>
                      <w:kern w:val="0"/>
                      <w:szCs w:val="21"/>
                      <w14:textFill>
                        <w14:solidFill>
                          <w14:schemeClr w14:val="tx1"/>
                        </w14:solidFill>
                      </w14:textFill>
                    </w:rPr>
                    <w:t>TN</w:t>
                  </w:r>
                  <w:r>
                    <w:rPr>
                      <w:color w:val="000000" w:themeColor="text1"/>
                      <w:kern w:val="0"/>
                      <w:szCs w:val="21"/>
                      <w14:textFill>
                        <w14:solidFill>
                          <w14:schemeClr w14:val="tx1"/>
                        </w14:solidFill>
                      </w14:textFill>
                    </w:rPr>
                    <w:t>、TP</w:t>
                  </w:r>
                </w:p>
              </w:tc>
            </w:tr>
            <w:tr w14:paraId="4093D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Align w:val="center"/>
                </w:tcPr>
                <w:p w14:paraId="5F12881E">
                  <w:pPr>
                    <w:spacing w:line="36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噪声</w:t>
                  </w:r>
                </w:p>
              </w:tc>
              <w:tc>
                <w:tcPr>
                  <w:tcW w:w="2291" w:type="pct"/>
                  <w:vAlign w:val="center"/>
                </w:tcPr>
                <w:p w14:paraId="39A96AD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灌装线</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激光喷码机</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连续封口机、粉碎机、风机</w:t>
                  </w:r>
                  <w:r>
                    <w:rPr>
                      <w:color w:val="000000" w:themeColor="text1"/>
                      <w:szCs w:val="21"/>
                      <w14:textFill>
                        <w14:solidFill>
                          <w14:schemeClr w14:val="tx1"/>
                        </w14:solidFill>
                      </w14:textFill>
                    </w:rPr>
                    <w:t>等设备</w:t>
                  </w:r>
                </w:p>
              </w:tc>
              <w:tc>
                <w:tcPr>
                  <w:tcW w:w="1574" w:type="pct"/>
                  <w:vAlign w:val="center"/>
                </w:tcPr>
                <w:p w14:paraId="033B495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机械噪声</w:t>
                  </w:r>
                </w:p>
              </w:tc>
            </w:tr>
            <w:tr w14:paraId="27446B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restart"/>
                  <w:vAlign w:val="center"/>
                </w:tcPr>
                <w:p w14:paraId="5CC97A86">
                  <w:pPr>
                    <w:spacing w:line="36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固废</w:t>
                  </w:r>
                </w:p>
              </w:tc>
              <w:tc>
                <w:tcPr>
                  <w:tcW w:w="2291" w:type="pct"/>
                  <w:vAlign w:val="center"/>
                </w:tcPr>
                <w:p w14:paraId="7C47ACCD">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职工生活</w:t>
                  </w:r>
                </w:p>
              </w:tc>
              <w:tc>
                <w:tcPr>
                  <w:tcW w:w="1574" w:type="pct"/>
                  <w:vAlign w:val="center"/>
                </w:tcPr>
                <w:p w14:paraId="75E631CC">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生活垃圾</w:t>
                  </w:r>
                </w:p>
              </w:tc>
            </w:tr>
            <w:tr w14:paraId="58336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3C6CD268">
                  <w:pPr>
                    <w:spacing w:line="360" w:lineRule="exact"/>
                    <w:jc w:val="center"/>
                    <w:rPr>
                      <w:color w:val="000000" w:themeColor="text1"/>
                      <w:szCs w:val="21"/>
                      <w14:textFill>
                        <w14:solidFill>
                          <w14:schemeClr w14:val="tx1"/>
                        </w14:solidFill>
                      </w14:textFill>
                    </w:rPr>
                  </w:pPr>
                </w:p>
              </w:tc>
              <w:tc>
                <w:tcPr>
                  <w:tcW w:w="2291" w:type="pct"/>
                  <w:vAlign w:val="center"/>
                </w:tcPr>
                <w:p w14:paraId="7BE5FD5C">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化粪池</w:t>
                  </w:r>
                </w:p>
              </w:tc>
              <w:tc>
                <w:tcPr>
                  <w:tcW w:w="1574" w:type="pct"/>
                  <w:vAlign w:val="center"/>
                </w:tcPr>
                <w:p w14:paraId="0FCFA33D">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污泥</w:t>
                  </w:r>
                </w:p>
              </w:tc>
            </w:tr>
            <w:tr w14:paraId="3C507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65DDBFD3">
                  <w:pPr>
                    <w:spacing w:line="360" w:lineRule="exact"/>
                    <w:jc w:val="center"/>
                    <w:rPr>
                      <w:color w:val="000000" w:themeColor="text1"/>
                      <w:szCs w:val="21"/>
                      <w14:textFill>
                        <w14:solidFill>
                          <w14:schemeClr w14:val="tx1"/>
                        </w14:solidFill>
                      </w14:textFill>
                    </w:rPr>
                  </w:pPr>
                </w:p>
              </w:tc>
              <w:tc>
                <w:tcPr>
                  <w:tcW w:w="2291" w:type="pct"/>
                  <w:vAlign w:val="center"/>
                </w:tcPr>
                <w:p w14:paraId="55E70BAD">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原料粉碎工序</w:t>
                  </w:r>
                </w:p>
              </w:tc>
              <w:tc>
                <w:tcPr>
                  <w:tcW w:w="1574" w:type="pct"/>
                  <w:vAlign w:val="center"/>
                </w:tcPr>
                <w:p w14:paraId="48D9E5DA">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除尘器收集到的粉尘</w:t>
                  </w:r>
                </w:p>
              </w:tc>
            </w:tr>
            <w:tr w14:paraId="4B2FB3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4BDB0776">
                  <w:pPr>
                    <w:spacing w:line="360" w:lineRule="exact"/>
                    <w:jc w:val="center"/>
                    <w:rPr>
                      <w:color w:val="000000" w:themeColor="text1"/>
                      <w:szCs w:val="21"/>
                      <w14:textFill>
                        <w14:solidFill>
                          <w14:schemeClr w14:val="tx1"/>
                        </w14:solidFill>
                      </w14:textFill>
                    </w:rPr>
                  </w:pPr>
                </w:p>
              </w:tc>
              <w:tc>
                <w:tcPr>
                  <w:tcW w:w="2291" w:type="pct"/>
                  <w:vAlign w:val="center"/>
                </w:tcPr>
                <w:p w14:paraId="31B00FC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蒸馏、压滤以及过滤等工序</w:t>
                  </w:r>
                </w:p>
              </w:tc>
              <w:tc>
                <w:tcPr>
                  <w:tcW w:w="1574" w:type="pct"/>
                  <w:vAlign w:val="center"/>
                </w:tcPr>
                <w:p w14:paraId="03A44AD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废酒糟</w:t>
                  </w:r>
                </w:p>
              </w:tc>
            </w:tr>
            <w:tr w14:paraId="48A2E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5EDF92A9">
                  <w:pPr>
                    <w:spacing w:line="360" w:lineRule="exact"/>
                    <w:jc w:val="center"/>
                    <w:rPr>
                      <w:color w:val="000000" w:themeColor="text1"/>
                      <w:szCs w:val="21"/>
                      <w14:textFill>
                        <w14:solidFill>
                          <w14:schemeClr w14:val="tx1"/>
                        </w14:solidFill>
                      </w14:textFill>
                    </w:rPr>
                  </w:pPr>
                </w:p>
              </w:tc>
              <w:tc>
                <w:tcPr>
                  <w:tcW w:w="2291" w:type="pct"/>
                  <w:vAlign w:val="center"/>
                </w:tcPr>
                <w:p w14:paraId="3894EF10">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煮沸、沉淀工序</w:t>
                  </w:r>
                </w:p>
              </w:tc>
              <w:tc>
                <w:tcPr>
                  <w:tcW w:w="1574" w:type="pct"/>
                  <w:vAlign w:val="center"/>
                </w:tcPr>
                <w:p w14:paraId="66553EB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废啤酒花、热凝固物</w:t>
                  </w:r>
                </w:p>
              </w:tc>
            </w:tr>
            <w:tr w14:paraId="225DF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7DE18B93">
                  <w:pPr>
                    <w:spacing w:line="360" w:lineRule="exact"/>
                    <w:jc w:val="center"/>
                    <w:rPr>
                      <w:color w:val="000000" w:themeColor="text1"/>
                      <w:szCs w:val="21"/>
                      <w14:textFill>
                        <w14:solidFill>
                          <w14:schemeClr w14:val="tx1"/>
                        </w14:solidFill>
                      </w14:textFill>
                    </w:rPr>
                  </w:pPr>
                </w:p>
              </w:tc>
              <w:tc>
                <w:tcPr>
                  <w:tcW w:w="2291" w:type="pct"/>
                  <w:vAlign w:val="center"/>
                </w:tcPr>
                <w:p w14:paraId="41E4A58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发酵工序</w:t>
                  </w:r>
                </w:p>
              </w:tc>
              <w:tc>
                <w:tcPr>
                  <w:tcW w:w="1574" w:type="pct"/>
                  <w:vAlign w:val="center"/>
                </w:tcPr>
                <w:p w14:paraId="785E3CE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废酵母（含冷凝固物）</w:t>
                  </w:r>
                </w:p>
              </w:tc>
            </w:tr>
            <w:tr w14:paraId="7CB78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29E84A09">
                  <w:pPr>
                    <w:spacing w:line="360" w:lineRule="exact"/>
                    <w:jc w:val="center"/>
                    <w:rPr>
                      <w:color w:val="000000" w:themeColor="text1"/>
                      <w:szCs w:val="21"/>
                      <w14:textFill>
                        <w14:solidFill>
                          <w14:schemeClr w14:val="tx1"/>
                        </w14:solidFill>
                      </w14:textFill>
                    </w:rPr>
                  </w:pPr>
                </w:p>
              </w:tc>
              <w:tc>
                <w:tcPr>
                  <w:tcW w:w="2291" w:type="pct"/>
                  <w:vAlign w:val="center"/>
                </w:tcPr>
                <w:p w14:paraId="2ABD330E">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压榨及过滤工序</w:t>
                  </w:r>
                </w:p>
              </w:tc>
              <w:tc>
                <w:tcPr>
                  <w:tcW w:w="1574" w:type="pct"/>
                  <w:vAlign w:val="center"/>
                </w:tcPr>
                <w:p w14:paraId="58D4904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废果、果皮、果渣及果梗</w:t>
                  </w:r>
                </w:p>
              </w:tc>
            </w:tr>
            <w:tr w14:paraId="1B2FAA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45480593">
                  <w:pPr>
                    <w:spacing w:line="360" w:lineRule="exact"/>
                    <w:jc w:val="center"/>
                    <w:rPr>
                      <w:color w:val="000000" w:themeColor="text1"/>
                      <w:szCs w:val="21"/>
                      <w14:textFill>
                        <w14:solidFill>
                          <w14:schemeClr w14:val="tx1"/>
                        </w14:solidFill>
                      </w14:textFill>
                    </w:rPr>
                  </w:pPr>
                </w:p>
              </w:tc>
              <w:tc>
                <w:tcPr>
                  <w:tcW w:w="2291" w:type="pct"/>
                  <w:vAlign w:val="center"/>
                </w:tcPr>
                <w:p w14:paraId="7AF802A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提取工序</w:t>
                  </w:r>
                </w:p>
              </w:tc>
              <w:tc>
                <w:tcPr>
                  <w:tcW w:w="1574" w:type="pct"/>
                  <w:vAlign w:val="center"/>
                </w:tcPr>
                <w:p w14:paraId="1B838C29">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过滤残渣</w:t>
                  </w:r>
                </w:p>
              </w:tc>
            </w:tr>
            <w:tr w14:paraId="169B6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290AED5E">
                  <w:pPr>
                    <w:spacing w:line="360" w:lineRule="exact"/>
                    <w:jc w:val="center"/>
                    <w:rPr>
                      <w:color w:val="000000" w:themeColor="text1"/>
                      <w:szCs w:val="21"/>
                      <w14:textFill>
                        <w14:solidFill>
                          <w14:schemeClr w14:val="tx1"/>
                        </w14:solidFill>
                      </w14:textFill>
                    </w:rPr>
                  </w:pPr>
                </w:p>
              </w:tc>
              <w:tc>
                <w:tcPr>
                  <w:tcW w:w="2291" w:type="pct"/>
                  <w:vAlign w:val="center"/>
                </w:tcPr>
                <w:p w14:paraId="560F7CA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剪切工序</w:t>
                  </w:r>
                </w:p>
              </w:tc>
              <w:tc>
                <w:tcPr>
                  <w:tcW w:w="1574" w:type="pct"/>
                  <w:vAlign w:val="center"/>
                </w:tcPr>
                <w:p w14:paraId="14DB37C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废边角料</w:t>
                  </w:r>
                </w:p>
              </w:tc>
            </w:tr>
            <w:tr w14:paraId="4EE10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5BFCA683">
                  <w:pPr>
                    <w:spacing w:line="360" w:lineRule="exact"/>
                    <w:jc w:val="center"/>
                    <w:rPr>
                      <w:color w:val="000000" w:themeColor="text1"/>
                      <w:szCs w:val="21"/>
                      <w14:textFill>
                        <w14:solidFill>
                          <w14:schemeClr w14:val="tx1"/>
                        </w14:solidFill>
                      </w14:textFill>
                    </w:rPr>
                  </w:pPr>
                </w:p>
              </w:tc>
              <w:tc>
                <w:tcPr>
                  <w:tcW w:w="2291" w:type="pct"/>
                  <w:vAlign w:val="center"/>
                </w:tcPr>
                <w:p w14:paraId="596DB9C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原料拆包及产品包装</w:t>
                  </w:r>
                </w:p>
              </w:tc>
              <w:tc>
                <w:tcPr>
                  <w:tcW w:w="1574" w:type="pct"/>
                  <w:vAlign w:val="center"/>
                </w:tcPr>
                <w:p w14:paraId="24DB4347">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废包装材料</w:t>
                  </w:r>
                </w:p>
              </w:tc>
            </w:tr>
            <w:tr w14:paraId="6F952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1DBF1A07">
                  <w:pPr>
                    <w:spacing w:line="360" w:lineRule="exact"/>
                    <w:jc w:val="center"/>
                    <w:rPr>
                      <w:color w:val="000000" w:themeColor="text1"/>
                      <w:szCs w:val="21"/>
                      <w14:textFill>
                        <w14:solidFill>
                          <w14:schemeClr w14:val="tx1"/>
                        </w14:solidFill>
                      </w14:textFill>
                    </w:rPr>
                  </w:pPr>
                </w:p>
              </w:tc>
              <w:tc>
                <w:tcPr>
                  <w:tcW w:w="2291" w:type="pct"/>
                  <w:vAlign w:val="center"/>
                </w:tcPr>
                <w:p w14:paraId="62A59FB0">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574" w:type="pct"/>
                  <w:vAlign w:val="center"/>
                </w:tcPr>
                <w:p w14:paraId="61705ACD">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废石英砂</w:t>
                  </w:r>
                </w:p>
              </w:tc>
            </w:tr>
            <w:tr w14:paraId="015460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7C590569">
                  <w:pPr>
                    <w:spacing w:line="360" w:lineRule="exact"/>
                    <w:jc w:val="center"/>
                    <w:rPr>
                      <w:color w:val="000000" w:themeColor="text1"/>
                      <w:szCs w:val="21"/>
                      <w14:textFill>
                        <w14:solidFill>
                          <w14:schemeClr w14:val="tx1"/>
                        </w14:solidFill>
                      </w14:textFill>
                    </w:rPr>
                  </w:pPr>
                </w:p>
              </w:tc>
              <w:tc>
                <w:tcPr>
                  <w:tcW w:w="2291" w:type="pct"/>
                  <w:vAlign w:val="center"/>
                </w:tcPr>
                <w:p w14:paraId="6889AAAC">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574" w:type="pct"/>
                  <w:vAlign w:val="center"/>
                </w:tcPr>
                <w:p w14:paraId="799AC9E8">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废滤芯</w:t>
                  </w:r>
                </w:p>
              </w:tc>
            </w:tr>
            <w:tr w14:paraId="12F8E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2829FB17">
                  <w:pPr>
                    <w:spacing w:line="360" w:lineRule="exact"/>
                    <w:jc w:val="center"/>
                    <w:rPr>
                      <w:color w:val="000000" w:themeColor="text1"/>
                      <w:szCs w:val="21"/>
                      <w14:textFill>
                        <w14:solidFill>
                          <w14:schemeClr w14:val="tx1"/>
                        </w14:solidFill>
                      </w14:textFill>
                    </w:rPr>
                  </w:pPr>
                </w:p>
              </w:tc>
              <w:tc>
                <w:tcPr>
                  <w:tcW w:w="2291" w:type="pct"/>
                  <w:vAlign w:val="center"/>
                </w:tcPr>
                <w:p w14:paraId="270AE46E">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574" w:type="pct"/>
                  <w:vAlign w:val="center"/>
                </w:tcPr>
                <w:p w14:paraId="3E9E16D3">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废活性炭</w:t>
                  </w:r>
                </w:p>
              </w:tc>
            </w:tr>
            <w:tr w14:paraId="56347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3E07EF6D">
                  <w:pPr>
                    <w:spacing w:line="360" w:lineRule="exact"/>
                    <w:jc w:val="center"/>
                    <w:rPr>
                      <w:color w:val="000000" w:themeColor="text1"/>
                      <w:szCs w:val="21"/>
                      <w14:textFill>
                        <w14:solidFill>
                          <w14:schemeClr w14:val="tx1"/>
                        </w14:solidFill>
                      </w14:textFill>
                    </w:rPr>
                  </w:pPr>
                </w:p>
              </w:tc>
              <w:tc>
                <w:tcPr>
                  <w:tcW w:w="2291" w:type="pct"/>
                  <w:vAlign w:val="center"/>
                </w:tcPr>
                <w:p w14:paraId="494E6AA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1574" w:type="pct"/>
                  <w:vAlign w:val="center"/>
                </w:tcPr>
                <w:p w14:paraId="3A7D288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废反渗透膜</w:t>
                  </w:r>
                </w:p>
              </w:tc>
            </w:tr>
            <w:tr w14:paraId="0AB47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66691443">
                  <w:pPr>
                    <w:spacing w:line="360" w:lineRule="exact"/>
                    <w:jc w:val="center"/>
                    <w:rPr>
                      <w:color w:val="000000" w:themeColor="text1"/>
                      <w:szCs w:val="21"/>
                      <w14:textFill>
                        <w14:solidFill>
                          <w14:schemeClr w14:val="tx1"/>
                        </w14:solidFill>
                      </w14:textFill>
                    </w:rPr>
                  </w:pPr>
                </w:p>
              </w:tc>
              <w:tc>
                <w:tcPr>
                  <w:tcW w:w="2291" w:type="pct"/>
                  <w:vAlign w:val="center"/>
                </w:tcPr>
                <w:p w14:paraId="0F370EF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过滤工序</w:t>
                  </w:r>
                </w:p>
              </w:tc>
              <w:tc>
                <w:tcPr>
                  <w:tcW w:w="1574" w:type="pct"/>
                  <w:vAlign w:val="center"/>
                </w:tcPr>
                <w:p w14:paraId="675E9A6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废硅藻土</w:t>
                  </w:r>
                </w:p>
              </w:tc>
            </w:tr>
            <w:tr w14:paraId="1A38C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64C1826E">
                  <w:pPr>
                    <w:spacing w:line="360" w:lineRule="exact"/>
                    <w:jc w:val="center"/>
                    <w:rPr>
                      <w:color w:val="000000" w:themeColor="text1"/>
                      <w:szCs w:val="21"/>
                      <w14:textFill>
                        <w14:solidFill>
                          <w14:schemeClr w14:val="tx1"/>
                        </w14:solidFill>
                      </w14:textFill>
                    </w:rPr>
                  </w:pPr>
                </w:p>
              </w:tc>
              <w:tc>
                <w:tcPr>
                  <w:tcW w:w="2291" w:type="pct"/>
                  <w:vAlign w:val="center"/>
                </w:tcPr>
                <w:p w14:paraId="57471DA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灌装工序</w:t>
                  </w:r>
                </w:p>
              </w:tc>
              <w:tc>
                <w:tcPr>
                  <w:tcW w:w="1574" w:type="pct"/>
                  <w:vAlign w:val="center"/>
                </w:tcPr>
                <w:p w14:paraId="71CF56F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废酒瓶</w:t>
                  </w:r>
                </w:p>
              </w:tc>
            </w:tr>
            <w:tr w14:paraId="530CC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0BADCB1C">
                  <w:pPr>
                    <w:spacing w:line="360" w:lineRule="exact"/>
                    <w:jc w:val="center"/>
                    <w:rPr>
                      <w:color w:val="000000" w:themeColor="text1"/>
                      <w:szCs w:val="21"/>
                      <w14:textFill>
                        <w14:solidFill>
                          <w14:schemeClr w14:val="tx1"/>
                        </w14:solidFill>
                      </w14:textFill>
                    </w:rPr>
                  </w:pPr>
                </w:p>
              </w:tc>
              <w:tc>
                <w:tcPr>
                  <w:tcW w:w="2291" w:type="pct"/>
                  <w:vAlign w:val="center"/>
                </w:tcPr>
                <w:p w14:paraId="0ED3593B">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生产废水治理设施</w:t>
                  </w:r>
                </w:p>
              </w:tc>
              <w:tc>
                <w:tcPr>
                  <w:tcW w:w="1574" w:type="pct"/>
                  <w:vAlign w:val="center"/>
                </w:tcPr>
                <w:p w14:paraId="5305CCF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污泥</w:t>
                  </w:r>
                </w:p>
              </w:tc>
            </w:tr>
            <w:tr w14:paraId="05055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restart"/>
                  <w:vAlign w:val="center"/>
                </w:tcPr>
                <w:p w14:paraId="07A8E27D">
                  <w:pPr>
                    <w:spacing w:line="360" w:lineRule="exact"/>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危废</w:t>
                  </w:r>
                </w:p>
              </w:tc>
              <w:tc>
                <w:tcPr>
                  <w:tcW w:w="2291" w:type="pct"/>
                  <w:vAlign w:val="center"/>
                </w:tcPr>
                <w:p w14:paraId="6E410F37">
                  <w:pPr>
                    <w:snapToGrid w:val="0"/>
                    <w:jc w:val="center"/>
                    <w:rPr>
                      <w:bCs/>
                      <w:color w:val="000000" w:themeColor="text1"/>
                      <w:kern w:val="0"/>
                      <w:szCs w:val="21"/>
                      <w14:textFill>
                        <w14:solidFill>
                          <w14:schemeClr w14:val="tx1"/>
                        </w14:solidFill>
                      </w14:textFill>
                    </w:rPr>
                  </w:pPr>
                  <w:r>
                    <w:rPr>
                      <w:bCs/>
                      <w:color w:val="000000" w:themeColor="text1"/>
                      <w:szCs w:val="21"/>
                      <w14:textFill>
                        <w14:solidFill>
                          <w14:schemeClr w14:val="tx1"/>
                        </w14:solidFill>
                      </w14:textFill>
                    </w:rPr>
                    <w:t>设备维护过程</w:t>
                  </w:r>
                </w:p>
              </w:tc>
              <w:tc>
                <w:tcPr>
                  <w:tcW w:w="1574" w:type="pct"/>
                  <w:vAlign w:val="center"/>
                </w:tcPr>
                <w:p w14:paraId="7611B169">
                  <w:pPr>
                    <w:tabs>
                      <w:tab w:val="left" w:pos="5250"/>
                    </w:tabs>
                    <w:adjustRightInd w:val="0"/>
                    <w:snapToGrid w:val="0"/>
                    <w:jc w:val="center"/>
                    <w:rPr>
                      <w:color w:val="000000" w:themeColor="text1"/>
                      <w:szCs w:val="21"/>
                      <w14:textFill>
                        <w14:solidFill>
                          <w14:schemeClr w14:val="tx1"/>
                        </w14:solidFill>
                      </w14:textFill>
                    </w:rPr>
                  </w:pPr>
                  <w:r>
                    <w:rPr>
                      <w:bCs/>
                      <w:color w:val="000000" w:themeColor="text1"/>
                      <w:szCs w:val="21"/>
                      <w14:textFill>
                        <w14:solidFill>
                          <w14:schemeClr w14:val="tx1"/>
                        </w14:solidFill>
                      </w14:textFill>
                    </w:rPr>
                    <w:t>废润滑油、废润滑油桶</w:t>
                  </w:r>
                </w:p>
              </w:tc>
            </w:tr>
            <w:tr w14:paraId="759B7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19A0029F">
                  <w:pPr>
                    <w:spacing w:line="360" w:lineRule="exact"/>
                    <w:jc w:val="center"/>
                    <w:rPr>
                      <w:color w:val="000000" w:themeColor="text1"/>
                      <w:szCs w:val="21"/>
                      <w14:textFill>
                        <w14:solidFill>
                          <w14:schemeClr w14:val="tx1"/>
                        </w14:solidFill>
                      </w14:textFill>
                    </w:rPr>
                  </w:pPr>
                </w:p>
              </w:tc>
              <w:tc>
                <w:tcPr>
                  <w:tcW w:w="2291" w:type="pct"/>
                  <w:vAlign w:val="center"/>
                </w:tcPr>
                <w:p w14:paraId="2E3F9DEA">
                  <w:pPr>
                    <w:snapToGrid w:val="0"/>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废气治理过程</w:t>
                  </w:r>
                </w:p>
              </w:tc>
              <w:tc>
                <w:tcPr>
                  <w:tcW w:w="1574" w:type="pct"/>
                  <w:vAlign w:val="center"/>
                </w:tcPr>
                <w:p w14:paraId="07F492CC">
                  <w:pPr>
                    <w:tabs>
                      <w:tab w:val="left" w:pos="5250"/>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w:t>
                  </w:r>
                  <w:r>
                    <w:rPr>
                      <w:rFonts w:hint="eastAsia"/>
                      <w:color w:val="000000" w:themeColor="text1"/>
                      <w:szCs w:val="21"/>
                      <w14:textFill>
                        <w14:solidFill>
                          <w14:schemeClr w14:val="tx1"/>
                        </w14:solidFill>
                      </w14:textFill>
                    </w:rPr>
                    <w:t>活性炭</w:t>
                  </w:r>
                </w:p>
              </w:tc>
            </w:tr>
            <w:tr w14:paraId="29A32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34" w:type="pct"/>
                  <w:gridSpan w:val="2"/>
                  <w:vMerge w:val="continue"/>
                  <w:vAlign w:val="center"/>
                </w:tcPr>
                <w:p w14:paraId="1555CCC5">
                  <w:pPr>
                    <w:spacing w:line="360" w:lineRule="exact"/>
                    <w:jc w:val="center"/>
                    <w:rPr>
                      <w:color w:val="000000" w:themeColor="text1"/>
                      <w:szCs w:val="21"/>
                      <w14:textFill>
                        <w14:solidFill>
                          <w14:schemeClr w14:val="tx1"/>
                        </w14:solidFill>
                      </w14:textFill>
                    </w:rPr>
                  </w:pPr>
                </w:p>
              </w:tc>
              <w:tc>
                <w:tcPr>
                  <w:tcW w:w="2291" w:type="pct"/>
                  <w:vAlign w:val="center"/>
                </w:tcPr>
                <w:p w14:paraId="1110E3E9">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原料</w:t>
                  </w:r>
                  <w:r>
                    <w:rPr>
                      <w:color w:val="000000" w:themeColor="text1"/>
                      <w:szCs w:val="21"/>
                      <w14:textFill>
                        <w14:solidFill>
                          <w14:schemeClr w14:val="tx1"/>
                        </w14:solidFill>
                      </w14:textFill>
                    </w:rPr>
                    <w:t>（氢氧化钠、硝酸）</w:t>
                  </w:r>
                  <w:r>
                    <w:rPr>
                      <w:rFonts w:hint="eastAsia"/>
                      <w:color w:val="000000" w:themeColor="text1"/>
                      <w:szCs w:val="21"/>
                      <w14:textFill>
                        <w14:solidFill>
                          <w14:schemeClr w14:val="tx1"/>
                        </w14:solidFill>
                      </w14:textFill>
                    </w:rPr>
                    <w:t>使用</w:t>
                  </w:r>
                </w:p>
              </w:tc>
              <w:tc>
                <w:tcPr>
                  <w:tcW w:w="1574" w:type="pct"/>
                  <w:vAlign w:val="center"/>
                </w:tcPr>
                <w:p w14:paraId="68BB9687">
                  <w:pPr>
                    <w:tabs>
                      <w:tab w:val="left" w:pos="5250"/>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废包装材料</w:t>
                  </w:r>
                </w:p>
              </w:tc>
            </w:tr>
          </w:tbl>
          <w:p w14:paraId="0F8BC17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p>
        </w:tc>
      </w:tr>
      <w:tr w14:paraId="681462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48" w:type="pct"/>
            <w:shd w:val="clear" w:color="auto" w:fill="auto"/>
            <w:vAlign w:val="center"/>
          </w:tcPr>
          <w:p w14:paraId="79A08F97">
            <w:pPr>
              <w:pStyle w:val="21"/>
              <w:adjustRightInd w:val="0"/>
              <w:snapToGrid w:val="0"/>
              <w:spacing w:before="0" w:beforeAutospacing="0" w:after="0" w:afterAutospacing="0"/>
              <w:jc w:val="center"/>
              <w:rPr>
                <w:rFonts w:ascii="Times New Roman" w:hAnsi="Times New Roman"/>
                <w:color w:val="000000" w:themeColor="text1"/>
                <w:szCs w:val="24"/>
                <w14:textFill>
                  <w14:solidFill>
                    <w14:schemeClr w14:val="tx1"/>
                  </w14:solidFill>
                </w14:textFill>
              </w:rPr>
            </w:pPr>
            <w:r>
              <w:rPr>
                <w:rFonts w:ascii="Times New Roman" w:hAnsi="Times New Roman"/>
                <w:bCs/>
                <w:color w:val="000000" w:themeColor="text1"/>
                <w:kern w:val="2"/>
                <w:szCs w:val="24"/>
                <w14:textFill>
                  <w14:solidFill>
                    <w14:schemeClr w14:val="tx1"/>
                  </w14:solidFill>
                </w14:textFill>
              </w:rPr>
              <w:t>与项目有关原有环境污染问题</w:t>
            </w:r>
          </w:p>
        </w:tc>
        <w:tc>
          <w:tcPr>
            <w:tcW w:w="4751" w:type="pct"/>
            <w:vAlign w:val="center"/>
          </w:tcPr>
          <w:p w14:paraId="18D45B1B">
            <w:pPr>
              <w:pStyle w:val="47"/>
              <w:adjustRightInd/>
              <w:snapToGrid/>
              <w:spacing w:line="360" w:lineRule="auto"/>
              <w:ind w:firstLine="480"/>
              <w:rPr>
                <w:color w:val="000000" w:themeColor="text1"/>
                <w14:textFill>
                  <w14:solidFill>
                    <w14:schemeClr w14:val="tx1"/>
                  </w14:solidFill>
                </w14:textFill>
              </w:rPr>
            </w:pPr>
            <w:r>
              <w:rPr>
                <w:color w:val="000000" w:themeColor="text1"/>
                <w14:textFill>
                  <w14:solidFill>
                    <w14:schemeClr w14:val="tx1"/>
                  </w14:solidFill>
                </w14:textFill>
              </w:rPr>
              <w:t>本项目位于</w:t>
            </w:r>
            <w:r>
              <w:rPr>
                <w:rFonts w:hint="eastAsia"/>
                <w:color w:val="000000" w:themeColor="text1"/>
                <w14:textFill>
                  <w14:solidFill>
                    <w14:schemeClr w14:val="tx1"/>
                  </w14:solidFill>
                </w14:textFill>
              </w:rPr>
              <w:t>南阳市镇平县玉都工业园区新星路8号</w:t>
            </w:r>
            <w:r>
              <w:rPr>
                <w:color w:val="000000" w:themeColor="text1"/>
                <w14:textFill>
                  <w14:solidFill>
                    <w14:schemeClr w14:val="tx1"/>
                  </w14:solidFill>
                </w14:textFill>
              </w:rPr>
              <w:t>，租赁</w:t>
            </w:r>
            <w:r>
              <w:rPr>
                <w:rFonts w:hint="eastAsia"/>
                <w:color w:val="000000" w:themeColor="text1"/>
                <w14:textFill>
                  <w14:solidFill>
                    <w14:schemeClr w14:val="tx1"/>
                  </w14:solidFill>
                </w14:textFill>
              </w:rPr>
              <w:t>河南健生酒液有限公司场地</w:t>
            </w:r>
            <w:r>
              <w:rPr>
                <w:color w:val="000000" w:themeColor="text1"/>
                <w14:textFill>
                  <w14:solidFill>
                    <w14:schemeClr w14:val="tx1"/>
                  </w14:solidFill>
                </w14:textFill>
              </w:rPr>
              <w:t>进行建设，</w:t>
            </w:r>
            <w:r>
              <w:rPr>
                <w:rFonts w:hint="eastAsia"/>
                <w:color w:val="000000" w:themeColor="text1"/>
                <w14:textFill>
                  <w14:solidFill>
                    <w14:schemeClr w14:val="tx1"/>
                  </w14:solidFill>
                </w14:textFill>
              </w:rPr>
              <w:t>租赁后利用厂区内现有构筑物并新建1座综合车间、1座封坛区域、1座</w:t>
            </w:r>
            <w:r>
              <w:rPr>
                <w:rStyle w:val="30"/>
                <w:rFonts w:hint="eastAsia"/>
                <w:color w:val="000000" w:themeColor="text1"/>
                <w:sz w:val="24"/>
                <w:szCs w:val="24"/>
                <w14:textFill>
                  <w14:solidFill>
                    <w14:schemeClr w14:val="tx1"/>
                  </w14:solidFill>
                </w14:textFill>
              </w:rPr>
              <w:t>1#二类器械车间、</w:t>
            </w:r>
            <w:r>
              <w:rPr>
                <w:rFonts w:hint="eastAsia"/>
                <w:color w:val="000000" w:themeColor="text1"/>
                <w14:textFill>
                  <w14:solidFill>
                    <w14:schemeClr w14:val="tx1"/>
                  </w14:solidFill>
                </w14:textFill>
              </w:rPr>
              <w:t>1座</w:t>
            </w:r>
            <w:r>
              <w:rPr>
                <w:rStyle w:val="30"/>
                <w:rFonts w:hint="eastAsia"/>
                <w:color w:val="000000" w:themeColor="text1"/>
                <w:sz w:val="24"/>
                <w:szCs w:val="24"/>
                <w14:textFill>
                  <w14:solidFill>
                    <w14:schemeClr w14:val="tx1"/>
                  </w14:solidFill>
                </w14:textFill>
              </w:rPr>
              <w:t>2#二类器械车间</w:t>
            </w:r>
            <w:r>
              <w:rPr>
                <w:rFonts w:hint="eastAsia"/>
                <w:color w:val="000000" w:themeColor="text1"/>
                <w14:textFill>
                  <w14:solidFill>
                    <w14:schemeClr w14:val="tx1"/>
                  </w14:solidFill>
                </w14:textFill>
              </w:rPr>
              <w:t>，本项目</w:t>
            </w:r>
            <w:r>
              <w:rPr>
                <w:color w:val="000000" w:themeColor="text1"/>
                <w14:textFill>
                  <w14:solidFill>
                    <w14:schemeClr w14:val="tx1"/>
                  </w14:solidFill>
                </w14:textFill>
              </w:rPr>
              <w:t>属于新建项目，因此不存在与项目有关的原有污染环境问题。</w:t>
            </w:r>
          </w:p>
          <w:p w14:paraId="51EF15D9">
            <w:pPr>
              <w:pStyle w:val="47"/>
              <w:adjustRightInd/>
              <w:snapToGrid/>
              <w:spacing w:line="360" w:lineRule="auto"/>
              <w:ind w:firstLine="480"/>
              <w:rPr>
                <w:color w:val="000000" w:themeColor="text1"/>
                <w:kern w:val="2"/>
                <w14:textFill>
                  <w14:solidFill>
                    <w14:schemeClr w14:val="tx1"/>
                  </w14:solidFill>
                </w14:textFill>
              </w:rPr>
            </w:pPr>
            <w:r>
              <w:rPr>
                <w:color w:val="000000" w:themeColor="text1"/>
                <w14:textFill>
                  <w14:solidFill>
                    <w14:schemeClr w14:val="tx1"/>
                  </w14:solidFill>
                </w14:textFill>
              </w:rPr>
              <w:t>经现场勘查，本项目</w:t>
            </w:r>
            <w:r>
              <w:rPr>
                <w:rFonts w:hint="eastAsia"/>
                <w:color w:val="000000" w:themeColor="text1"/>
                <w14:textFill>
                  <w14:solidFill>
                    <w14:schemeClr w14:val="tx1"/>
                  </w14:solidFill>
                </w14:textFill>
              </w:rPr>
              <w:t>河南健生酒液有限公司场地内现有构筑物内不存在</w:t>
            </w:r>
            <w:r>
              <w:rPr>
                <w:color w:val="000000" w:themeColor="text1"/>
                <w14:textFill>
                  <w14:solidFill>
                    <w14:schemeClr w14:val="tx1"/>
                  </w14:solidFill>
                </w14:textFill>
              </w:rPr>
              <w:t>生产设施及其他杂物。</w:t>
            </w:r>
          </w:p>
        </w:tc>
      </w:tr>
    </w:tbl>
    <w:p w14:paraId="44A7484E">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p w14:paraId="56BFF577">
      <w:pPr>
        <w:pStyle w:val="3"/>
        <w:bidi w:val="0"/>
        <w:jc w:val="center"/>
        <w:outlineLvl w:val="0"/>
        <w:rPr>
          <w:rFonts w:hint="default"/>
          <w:color w:val="000000" w:themeColor="text1"/>
          <w14:textFill>
            <w14:solidFill>
              <w14:schemeClr w14:val="tx1"/>
            </w14:solidFill>
          </w14:textFill>
        </w:rPr>
      </w:pPr>
      <w:bookmarkStart w:id="83" w:name="_Toc27455"/>
      <w:bookmarkStart w:id="84" w:name="_Toc9068"/>
      <w:r>
        <w:rPr>
          <w:color w:val="000000" w:themeColor="text1"/>
          <w14:textFill>
            <w14:solidFill>
              <w14:schemeClr w14:val="tx1"/>
            </w14:solidFill>
          </w14:textFill>
        </w:rPr>
        <w:t>三、区域环境质量现状、环境保护目标及评价标准</w:t>
      </w:r>
      <w:bookmarkEnd w:id="83"/>
      <w:bookmarkEnd w:id="84"/>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
        <w:gridCol w:w="9492"/>
      </w:tblGrid>
      <w:tr w14:paraId="1C080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 w:hRule="atLeast"/>
          <w:jc w:val="center"/>
        </w:trPr>
        <w:tc>
          <w:tcPr>
            <w:tcW w:w="233" w:type="pct"/>
            <w:tcBorders>
              <w:tl2br w:val="nil"/>
              <w:tr2bl w:val="nil"/>
            </w:tcBorders>
            <w:vAlign w:val="center"/>
          </w:tcPr>
          <w:p w14:paraId="7B13B9A2">
            <w:pPr>
              <w:adjustRightInd w:val="0"/>
              <w:snapToGrid w:val="0"/>
              <w:jc w:val="center"/>
              <w:rPr>
                <w:color w:val="000000" w:themeColor="text1"/>
                <w:kern w:val="21"/>
                <w:sz w:val="24"/>
                <w14:textFill>
                  <w14:solidFill>
                    <w14:schemeClr w14:val="tx1"/>
                  </w14:solidFill>
                </w14:textFill>
              </w:rPr>
            </w:pPr>
            <w:r>
              <w:rPr>
                <w:color w:val="000000" w:themeColor="text1"/>
                <w:kern w:val="21"/>
                <w:sz w:val="24"/>
                <w14:textFill>
                  <w14:solidFill>
                    <w14:schemeClr w14:val="tx1"/>
                  </w14:solidFill>
                </w14:textFill>
              </w:rPr>
              <w:t>区域环境质量现状</w:t>
            </w:r>
          </w:p>
        </w:tc>
        <w:tc>
          <w:tcPr>
            <w:tcW w:w="4766" w:type="pct"/>
            <w:tcBorders>
              <w:tl2br w:val="nil"/>
              <w:tr2bl w:val="nil"/>
            </w:tcBorders>
            <w:vAlign w:val="center"/>
          </w:tcPr>
          <w:p w14:paraId="118092E7">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1、大气环境</w:t>
            </w:r>
          </w:p>
          <w:p w14:paraId="430819C1">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本项目位于南阳市镇平县玉都工业园区新星路8号，根据环境空气质量功能区划分原则，项目所在区域为二类功能区，环境空气质量应执行《环境空气质量标准》（GB 3095-2012）中的二级标准。本次评价采用《202</w:t>
            </w:r>
            <w:r>
              <w:rPr>
                <w:rFonts w:hint="eastAsia"/>
                <w:bCs/>
                <w:color w:val="000000" w:themeColor="text1"/>
                <w:sz w:val="24"/>
                <w14:textFill>
                  <w14:solidFill>
                    <w14:schemeClr w14:val="tx1"/>
                  </w14:solidFill>
                </w14:textFill>
              </w:rPr>
              <w:t>4</w:t>
            </w:r>
            <w:r>
              <w:rPr>
                <w:bCs/>
                <w:color w:val="000000" w:themeColor="text1"/>
                <w:sz w:val="24"/>
                <w14:textFill>
                  <w14:solidFill>
                    <w14:schemeClr w14:val="tx1"/>
                  </w14:solidFill>
                </w14:textFill>
              </w:rPr>
              <w:t>年河南省南阳市生态环境质量报告》中</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202</w:t>
            </w:r>
            <w:r>
              <w:rPr>
                <w:rFonts w:hint="eastAsia"/>
                <w:bCs/>
                <w:color w:val="000000" w:themeColor="text1"/>
                <w:sz w:val="24"/>
                <w14:textFill>
                  <w14:solidFill>
                    <w14:schemeClr w14:val="tx1"/>
                  </w14:solidFill>
                </w14:textFill>
              </w:rPr>
              <w:t>4</w:t>
            </w:r>
            <w:r>
              <w:rPr>
                <w:bCs/>
                <w:color w:val="000000" w:themeColor="text1"/>
                <w:sz w:val="24"/>
                <w14:textFill>
                  <w14:solidFill>
                    <w14:schemeClr w14:val="tx1"/>
                  </w14:solidFill>
                </w14:textFill>
              </w:rPr>
              <w:t>年南阳市各县（市、区）环境空气主要项目监测结果统计</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中镇平县的数据，详见下表。</w:t>
            </w:r>
          </w:p>
          <w:p w14:paraId="2355520C">
            <w:pPr>
              <w:tabs>
                <w:tab w:val="left" w:pos="1081"/>
              </w:tabs>
              <w:adjustRightInd w:val="0"/>
              <w:snapToGrid w:val="0"/>
              <w:spacing w:line="360" w:lineRule="auto"/>
              <w:ind w:firstLine="482" w:firstLineChars="200"/>
              <w:jc w:val="center"/>
              <w:rPr>
                <w:bCs/>
                <w:color w:val="000000" w:themeColor="text1"/>
                <w:sz w:val="24"/>
                <w14:textFill>
                  <w14:solidFill>
                    <w14:schemeClr w14:val="tx1"/>
                  </w14:solidFill>
                </w14:textFill>
              </w:rPr>
            </w:pPr>
            <w:r>
              <w:rPr>
                <w:b/>
                <w:bCs/>
                <w:color w:val="000000" w:themeColor="text1"/>
                <w:sz w:val="24"/>
                <w:lang w:val="en-GB"/>
                <w14:textFill>
                  <w14:solidFill>
                    <w14:schemeClr w14:val="tx1"/>
                  </w14:solidFill>
                </w14:textFill>
              </w:rPr>
              <w:t>表3-1   镇平县202</w:t>
            </w:r>
            <w:r>
              <w:rPr>
                <w:rFonts w:hint="eastAsia"/>
                <w:b/>
                <w:bCs/>
                <w:color w:val="000000" w:themeColor="text1"/>
                <w:sz w:val="24"/>
                <w14:textFill>
                  <w14:solidFill>
                    <w14:schemeClr w14:val="tx1"/>
                  </w14:solidFill>
                </w14:textFill>
              </w:rPr>
              <w:t>4</w:t>
            </w:r>
            <w:r>
              <w:rPr>
                <w:b/>
                <w:bCs/>
                <w:color w:val="000000" w:themeColor="text1"/>
                <w:sz w:val="24"/>
                <w:lang w:val="en-GB"/>
                <w14:textFill>
                  <w14:solidFill>
                    <w14:schemeClr w14:val="tx1"/>
                  </w14:solidFill>
                </w14:textFill>
              </w:rPr>
              <w:t>年环境空气监测及评价结果</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78"/>
              <w:gridCol w:w="3560"/>
              <w:gridCol w:w="1295"/>
              <w:gridCol w:w="1314"/>
              <w:gridCol w:w="1182"/>
              <w:gridCol w:w="1033"/>
            </w:tblGrid>
            <w:tr w14:paraId="4ECBF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dxa"/>
                  <w:tcBorders>
                    <w:top w:val="single" w:color="auto" w:sz="4" w:space="0"/>
                    <w:left w:val="single" w:color="auto" w:sz="4" w:space="0"/>
                    <w:bottom w:val="single" w:color="auto" w:sz="4" w:space="0"/>
                    <w:right w:val="single" w:color="auto" w:sz="4" w:space="0"/>
                  </w:tcBorders>
                  <w:vAlign w:val="center"/>
                </w:tcPr>
                <w:p w14:paraId="456A7132">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w:t>
                  </w:r>
                </w:p>
              </w:tc>
              <w:tc>
                <w:tcPr>
                  <w:tcW w:w="3560" w:type="dxa"/>
                  <w:tcBorders>
                    <w:top w:val="single" w:color="auto" w:sz="4" w:space="0"/>
                    <w:left w:val="nil"/>
                    <w:bottom w:val="single" w:color="auto" w:sz="4" w:space="0"/>
                    <w:right w:val="single" w:color="auto" w:sz="4" w:space="0"/>
                  </w:tcBorders>
                  <w:vAlign w:val="center"/>
                </w:tcPr>
                <w:p w14:paraId="796A20C6">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年评价指标</w:t>
                  </w:r>
                </w:p>
              </w:tc>
              <w:tc>
                <w:tcPr>
                  <w:tcW w:w="1295" w:type="dxa"/>
                  <w:tcBorders>
                    <w:top w:val="single" w:color="auto" w:sz="4" w:space="0"/>
                    <w:left w:val="nil"/>
                    <w:bottom w:val="single" w:color="auto" w:sz="4" w:space="0"/>
                    <w:right w:val="single" w:color="auto" w:sz="4" w:space="0"/>
                  </w:tcBorders>
                  <w:vAlign w:val="center"/>
                </w:tcPr>
                <w:p w14:paraId="0E05D6B7">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现状浓度</w:t>
                  </w:r>
                </w:p>
                <w:p w14:paraId="132A7BFA">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（μg/m</w:t>
                  </w:r>
                  <w:r>
                    <w:rPr>
                      <w:bCs/>
                      <w:color w:val="000000" w:themeColor="text1"/>
                      <w:szCs w:val="21"/>
                      <w:vertAlign w:val="superscript"/>
                      <w14:textFill>
                        <w14:solidFill>
                          <w14:schemeClr w14:val="tx1"/>
                        </w14:solidFill>
                      </w14:textFill>
                    </w:rPr>
                    <w:t>3</w:t>
                  </w:r>
                  <w:r>
                    <w:rPr>
                      <w:bCs/>
                      <w:color w:val="000000" w:themeColor="text1"/>
                      <w:szCs w:val="21"/>
                      <w14:textFill>
                        <w14:solidFill>
                          <w14:schemeClr w14:val="tx1"/>
                        </w14:solidFill>
                      </w14:textFill>
                    </w:rPr>
                    <w:t>）</w:t>
                  </w:r>
                </w:p>
              </w:tc>
              <w:tc>
                <w:tcPr>
                  <w:tcW w:w="1314" w:type="dxa"/>
                  <w:tcBorders>
                    <w:top w:val="single" w:color="auto" w:sz="4" w:space="0"/>
                    <w:left w:val="nil"/>
                    <w:bottom w:val="single" w:color="auto" w:sz="4" w:space="0"/>
                    <w:right w:val="single" w:color="auto" w:sz="4" w:space="0"/>
                  </w:tcBorders>
                  <w:vAlign w:val="center"/>
                </w:tcPr>
                <w:p w14:paraId="5B360894">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标准值</w:t>
                  </w:r>
                </w:p>
                <w:p w14:paraId="46B18FBD">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（μg/m</w:t>
                  </w:r>
                  <w:r>
                    <w:rPr>
                      <w:bCs/>
                      <w:color w:val="000000" w:themeColor="text1"/>
                      <w:szCs w:val="21"/>
                      <w:vertAlign w:val="superscript"/>
                      <w14:textFill>
                        <w14:solidFill>
                          <w14:schemeClr w14:val="tx1"/>
                        </w14:solidFill>
                      </w14:textFill>
                    </w:rPr>
                    <w:t>3</w:t>
                  </w:r>
                  <w:r>
                    <w:rPr>
                      <w:bCs/>
                      <w:color w:val="000000" w:themeColor="text1"/>
                      <w:szCs w:val="21"/>
                      <w14:textFill>
                        <w14:solidFill>
                          <w14:schemeClr w14:val="tx1"/>
                        </w14:solidFill>
                      </w14:textFill>
                    </w:rPr>
                    <w:t>）</w:t>
                  </w:r>
                </w:p>
              </w:tc>
              <w:tc>
                <w:tcPr>
                  <w:tcW w:w="1182" w:type="dxa"/>
                  <w:tcBorders>
                    <w:top w:val="single" w:color="auto" w:sz="4" w:space="0"/>
                    <w:left w:val="nil"/>
                    <w:bottom w:val="single" w:color="auto" w:sz="4" w:space="0"/>
                    <w:right w:val="single" w:color="auto" w:sz="4" w:space="0"/>
                  </w:tcBorders>
                  <w:vAlign w:val="center"/>
                </w:tcPr>
                <w:p w14:paraId="79F30FBD">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占标率%</w:t>
                  </w:r>
                </w:p>
              </w:tc>
              <w:tc>
                <w:tcPr>
                  <w:tcW w:w="1033" w:type="dxa"/>
                  <w:tcBorders>
                    <w:top w:val="single" w:color="auto" w:sz="4" w:space="0"/>
                    <w:left w:val="nil"/>
                    <w:bottom w:val="single" w:color="auto" w:sz="4" w:space="0"/>
                    <w:right w:val="single" w:color="auto" w:sz="4" w:space="0"/>
                  </w:tcBorders>
                  <w:vAlign w:val="center"/>
                </w:tcPr>
                <w:p w14:paraId="64539EAA">
                  <w:pPr>
                    <w:tabs>
                      <w:tab w:val="left" w:pos="1081"/>
                    </w:tabs>
                    <w:adjustRightInd w:val="0"/>
                    <w:snapToGrid w:val="0"/>
                    <w:jc w:val="center"/>
                    <w:rPr>
                      <w:bCs/>
                      <w:color w:val="000000" w:themeColor="text1"/>
                      <w:szCs w:val="21"/>
                      <w14:textFill>
                        <w14:solidFill>
                          <w14:schemeClr w14:val="tx1"/>
                        </w14:solidFill>
                      </w14:textFill>
                    </w:rPr>
                  </w:pPr>
                </w:p>
                <w:p w14:paraId="279DF023">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达标情况</w:t>
                  </w:r>
                </w:p>
              </w:tc>
            </w:tr>
            <w:tr w14:paraId="3E814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dxa"/>
                  <w:tcBorders>
                    <w:top w:val="nil"/>
                    <w:left w:val="single" w:color="auto" w:sz="4" w:space="0"/>
                    <w:bottom w:val="single" w:color="auto" w:sz="4" w:space="0"/>
                    <w:right w:val="single" w:color="auto" w:sz="4" w:space="0"/>
                  </w:tcBorders>
                  <w:vAlign w:val="center"/>
                </w:tcPr>
                <w:p w14:paraId="0E8A80CC">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SO</w:t>
                  </w:r>
                  <w:r>
                    <w:rPr>
                      <w:bCs/>
                      <w:color w:val="000000" w:themeColor="text1"/>
                      <w:szCs w:val="21"/>
                      <w:vertAlign w:val="subscript"/>
                      <w14:textFill>
                        <w14:solidFill>
                          <w14:schemeClr w14:val="tx1"/>
                        </w14:solidFill>
                      </w14:textFill>
                    </w:rPr>
                    <w:t>2</w:t>
                  </w:r>
                </w:p>
              </w:tc>
              <w:tc>
                <w:tcPr>
                  <w:tcW w:w="3560" w:type="dxa"/>
                  <w:tcBorders>
                    <w:top w:val="single" w:color="auto" w:sz="4" w:space="0"/>
                    <w:left w:val="nil"/>
                    <w:bottom w:val="single" w:color="auto" w:sz="4" w:space="0"/>
                    <w:right w:val="single" w:color="auto" w:sz="4" w:space="0"/>
                  </w:tcBorders>
                  <w:vAlign w:val="center"/>
                </w:tcPr>
                <w:p w14:paraId="44BB9D50">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年平均质量浓度</w:t>
                  </w:r>
                </w:p>
              </w:tc>
              <w:tc>
                <w:tcPr>
                  <w:tcW w:w="1295" w:type="dxa"/>
                  <w:tcBorders>
                    <w:top w:val="single" w:color="auto" w:sz="4" w:space="0"/>
                    <w:left w:val="nil"/>
                    <w:bottom w:val="single" w:color="auto" w:sz="4" w:space="0"/>
                    <w:right w:val="single" w:color="auto" w:sz="4" w:space="0"/>
                  </w:tcBorders>
                  <w:vAlign w:val="center"/>
                </w:tcPr>
                <w:p w14:paraId="4BB39FB1">
                  <w:pPr>
                    <w:tabs>
                      <w:tab w:val="left" w:pos="1081"/>
                    </w:tabs>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7</w:t>
                  </w:r>
                </w:p>
              </w:tc>
              <w:tc>
                <w:tcPr>
                  <w:tcW w:w="1314" w:type="dxa"/>
                  <w:tcBorders>
                    <w:top w:val="single" w:color="auto" w:sz="4" w:space="0"/>
                    <w:left w:val="nil"/>
                    <w:bottom w:val="single" w:color="auto" w:sz="4" w:space="0"/>
                    <w:right w:val="single" w:color="auto" w:sz="4" w:space="0"/>
                  </w:tcBorders>
                  <w:vAlign w:val="center"/>
                </w:tcPr>
                <w:p w14:paraId="58EC84F8">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60</w:t>
                  </w:r>
                </w:p>
              </w:tc>
              <w:tc>
                <w:tcPr>
                  <w:tcW w:w="1182" w:type="dxa"/>
                  <w:tcBorders>
                    <w:top w:val="single" w:color="auto" w:sz="4" w:space="0"/>
                    <w:left w:val="nil"/>
                    <w:bottom w:val="single" w:color="auto" w:sz="4" w:space="0"/>
                    <w:right w:val="single" w:color="auto" w:sz="4" w:space="0"/>
                  </w:tcBorders>
                  <w:vAlign w:val="center"/>
                </w:tcPr>
                <w:p w14:paraId="490D5857">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8</w:t>
                  </w:r>
                </w:p>
              </w:tc>
              <w:tc>
                <w:tcPr>
                  <w:tcW w:w="1033" w:type="dxa"/>
                  <w:tcBorders>
                    <w:top w:val="single" w:color="auto" w:sz="4" w:space="0"/>
                    <w:left w:val="nil"/>
                    <w:bottom w:val="single" w:color="auto" w:sz="4" w:space="0"/>
                    <w:right w:val="single" w:color="auto" w:sz="4" w:space="0"/>
                  </w:tcBorders>
                  <w:vAlign w:val="center"/>
                </w:tcPr>
                <w:p w14:paraId="60E4BC41">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达标</w:t>
                  </w:r>
                </w:p>
              </w:tc>
            </w:tr>
            <w:tr w14:paraId="65AE4A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dxa"/>
                  <w:tcBorders>
                    <w:top w:val="nil"/>
                    <w:left w:val="single" w:color="auto" w:sz="4" w:space="0"/>
                    <w:bottom w:val="single" w:color="auto" w:sz="4" w:space="0"/>
                    <w:right w:val="single" w:color="auto" w:sz="4" w:space="0"/>
                  </w:tcBorders>
                  <w:vAlign w:val="center"/>
                </w:tcPr>
                <w:p w14:paraId="1EC5FFBD">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NO</w:t>
                  </w:r>
                  <w:r>
                    <w:rPr>
                      <w:bCs/>
                      <w:color w:val="000000" w:themeColor="text1"/>
                      <w:szCs w:val="21"/>
                      <w:vertAlign w:val="subscript"/>
                      <w14:textFill>
                        <w14:solidFill>
                          <w14:schemeClr w14:val="tx1"/>
                        </w14:solidFill>
                      </w14:textFill>
                    </w:rPr>
                    <w:t>2</w:t>
                  </w:r>
                </w:p>
              </w:tc>
              <w:tc>
                <w:tcPr>
                  <w:tcW w:w="3560" w:type="dxa"/>
                  <w:tcBorders>
                    <w:top w:val="single" w:color="auto" w:sz="4" w:space="0"/>
                    <w:left w:val="nil"/>
                    <w:bottom w:val="single" w:color="auto" w:sz="4" w:space="0"/>
                    <w:right w:val="single" w:color="auto" w:sz="4" w:space="0"/>
                  </w:tcBorders>
                  <w:vAlign w:val="center"/>
                </w:tcPr>
                <w:p w14:paraId="4DD912EB">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年平均质量浓度</w:t>
                  </w:r>
                </w:p>
              </w:tc>
              <w:tc>
                <w:tcPr>
                  <w:tcW w:w="1295" w:type="dxa"/>
                  <w:tcBorders>
                    <w:top w:val="single" w:color="auto" w:sz="4" w:space="0"/>
                    <w:left w:val="nil"/>
                    <w:bottom w:val="single" w:color="auto" w:sz="4" w:space="0"/>
                    <w:right w:val="single" w:color="auto" w:sz="4" w:space="0"/>
                  </w:tcBorders>
                  <w:vAlign w:val="center"/>
                </w:tcPr>
                <w:p w14:paraId="3D7676D7">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4</w:t>
                  </w:r>
                </w:p>
              </w:tc>
              <w:tc>
                <w:tcPr>
                  <w:tcW w:w="1314" w:type="dxa"/>
                  <w:tcBorders>
                    <w:top w:val="single" w:color="auto" w:sz="4" w:space="0"/>
                    <w:left w:val="nil"/>
                    <w:bottom w:val="single" w:color="auto" w:sz="4" w:space="0"/>
                    <w:right w:val="single" w:color="auto" w:sz="4" w:space="0"/>
                  </w:tcBorders>
                  <w:vAlign w:val="center"/>
                </w:tcPr>
                <w:p w14:paraId="19AEE3A8">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40</w:t>
                  </w:r>
                </w:p>
              </w:tc>
              <w:tc>
                <w:tcPr>
                  <w:tcW w:w="1182" w:type="dxa"/>
                  <w:tcBorders>
                    <w:top w:val="single" w:color="auto" w:sz="4" w:space="0"/>
                    <w:left w:val="nil"/>
                    <w:bottom w:val="single" w:color="auto" w:sz="4" w:space="0"/>
                    <w:right w:val="single" w:color="auto" w:sz="4" w:space="0"/>
                  </w:tcBorders>
                  <w:vAlign w:val="center"/>
                </w:tcPr>
                <w:p w14:paraId="3C9D468D">
                  <w:pPr>
                    <w:tabs>
                      <w:tab w:val="left" w:pos="1081"/>
                    </w:tabs>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35</w:t>
                  </w:r>
                </w:p>
              </w:tc>
              <w:tc>
                <w:tcPr>
                  <w:tcW w:w="1033" w:type="dxa"/>
                  <w:tcBorders>
                    <w:top w:val="single" w:color="auto" w:sz="4" w:space="0"/>
                    <w:left w:val="nil"/>
                    <w:bottom w:val="single" w:color="auto" w:sz="4" w:space="0"/>
                    <w:right w:val="single" w:color="auto" w:sz="4" w:space="0"/>
                  </w:tcBorders>
                  <w:vAlign w:val="center"/>
                </w:tcPr>
                <w:p w14:paraId="5803A911">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达标</w:t>
                  </w:r>
                </w:p>
              </w:tc>
            </w:tr>
            <w:tr w14:paraId="7A3AF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dxa"/>
                  <w:tcBorders>
                    <w:top w:val="nil"/>
                    <w:left w:val="single" w:color="auto" w:sz="4" w:space="0"/>
                    <w:bottom w:val="single" w:color="auto" w:sz="4" w:space="0"/>
                    <w:right w:val="single" w:color="auto" w:sz="4" w:space="0"/>
                  </w:tcBorders>
                  <w:vAlign w:val="center"/>
                </w:tcPr>
                <w:p w14:paraId="0D56BCB4">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PM</w:t>
                  </w:r>
                  <w:r>
                    <w:rPr>
                      <w:bCs/>
                      <w:color w:val="000000" w:themeColor="text1"/>
                      <w:szCs w:val="21"/>
                      <w:vertAlign w:val="subscript"/>
                      <w14:textFill>
                        <w14:solidFill>
                          <w14:schemeClr w14:val="tx1"/>
                        </w14:solidFill>
                      </w14:textFill>
                    </w:rPr>
                    <w:t>10</w:t>
                  </w:r>
                </w:p>
              </w:tc>
              <w:tc>
                <w:tcPr>
                  <w:tcW w:w="3560" w:type="dxa"/>
                  <w:tcBorders>
                    <w:top w:val="single" w:color="auto" w:sz="4" w:space="0"/>
                    <w:left w:val="nil"/>
                    <w:bottom w:val="single" w:color="auto" w:sz="4" w:space="0"/>
                    <w:right w:val="single" w:color="auto" w:sz="4" w:space="0"/>
                  </w:tcBorders>
                  <w:vAlign w:val="center"/>
                </w:tcPr>
                <w:p w14:paraId="76A7B5BE">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年平均质量浓度</w:t>
                  </w:r>
                </w:p>
              </w:tc>
              <w:tc>
                <w:tcPr>
                  <w:tcW w:w="1295" w:type="dxa"/>
                  <w:tcBorders>
                    <w:top w:val="single" w:color="auto" w:sz="4" w:space="0"/>
                    <w:left w:val="nil"/>
                    <w:bottom w:val="single" w:color="auto" w:sz="4" w:space="0"/>
                    <w:right w:val="single" w:color="auto" w:sz="4" w:space="0"/>
                  </w:tcBorders>
                  <w:vAlign w:val="center"/>
                </w:tcPr>
                <w:p w14:paraId="52BA6B6A">
                  <w:pPr>
                    <w:tabs>
                      <w:tab w:val="left" w:pos="1081"/>
                    </w:tabs>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71</w:t>
                  </w:r>
                </w:p>
              </w:tc>
              <w:tc>
                <w:tcPr>
                  <w:tcW w:w="1314" w:type="dxa"/>
                  <w:tcBorders>
                    <w:top w:val="single" w:color="auto" w:sz="4" w:space="0"/>
                    <w:left w:val="nil"/>
                    <w:bottom w:val="single" w:color="auto" w:sz="4" w:space="0"/>
                    <w:right w:val="single" w:color="auto" w:sz="4" w:space="0"/>
                  </w:tcBorders>
                  <w:vAlign w:val="center"/>
                </w:tcPr>
                <w:p w14:paraId="7AE9C134">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70</w:t>
                  </w:r>
                </w:p>
              </w:tc>
              <w:tc>
                <w:tcPr>
                  <w:tcW w:w="1182" w:type="dxa"/>
                  <w:tcBorders>
                    <w:top w:val="single" w:color="auto" w:sz="4" w:space="0"/>
                    <w:left w:val="nil"/>
                    <w:bottom w:val="single" w:color="auto" w:sz="4" w:space="0"/>
                    <w:right w:val="single" w:color="auto" w:sz="4" w:space="0"/>
                  </w:tcBorders>
                  <w:vAlign w:val="center"/>
                </w:tcPr>
                <w:p w14:paraId="6C5097B6">
                  <w:pPr>
                    <w:tabs>
                      <w:tab w:val="left" w:pos="1081"/>
                    </w:tabs>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101.4</w:t>
                  </w:r>
                </w:p>
              </w:tc>
              <w:tc>
                <w:tcPr>
                  <w:tcW w:w="1033" w:type="dxa"/>
                  <w:tcBorders>
                    <w:top w:val="single" w:color="auto" w:sz="4" w:space="0"/>
                    <w:left w:val="nil"/>
                    <w:bottom w:val="single" w:color="auto" w:sz="4" w:space="0"/>
                    <w:right w:val="single" w:color="auto" w:sz="4" w:space="0"/>
                  </w:tcBorders>
                  <w:vAlign w:val="center"/>
                </w:tcPr>
                <w:p w14:paraId="0AE42717">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超标</w:t>
                  </w:r>
                </w:p>
              </w:tc>
            </w:tr>
            <w:tr w14:paraId="6074B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dxa"/>
                  <w:tcBorders>
                    <w:top w:val="nil"/>
                    <w:left w:val="single" w:color="auto" w:sz="4" w:space="0"/>
                    <w:bottom w:val="single" w:color="auto" w:sz="4" w:space="0"/>
                    <w:right w:val="single" w:color="auto" w:sz="4" w:space="0"/>
                  </w:tcBorders>
                  <w:vAlign w:val="center"/>
                </w:tcPr>
                <w:p w14:paraId="71CC7416">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PM</w:t>
                  </w:r>
                  <w:r>
                    <w:rPr>
                      <w:bCs/>
                      <w:color w:val="000000" w:themeColor="text1"/>
                      <w:szCs w:val="21"/>
                      <w:vertAlign w:val="subscript"/>
                      <w14:textFill>
                        <w14:solidFill>
                          <w14:schemeClr w14:val="tx1"/>
                        </w14:solidFill>
                      </w14:textFill>
                    </w:rPr>
                    <w:t>2.5</w:t>
                  </w:r>
                </w:p>
              </w:tc>
              <w:tc>
                <w:tcPr>
                  <w:tcW w:w="3560" w:type="dxa"/>
                  <w:tcBorders>
                    <w:top w:val="single" w:color="auto" w:sz="4" w:space="0"/>
                    <w:left w:val="nil"/>
                    <w:bottom w:val="single" w:color="auto" w:sz="4" w:space="0"/>
                    <w:right w:val="single" w:color="auto" w:sz="4" w:space="0"/>
                  </w:tcBorders>
                  <w:vAlign w:val="center"/>
                </w:tcPr>
                <w:p w14:paraId="6570F973">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年平均质量浓度</w:t>
                  </w:r>
                </w:p>
              </w:tc>
              <w:tc>
                <w:tcPr>
                  <w:tcW w:w="1295" w:type="dxa"/>
                  <w:tcBorders>
                    <w:top w:val="single" w:color="auto" w:sz="4" w:space="0"/>
                    <w:left w:val="nil"/>
                    <w:bottom w:val="single" w:color="auto" w:sz="4" w:space="0"/>
                    <w:right w:val="single" w:color="auto" w:sz="4" w:space="0"/>
                  </w:tcBorders>
                  <w:vAlign w:val="center"/>
                </w:tcPr>
                <w:p w14:paraId="37628318">
                  <w:pPr>
                    <w:tabs>
                      <w:tab w:val="left" w:pos="1081"/>
                    </w:tabs>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41</w:t>
                  </w:r>
                </w:p>
              </w:tc>
              <w:tc>
                <w:tcPr>
                  <w:tcW w:w="1314" w:type="dxa"/>
                  <w:tcBorders>
                    <w:top w:val="single" w:color="auto" w:sz="4" w:space="0"/>
                    <w:left w:val="nil"/>
                    <w:bottom w:val="single" w:color="auto" w:sz="4" w:space="0"/>
                    <w:right w:val="single" w:color="auto" w:sz="4" w:space="0"/>
                  </w:tcBorders>
                  <w:vAlign w:val="center"/>
                </w:tcPr>
                <w:p w14:paraId="18EADC96">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35</w:t>
                  </w:r>
                </w:p>
              </w:tc>
              <w:tc>
                <w:tcPr>
                  <w:tcW w:w="1182" w:type="dxa"/>
                  <w:tcBorders>
                    <w:top w:val="single" w:color="auto" w:sz="4" w:space="0"/>
                    <w:left w:val="nil"/>
                    <w:bottom w:val="single" w:color="auto" w:sz="4" w:space="0"/>
                    <w:right w:val="single" w:color="auto" w:sz="4" w:space="0"/>
                  </w:tcBorders>
                  <w:vAlign w:val="center"/>
                </w:tcPr>
                <w:p w14:paraId="24A236F4">
                  <w:pPr>
                    <w:tabs>
                      <w:tab w:val="left" w:pos="1081"/>
                    </w:tabs>
                    <w:adjustRightInd w:val="0"/>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117.1</w:t>
                  </w:r>
                </w:p>
              </w:tc>
              <w:tc>
                <w:tcPr>
                  <w:tcW w:w="1033" w:type="dxa"/>
                  <w:tcBorders>
                    <w:top w:val="single" w:color="auto" w:sz="4" w:space="0"/>
                    <w:left w:val="nil"/>
                    <w:bottom w:val="single" w:color="auto" w:sz="4" w:space="0"/>
                    <w:right w:val="single" w:color="auto" w:sz="4" w:space="0"/>
                  </w:tcBorders>
                  <w:vAlign w:val="center"/>
                </w:tcPr>
                <w:p w14:paraId="29ABCDF9">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超标</w:t>
                  </w:r>
                </w:p>
              </w:tc>
            </w:tr>
            <w:tr w14:paraId="0BFEF6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dxa"/>
                  <w:tcBorders>
                    <w:top w:val="single" w:color="auto" w:sz="4" w:space="0"/>
                    <w:left w:val="single" w:color="auto" w:sz="4" w:space="0"/>
                    <w:bottom w:val="single" w:color="auto" w:sz="4" w:space="0"/>
                    <w:right w:val="single" w:color="auto" w:sz="4" w:space="0"/>
                  </w:tcBorders>
                  <w:vAlign w:val="center"/>
                </w:tcPr>
                <w:p w14:paraId="1D59820C">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CO</w:t>
                  </w:r>
                </w:p>
              </w:tc>
              <w:tc>
                <w:tcPr>
                  <w:tcW w:w="3560" w:type="dxa"/>
                  <w:tcBorders>
                    <w:top w:val="single" w:color="auto" w:sz="4" w:space="0"/>
                    <w:left w:val="nil"/>
                    <w:bottom w:val="single" w:color="auto" w:sz="4" w:space="0"/>
                    <w:right w:val="single" w:color="auto" w:sz="4" w:space="0"/>
                  </w:tcBorders>
                  <w:vAlign w:val="center"/>
                </w:tcPr>
                <w:p w14:paraId="107DD28A">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24h平均第95百分位数</w:t>
                  </w:r>
                </w:p>
              </w:tc>
              <w:tc>
                <w:tcPr>
                  <w:tcW w:w="1295" w:type="dxa"/>
                  <w:tcBorders>
                    <w:top w:val="single" w:color="auto" w:sz="4" w:space="0"/>
                    <w:left w:val="nil"/>
                    <w:bottom w:val="single" w:color="auto" w:sz="4" w:space="0"/>
                    <w:right w:val="single" w:color="auto" w:sz="4" w:space="0"/>
                  </w:tcBorders>
                  <w:vAlign w:val="center"/>
                </w:tcPr>
                <w:p w14:paraId="7EE15F5B">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1100</w:t>
                  </w:r>
                </w:p>
              </w:tc>
              <w:tc>
                <w:tcPr>
                  <w:tcW w:w="1314" w:type="dxa"/>
                  <w:tcBorders>
                    <w:top w:val="single" w:color="auto" w:sz="4" w:space="0"/>
                    <w:left w:val="nil"/>
                    <w:bottom w:val="single" w:color="auto" w:sz="4" w:space="0"/>
                    <w:right w:val="single" w:color="auto" w:sz="4" w:space="0"/>
                  </w:tcBorders>
                  <w:vAlign w:val="center"/>
                </w:tcPr>
                <w:p w14:paraId="49270BC1">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4000</w:t>
                  </w:r>
                </w:p>
              </w:tc>
              <w:tc>
                <w:tcPr>
                  <w:tcW w:w="1182" w:type="dxa"/>
                  <w:tcBorders>
                    <w:top w:val="single" w:color="auto" w:sz="4" w:space="0"/>
                    <w:left w:val="nil"/>
                    <w:bottom w:val="single" w:color="auto" w:sz="4" w:space="0"/>
                    <w:right w:val="single" w:color="auto" w:sz="4" w:space="0"/>
                  </w:tcBorders>
                  <w:vAlign w:val="center"/>
                </w:tcPr>
                <w:p w14:paraId="0FED9364">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27.5</w:t>
                  </w:r>
                </w:p>
              </w:tc>
              <w:tc>
                <w:tcPr>
                  <w:tcW w:w="1033" w:type="dxa"/>
                  <w:tcBorders>
                    <w:top w:val="single" w:color="auto" w:sz="4" w:space="0"/>
                    <w:left w:val="nil"/>
                    <w:bottom w:val="single" w:color="auto" w:sz="4" w:space="0"/>
                    <w:right w:val="single" w:color="auto" w:sz="4" w:space="0"/>
                  </w:tcBorders>
                  <w:vAlign w:val="center"/>
                </w:tcPr>
                <w:p w14:paraId="1340E690">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达标</w:t>
                  </w:r>
                </w:p>
              </w:tc>
            </w:tr>
            <w:tr w14:paraId="1FF5C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78" w:type="dxa"/>
                  <w:tcBorders>
                    <w:top w:val="single" w:color="auto" w:sz="4" w:space="0"/>
                    <w:left w:val="single" w:color="auto" w:sz="4" w:space="0"/>
                    <w:bottom w:val="single" w:color="auto" w:sz="4" w:space="0"/>
                    <w:right w:val="single" w:color="auto" w:sz="4" w:space="0"/>
                  </w:tcBorders>
                  <w:vAlign w:val="center"/>
                </w:tcPr>
                <w:p w14:paraId="69EC98AD">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O</w:t>
                  </w:r>
                  <w:r>
                    <w:rPr>
                      <w:bCs/>
                      <w:color w:val="000000" w:themeColor="text1"/>
                      <w:szCs w:val="21"/>
                      <w:vertAlign w:val="subscript"/>
                      <w14:textFill>
                        <w14:solidFill>
                          <w14:schemeClr w14:val="tx1"/>
                        </w14:solidFill>
                      </w14:textFill>
                    </w:rPr>
                    <w:t>3</w:t>
                  </w:r>
                </w:p>
              </w:tc>
              <w:tc>
                <w:tcPr>
                  <w:tcW w:w="3560" w:type="dxa"/>
                  <w:tcBorders>
                    <w:top w:val="single" w:color="auto" w:sz="4" w:space="0"/>
                    <w:left w:val="nil"/>
                    <w:bottom w:val="single" w:color="auto" w:sz="4" w:space="0"/>
                    <w:right w:val="single" w:color="auto" w:sz="4" w:space="0"/>
                  </w:tcBorders>
                  <w:vAlign w:val="center"/>
                </w:tcPr>
                <w:p w14:paraId="5A1A68A4">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日最大8h平均第90百分位数</w:t>
                  </w:r>
                </w:p>
              </w:tc>
              <w:tc>
                <w:tcPr>
                  <w:tcW w:w="1295" w:type="dxa"/>
                  <w:tcBorders>
                    <w:top w:val="single" w:color="auto" w:sz="4" w:space="0"/>
                    <w:left w:val="nil"/>
                    <w:bottom w:val="single" w:color="auto" w:sz="4" w:space="0"/>
                    <w:right w:val="single" w:color="auto" w:sz="4" w:space="0"/>
                  </w:tcBorders>
                  <w:vAlign w:val="center"/>
                </w:tcPr>
                <w:p w14:paraId="771DD848">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153</w:t>
                  </w:r>
                </w:p>
              </w:tc>
              <w:tc>
                <w:tcPr>
                  <w:tcW w:w="1314" w:type="dxa"/>
                  <w:tcBorders>
                    <w:top w:val="single" w:color="auto" w:sz="4" w:space="0"/>
                    <w:left w:val="nil"/>
                    <w:bottom w:val="single" w:color="auto" w:sz="4" w:space="0"/>
                    <w:right w:val="single" w:color="auto" w:sz="4" w:space="0"/>
                  </w:tcBorders>
                  <w:vAlign w:val="center"/>
                </w:tcPr>
                <w:p w14:paraId="167A1743">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160</w:t>
                  </w:r>
                </w:p>
              </w:tc>
              <w:tc>
                <w:tcPr>
                  <w:tcW w:w="1182" w:type="dxa"/>
                  <w:tcBorders>
                    <w:top w:val="single" w:color="auto" w:sz="4" w:space="0"/>
                    <w:left w:val="nil"/>
                    <w:bottom w:val="single" w:color="auto" w:sz="4" w:space="0"/>
                    <w:right w:val="single" w:color="auto" w:sz="4" w:space="0"/>
                  </w:tcBorders>
                  <w:vAlign w:val="center"/>
                </w:tcPr>
                <w:p w14:paraId="5854231D">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95.6</w:t>
                  </w:r>
                </w:p>
              </w:tc>
              <w:tc>
                <w:tcPr>
                  <w:tcW w:w="1033" w:type="dxa"/>
                  <w:tcBorders>
                    <w:top w:val="single" w:color="auto" w:sz="4" w:space="0"/>
                    <w:left w:val="nil"/>
                    <w:bottom w:val="single" w:color="auto" w:sz="4" w:space="0"/>
                    <w:right w:val="single" w:color="auto" w:sz="4" w:space="0"/>
                  </w:tcBorders>
                  <w:vAlign w:val="center"/>
                </w:tcPr>
                <w:p w14:paraId="6E7588BC">
                  <w:pPr>
                    <w:tabs>
                      <w:tab w:val="left" w:pos="1081"/>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达标</w:t>
                  </w:r>
                </w:p>
              </w:tc>
            </w:tr>
          </w:tbl>
          <w:p w14:paraId="1EBA9654">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由上表可知，镇平县六项基本污染物除PM</w:t>
            </w:r>
            <w:r>
              <w:rPr>
                <w:bCs/>
                <w:color w:val="000000" w:themeColor="text1"/>
                <w:sz w:val="24"/>
                <w:vertAlign w:val="subscript"/>
                <w14:textFill>
                  <w14:solidFill>
                    <w14:schemeClr w14:val="tx1"/>
                  </w14:solidFill>
                </w14:textFill>
              </w:rPr>
              <w:t>10</w:t>
            </w:r>
            <w:r>
              <w:rPr>
                <w:bCs/>
                <w:color w:val="000000" w:themeColor="text1"/>
                <w:sz w:val="24"/>
                <w14:textFill>
                  <w14:solidFill>
                    <w14:schemeClr w14:val="tx1"/>
                  </w14:solidFill>
                </w14:textFill>
              </w:rPr>
              <w:t xml:space="preserve"> 、PM</w:t>
            </w:r>
            <w:r>
              <w:rPr>
                <w:bCs/>
                <w:color w:val="000000" w:themeColor="text1"/>
                <w:sz w:val="24"/>
                <w:vertAlign w:val="subscript"/>
                <w14:textFill>
                  <w14:solidFill>
                    <w14:schemeClr w14:val="tx1"/>
                  </w14:solidFill>
                </w14:textFill>
              </w:rPr>
              <w:t>2.5</w:t>
            </w:r>
            <w:r>
              <w:rPr>
                <w:bCs/>
                <w:color w:val="000000" w:themeColor="text1"/>
                <w:sz w:val="24"/>
                <w14:textFill>
                  <w14:solidFill>
                    <w14:schemeClr w14:val="tx1"/>
                  </w14:solidFill>
                </w14:textFill>
              </w:rPr>
              <w:t>超标外，其他评价指标均满足《环境空气质量标准》（GB 3095-2012）二级标准要求，项目所在区域环境空气质量为不达标区。</w:t>
            </w:r>
          </w:p>
          <w:p w14:paraId="6498D8FE">
            <w:pPr>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为此，南阳市生态环境保护委员会办公室已经制定了《南阳市202</w:t>
            </w:r>
            <w:r>
              <w:rPr>
                <w:rFonts w:hint="eastAsia"/>
                <w:bCs/>
                <w:color w:val="000000" w:themeColor="text1"/>
                <w:sz w:val="24"/>
                <w14:textFill>
                  <w14:solidFill>
                    <w14:schemeClr w14:val="tx1"/>
                  </w14:solidFill>
                </w14:textFill>
              </w:rPr>
              <w:t>5</w:t>
            </w:r>
            <w:r>
              <w:rPr>
                <w:bCs/>
                <w:color w:val="000000" w:themeColor="text1"/>
                <w:sz w:val="24"/>
                <w14:textFill>
                  <w14:solidFill>
                    <w14:schemeClr w14:val="tx1"/>
                  </w14:solidFill>
                </w14:textFill>
              </w:rPr>
              <w:t>年蓝天保卫战实施方案》（宛环委办【2025】5号），深入贯彻习近平生态文明思想，认真落实全国生态环境保护大会精神和省委省政府、市委市政府部署要求，以改善环境空气质量为核心，以降低细颗粒物（PM</w:t>
            </w:r>
            <w:r>
              <w:rPr>
                <w:bCs/>
                <w:color w:val="000000" w:themeColor="text1"/>
                <w:sz w:val="24"/>
                <w:vertAlign w:val="subscript"/>
                <w14:textFill>
                  <w14:solidFill>
                    <w14:schemeClr w14:val="tx1"/>
                  </w14:solidFill>
                </w14:textFill>
              </w:rPr>
              <w:t>2.5</w:t>
            </w:r>
            <w:r>
              <w:rPr>
                <w:bCs/>
                <w:color w:val="000000" w:themeColor="text1"/>
                <w:sz w:val="24"/>
                <w14:textFill>
                  <w14:solidFill>
                    <w14:schemeClr w14:val="tx1"/>
                  </w14:solidFill>
                </w14:textFill>
              </w:rPr>
              <w:t>）浓度为主线，深入开展结构优化升级、工业企业提标治理、移动源污染排放控制、面源污染防控、重污染天气应对、监管能力提升六个专项攻坚行动，加快推动发展方式绿色低碳转型，为推进美丽南阳建设贡献力量</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为高水平建强省域副中心城市提供生态保障。</w:t>
            </w:r>
          </w:p>
          <w:p w14:paraId="0B09EF42">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2、地表水环境质量现状</w:t>
            </w:r>
          </w:p>
          <w:p w14:paraId="21B2AAC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bCs/>
                <w:color w:val="000000" w:themeColor="text1"/>
                <w:kern w:val="0"/>
                <w:sz w:val="24"/>
                <w14:textFill>
                  <w14:solidFill>
                    <w14:schemeClr w14:val="tx1"/>
                  </w14:solidFill>
                </w14:textFill>
              </w:rPr>
              <w:t>项目区附近主要地表水体</w:t>
            </w:r>
            <w:r>
              <w:rPr>
                <w:rFonts w:hint="eastAsia"/>
                <w:color w:val="000000" w:themeColor="text1"/>
                <w:sz w:val="24"/>
                <w14:textFill>
                  <w14:solidFill>
                    <w14:schemeClr w14:val="tx1"/>
                  </w14:solidFill>
                </w14:textFill>
              </w:rPr>
              <w:t>东</w:t>
            </w:r>
            <w:r>
              <w:rPr>
                <w:color w:val="000000" w:themeColor="text1"/>
                <w:sz w:val="24"/>
                <w14:textFill>
                  <w14:solidFill>
                    <w14:schemeClr w14:val="tx1"/>
                  </w14:solidFill>
                </w14:textFill>
              </w:rPr>
              <w:t>侧</w:t>
            </w:r>
            <w:r>
              <w:rPr>
                <w:rFonts w:hint="eastAsia"/>
                <w:color w:val="000000" w:themeColor="text1"/>
                <w:sz w:val="24"/>
                <w14:textFill>
                  <w14:solidFill>
                    <w14:schemeClr w14:val="tx1"/>
                  </w14:solidFill>
                </w14:textFill>
              </w:rPr>
              <w:t>513m处的西三里河、西侧935m的九曲河</w:t>
            </w:r>
            <w:r>
              <w:rPr>
                <w:bCs/>
                <w:color w:val="000000" w:themeColor="text1"/>
                <w:kern w:val="0"/>
                <w:sz w:val="24"/>
                <w14:textFill>
                  <w14:solidFill>
                    <w14:schemeClr w14:val="tx1"/>
                  </w14:solidFill>
                </w14:textFill>
              </w:rPr>
              <w:t>，</w:t>
            </w:r>
            <w:r>
              <w:rPr>
                <w:color w:val="000000" w:themeColor="text1"/>
                <w:sz w:val="24"/>
                <w14:textFill>
                  <w14:solidFill>
                    <w14:schemeClr w14:val="tx1"/>
                  </w14:solidFill>
                </w14:textFill>
              </w:rPr>
              <w:t>项目区雨水经厂区雨水排放口依地势排入</w:t>
            </w:r>
            <w:r>
              <w:rPr>
                <w:rFonts w:hint="eastAsia"/>
                <w:color w:val="000000" w:themeColor="text1"/>
                <w:sz w:val="24"/>
                <w14:textFill>
                  <w14:solidFill>
                    <w14:schemeClr w14:val="tx1"/>
                  </w14:solidFill>
                </w14:textFill>
              </w:rPr>
              <w:t>西侧935m的九曲河</w:t>
            </w:r>
            <w:r>
              <w:rPr>
                <w:color w:val="000000" w:themeColor="text1"/>
                <w:sz w:val="24"/>
                <w14:textFill>
                  <w14:solidFill>
                    <w14:schemeClr w14:val="tx1"/>
                  </w14:solidFill>
                </w14:textFill>
              </w:rPr>
              <w:t>，向南汇入赵河</w:t>
            </w:r>
            <w:r>
              <w:rPr>
                <w:rFonts w:hint="eastAsia"/>
                <w:color w:val="000000" w:themeColor="text1"/>
                <w:sz w:val="24"/>
                <w14:textFill>
                  <w14:solidFill>
                    <w14:schemeClr w14:val="tx1"/>
                  </w14:solidFill>
                </w14:textFill>
              </w:rPr>
              <w:t>，赵河最终汇入湍河。</w:t>
            </w: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经化粪池处理后的生活污水和生产废水一并经厂区污水处理站处理后由厂区总排口排入市政污水管网，</w:t>
            </w:r>
            <w:r>
              <w:rPr>
                <w:color w:val="000000" w:themeColor="text1"/>
                <w:kern w:val="0"/>
                <w:sz w:val="24"/>
                <w14:textFill>
                  <w14:solidFill>
                    <w14:schemeClr w14:val="tx1"/>
                  </w14:solidFill>
                </w14:textFill>
              </w:rPr>
              <w:t>经市政污水管网进入镇平县第二污水处理厂进一步处理达到《城镇污水处理厂污染物排放标准》（GB18918-2002）一级A标准后排入赵河</w:t>
            </w:r>
            <w:r>
              <w:rPr>
                <w:rFonts w:hint="eastAsia"/>
                <w:color w:val="000000" w:themeColor="text1"/>
                <w:kern w:val="0"/>
                <w:sz w:val="24"/>
                <w14:textFill>
                  <w14:solidFill>
                    <w14:schemeClr w14:val="tx1"/>
                  </w14:solidFill>
                </w14:textFill>
              </w:rPr>
              <w:t>。</w:t>
            </w:r>
            <w:r>
              <w:rPr>
                <w:color w:val="000000" w:themeColor="text1"/>
                <w:sz w:val="24"/>
                <w14:textFill>
                  <w14:solidFill>
                    <w14:schemeClr w14:val="tx1"/>
                  </w14:solidFill>
                </w14:textFill>
              </w:rPr>
              <w:t>根据《南阳市地表水环境功能区划分报告》，九曲河水质功能区划参照赵河评价河段执行《地表水环境质量标准》中Ⅲ类水体标准。本次评价参照《镇平县先进制造业开发区发展规划（2022-2035）环境影响报告书》（</w:t>
            </w:r>
            <w:r>
              <w:rPr>
                <w:rFonts w:hint="eastAsia"/>
                <w:color w:val="000000" w:themeColor="text1"/>
                <w:sz w:val="24"/>
                <w14:textFill>
                  <w14:solidFill>
                    <w14:schemeClr w14:val="tx1"/>
                  </w14:solidFill>
                </w14:textFill>
              </w:rPr>
              <w:t>报批稿</w:t>
            </w:r>
            <w:r>
              <w:rPr>
                <w:color w:val="000000" w:themeColor="text1"/>
                <w:sz w:val="24"/>
                <w14:textFill>
                  <w14:solidFill>
                    <w14:schemeClr w14:val="tx1"/>
                  </w14:solidFill>
                </w14:textFill>
              </w:rPr>
              <w:t>）中河南永蓝检测技术服务有限公司于2023年4月12日-4月14日出具的地表水监测数据，具体监测数据统计见下表：</w:t>
            </w:r>
          </w:p>
          <w:p w14:paraId="0A524674">
            <w:pPr>
              <w:adjustRightInd w:val="0"/>
              <w:snapToGrid w:val="0"/>
              <w:spacing w:line="360" w:lineRule="auto"/>
              <w:ind w:firstLine="482" w:firstLineChars="200"/>
              <w:jc w:val="center"/>
              <w:textAlignment w:val="baseline"/>
              <w:rPr>
                <w:color w:val="000000" w:themeColor="text1"/>
                <w:sz w:val="24"/>
                <w14:textFill>
                  <w14:solidFill>
                    <w14:schemeClr w14:val="tx1"/>
                  </w14:solidFill>
                </w14:textFill>
              </w:rPr>
            </w:pPr>
            <w:r>
              <w:rPr>
                <w:b/>
                <w:color w:val="000000" w:themeColor="text1"/>
                <w:sz w:val="24"/>
                <w14:textFill>
                  <w14:solidFill>
                    <w14:schemeClr w14:val="tx1"/>
                  </w14:solidFill>
                </w14:textFill>
              </w:rPr>
              <w:t>表3-2  区域地表水质量现状统计一览表    单位mg/L（pH除外）</w:t>
            </w:r>
          </w:p>
          <w:tbl>
            <w:tblPr>
              <w:tblStyle w:val="2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2"/>
              <w:gridCol w:w="866"/>
              <w:gridCol w:w="1157"/>
              <w:gridCol w:w="1094"/>
              <w:gridCol w:w="1228"/>
              <w:gridCol w:w="1441"/>
              <w:gridCol w:w="1219"/>
              <w:gridCol w:w="1219"/>
            </w:tblGrid>
            <w:tr w14:paraId="1E49D4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Align w:val="center"/>
                </w:tcPr>
                <w:p w14:paraId="77F6E42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监测断面</w:t>
                  </w:r>
                </w:p>
              </w:tc>
              <w:tc>
                <w:tcPr>
                  <w:tcW w:w="467" w:type="pct"/>
                  <w:vAlign w:val="center"/>
                </w:tcPr>
                <w:p w14:paraId="3E027CA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624" w:type="pct"/>
                  <w:vAlign w:val="center"/>
                </w:tcPr>
                <w:p w14:paraId="4F01816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pH</w:t>
                  </w:r>
                </w:p>
              </w:tc>
              <w:tc>
                <w:tcPr>
                  <w:tcW w:w="590" w:type="pct"/>
                  <w:vAlign w:val="center"/>
                </w:tcPr>
                <w:p w14:paraId="1082974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662" w:type="pct"/>
                  <w:vAlign w:val="center"/>
                </w:tcPr>
                <w:p w14:paraId="768E688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color w:val="000000" w:themeColor="text1"/>
                      <w:szCs w:val="21"/>
                      <w:vertAlign w:val="subscript"/>
                      <w14:textFill>
                        <w14:solidFill>
                          <w14:schemeClr w14:val="tx1"/>
                        </w14:solidFill>
                      </w14:textFill>
                    </w:rPr>
                    <w:t>5</w:t>
                  </w:r>
                </w:p>
              </w:tc>
              <w:tc>
                <w:tcPr>
                  <w:tcW w:w="777" w:type="pct"/>
                  <w:vAlign w:val="center"/>
                </w:tcPr>
                <w:p w14:paraId="7BBF67D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氨氮</w:t>
                  </w:r>
                </w:p>
              </w:tc>
              <w:tc>
                <w:tcPr>
                  <w:tcW w:w="657" w:type="pct"/>
                  <w:vAlign w:val="center"/>
                </w:tcPr>
                <w:p w14:paraId="28A2A73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总磷</w:t>
                  </w:r>
                </w:p>
              </w:tc>
              <w:tc>
                <w:tcPr>
                  <w:tcW w:w="657" w:type="pct"/>
                  <w:vAlign w:val="center"/>
                </w:tcPr>
                <w:p w14:paraId="185B32E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总氮</w:t>
                  </w:r>
                </w:p>
              </w:tc>
            </w:tr>
            <w:tr w14:paraId="12AF1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restart"/>
                  <w:vAlign w:val="center"/>
                </w:tcPr>
                <w:p w14:paraId="33F5926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3#赵河和沪陕高速交叉口处）</w:t>
                  </w:r>
                </w:p>
              </w:tc>
              <w:tc>
                <w:tcPr>
                  <w:tcW w:w="467" w:type="pct"/>
                  <w:vAlign w:val="center"/>
                </w:tcPr>
                <w:p w14:paraId="072006C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浓度范围</w:t>
                  </w:r>
                </w:p>
              </w:tc>
              <w:tc>
                <w:tcPr>
                  <w:tcW w:w="624" w:type="pct"/>
                  <w:vAlign w:val="center"/>
                </w:tcPr>
                <w:p w14:paraId="00B55503">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7.2~7.3</w:t>
                  </w:r>
                </w:p>
              </w:tc>
              <w:tc>
                <w:tcPr>
                  <w:tcW w:w="590" w:type="pct"/>
                  <w:vAlign w:val="center"/>
                </w:tcPr>
                <w:p w14:paraId="2F54BB54">
                  <w:pPr>
                    <w:adjustRightInd w:val="0"/>
                    <w:snapToGrid w:val="0"/>
                    <w:jc w:val="center"/>
                    <w:rPr>
                      <w:color w:val="000000" w:themeColor="text1"/>
                      <w:szCs w:val="21"/>
                      <w14:textFill>
                        <w14:solidFill>
                          <w14:schemeClr w14:val="tx1"/>
                        </w14:solidFill>
                      </w14:textFill>
                    </w:rPr>
                  </w:pPr>
                  <w:r>
                    <w:rPr>
                      <w:color w:val="000000" w:themeColor="text1"/>
                      <w:spacing w:val="-5"/>
                      <w:szCs w:val="21"/>
                      <w14:textFill>
                        <w14:solidFill>
                          <w14:schemeClr w14:val="tx1"/>
                        </w14:solidFill>
                      </w14:textFill>
                    </w:rPr>
                    <w:t>10~</w:t>
                  </w:r>
                  <w:r>
                    <w:rPr>
                      <w:color w:val="000000" w:themeColor="text1"/>
                      <w:spacing w:val="-25"/>
                      <w:szCs w:val="21"/>
                      <w14:textFill>
                        <w14:solidFill>
                          <w14:schemeClr w14:val="tx1"/>
                        </w14:solidFill>
                      </w14:textFill>
                    </w:rPr>
                    <w:t xml:space="preserve"> </w:t>
                  </w:r>
                  <w:r>
                    <w:rPr>
                      <w:color w:val="000000" w:themeColor="text1"/>
                      <w:spacing w:val="-5"/>
                      <w:szCs w:val="21"/>
                      <w14:textFill>
                        <w14:solidFill>
                          <w14:schemeClr w14:val="tx1"/>
                        </w14:solidFill>
                      </w14:textFill>
                    </w:rPr>
                    <w:t>15</w:t>
                  </w:r>
                </w:p>
              </w:tc>
              <w:tc>
                <w:tcPr>
                  <w:tcW w:w="662" w:type="pct"/>
                  <w:vAlign w:val="center"/>
                </w:tcPr>
                <w:p w14:paraId="78FE6FCA">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3.0~3.3</w:t>
                  </w:r>
                </w:p>
              </w:tc>
              <w:tc>
                <w:tcPr>
                  <w:tcW w:w="777" w:type="pct"/>
                  <w:vAlign w:val="center"/>
                </w:tcPr>
                <w:p w14:paraId="79CD2177">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0.331~0.344</w:t>
                  </w:r>
                </w:p>
              </w:tc>
              <w:tc>
                <w:tcPr>
                  <w:tcW w:w="657" w:type="pct"/>
                  <w:vAlign w:val="center"/>
                </w:tcPr>
                <w:p w14:paraId="3FC236CA">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0.04~0.06</w:t>
                  </w:r>
                </w:p>
              </w:tc>
              <w:tc>
                <w:tcPr>
                  <w:tcW w:w="657" w:type="pct"/>
                  <w:vAlign w:val="center"/>
                </w:tcPr>
                <w:p w14:paraId="69236B16">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0.52~0.55</w:t>
                  </w:r>
                </w:p>
              </w:tc>
            </w:tr>
            <w:tr w14:paraId="178372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4D6A0585">
                  <w:pPr>
                    <w:adjustRightInd w:val="0"/>
                    <w:snapToGrid w:val="0"/>
                    <w:jc w:val="center"/>
                    <w:rPr>
                      <w:color w:val="000000" w:themeColor="text1"/>
                      <w:szCs w:val="21"/>
                      <w14:textFill>
                        <w14:solidFill>
                          <w14:schemeClr w14:val="tx1"/>
                        </w14:solidFill>
                      </w14:textFill>
                    </w:rPr>
                  </w:pPr>
                </w:p>
              </w:tc>
              <w:tc>
                <w:tcPr>
                  <w:tcW w:w="467" w:type="pct"/>
                  <w:vAlign w:val="center"/>
                </w:tcPr>
                <w:p w14:paraId="2DCEAB2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标准指数范围</w:t>
                  </w:r>
                </w:p>
              </w:tc>
              <w:tc>
                <w:tcPr>
                  <w:tcW w:w="624" w:type="pct"/>
                  <w:vAlign w:val="center"/>
                </w:tcPr>
                <w:p w14:paraId="4B7B12D6">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0.1~0.15</w:t>
                  </w:r>
                </w:p>
              </w:tc>
              <w:tc>
                <w:tcPr>
                  <w:tcW w:w="590" w:type="pct"/>
                  <w:vAlign w:val="center"/>
                </w:tcPr>
                <w:p w14:paraId="2125FEFB">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0.5~0.75</w:t>
                  </w:r>
                </w:p>
              </w:tc>
              <w:tc>
                <w:tcPr>
                  <w:tcW w:w="662" w:type="pct"/>
                  <w:vAlign w:val="center"/>
                </w:tcPr>
                <w:p w14:paraId="018F40D3">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0.75~0.83</w:t>
                  </w:r>
                </w:p>
              </w:tc>
              <w:tc>
                <w:tcPr>
                  <w:tcW w:w="777" w:type="pct"/>
                  <w:vAlign w:val="center"/>
                </w:tcPr>
                <w:p w14:paraId="2203EB4F">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0.331~0.344</w:t>
                  </w:r>
                </w:p>
              </w:tc>
              <w:tc>
                <w:tcPr>
                  <w:tcW w:w="657" w:type="pct"/>
                  <w:vAlign w:val="center"/>
                </w:tcPr>
                <w:p w14:paraId="51047DDA">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0.2~0.3</w:t>
                  </w:r>
                </w:p>
              </w:tc>
              <w:tc>
                <w:tcPr>
                  <w:tcW w:w="657" w:type="pct"/>
                  <w:vAlign w:val="center"/>
                </w:tcPr>
                <w:p w14:paraId="029A1C04">
                  <w:pPr>
                    <w:adjustRightInd w:val="0"/>
                    <w:snapToGrid w:val="0"/>
                    <w:jc w:val="center"/>
                    <w:rPr>
                      <w:color w:val="000000" w:themeColor="text1"/>
                      <w:szCs w:val="21"/>
                      <w14:textFill>
                        <w14:solidFill>
                          <w14:schemeClr w14:val="tx1"/>
                        </w14:solidFill>
                      </w14:textFill>
                    </w:rPr>
                  </w:pPr>
                  <w:r>
                    <w:rPr>
                      <w:color w:val="000000" w:themeColor="text1"/>
                      <w:spacing w:val="3"/>
                      <w:szCs w:val="21"/>
                      <w14:textFill>
                        <w14:solidFill>
                          <w14:schemeClr w14:val="tx1"/>
                        </w14:solidFill>
                      </w14:textFill>
                    </w:rPr>
                    <w:t>0.52~0.55</w:t>
                  </w:r>
                </w:p>
              </w:tc>
            </w:tr>
            <w:tr w14:paraId="30509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1CAF099C">
                  <w:pPr>
                    <w:adjustRightInd w:val="0"/>
                    <w:snapToGrid w:val="0"/>
                    <w:jc w:val="center"/>
                    <w:rPr>
                      <w:color w:val="000000" w:themeColor="text1"/>
                      <w:szCs w:val="21"/>
                      <w14:textFill>
                        <w14:solidFill>
                          <w14:schemeClr w14:val="tx1"/>
                        </w14:solidFill>
                      </w14:textFill>
                    </w:rPr>
                  </w:pPr>
                </w:p>
              </w:tc>
              <w:tc>
                <w:tcPr>
                  <w:tcW w:w="467" w:type="pct"/>
                  <w:vAlign w:val="center"/>
                </w:tcPr>
                <w:p w14:paraId="71E1D28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最大超标倍数</w:t>
                  </w:r>
                </w:p>
              </w:tc>
              <w:tc>
                <w:tcPr>
                  <w:tcW w:w="624" w:type="pct"/>
                  <w:vAlign w:val="center"/>
                </w:tcPr>
                <w:p w14:paraId="31E49B5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590" w:type="pct"/>
                  <w:vAlign w:val="center"/>
                </w:tcPr>
                <w:p w14:paraId="33F5DA6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62" w:type="pct"/>
                  <w:vAlign w:val="center"/>
                </w:tcPr>
                <w:p w14:paraId="1E19AD5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77" w:type="pct"/>
                  <w:vAlign w:val="center"/>
                </w:tcPr>
                <w:p w14:paraId="1382638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57" w:type="pct"/>
                  <w:vAlign w:val="center"/>
                </w:tcPr>
                <w:p w14:paraId="76D905A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57" w:type="pct"/>
                  <w:vAlign w:val="center"/>
                </w:tcPr>
                <w:p w14:paraId="7FBCE93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r>
            <w:tr w14:paraId="6154E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551900FD">
                  <w:pPr>
                    <w:adjustRightInd w:val="0"/>
                    <w:snapToGrid w:val="0"/>
                    <w:jc w:val="center"/>
                    <w:rPr>
                      <w:color w:val="000000" w:themeColor="text1"/>
                      <w:szCs w:val="21"/>
                      <w14:textFill>
                        <w14:solidFill>
                          <w14:schemeClr w14:val="tx1"/>
                        </w14:solidFill>
                      </w14:textFill>
                    </w:rPr>
                  </w:pPr>
                </w:p>
              </w:tc>
              <w:tc>
                <w:tcPr>
                  <w:tcW w:w="467" w:type="pct"/>
                  <w:vAlign w:val="center"/>
                </w:tcPr>
                <w:p w14:paraId="7E55637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超标率</w:t>
                  </w:r>
                </w:p>
              </w:tc>
              <w:tc>
                <w:tcPr>
                  <w:tcW w:w="624" w:type="pct"/>
                  <w:vAlign w:val="center"/>
                </w:tcPr>
                <w:p w14:paraId="3D38E17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590" w:type="pct"/>
                  <w:vAlign w:val="center"/>
                </w:tcPr>
                <w:p w14:paraId="72337C3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62" w:type="pct"/>
                  <w:vAlign w:val="center"/>
                </w:tcPr>
                <w:p w14:paraId="6D0DAF3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77" w:type="pct"/>
                  <w:vAlign w:val="center"/>
                </w:tcPr>
                <w:p w14:paraId="74689C1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57" w:type="pct"/>
                  <w:vAlign w:val="center"/>
                </w:tcPr>
                <w:p w14:paraId="2ECF212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57" w:type="pct"/>
                  <w:vAlign w:val="center"/>
                </w:tcPr>
                <w:p w14:paraId="39D9467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r>
            <w:tr w14:paraId="63029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restart"/>
                  <w:shd w:val="clear" w:color="auto" w:fill="auto"/>
                  <w:vAlign w:val="center"/>
                </w:tcPr>
                <w:p w14:paraId="4F63282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w:t>
                  </w:r>
                  <w:r>
                    <w:rPr>
                      <w:rFonts w:hint="eastAsia"/>
                      <w:color w:val="000000" w:themeColor="text1"/>
                      <w:szCs w:val="21"/>
                      <w14:textFill>
                        <w14:solidFill>
                          <w14:schemeClr w14:val="tx1"/>
                        </w14:solidFill>
                      </w14:textFill>
                    </w:rPr>
                    <w:t>赵河田寨断面</w:t>
                  </w:r>
                </w:p>
              </w:tc>
              <w:tc>
                <w:tcPr>
                  <w:tcW w:w="467" w:type="pct"/>
                  <w:shd w:val="clear" w:color="auto" w:fill="auto"/>
                  <w:vAlign w:val="center"/>
                </w:tcPr>
                <w:p w14:paraId="07105C3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浓度范围</w:t>
                  </w:r>
                </w:p>
              </w:tc>
              <w:tc>
                <w:tcPr>
                  <w:tcW w:w="624" w:type="pct"/>
                  <w:vAlign w:val="center"/>
                </w:tcPr>
                <w:p w14:paraId="6A0EBB1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7.3~7.4</w:t>
                  </w:r>
                </w:p>
              </w:tc>
              <w:tc>
                <w:tcPr>
                  <w:tcW w:w="590" w:type="pct"/>
                  <w:vAlign w:val="center"/>
                </w:tcPr>
                <w:p w14:paraId="5CF2279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13~15</w:t>
                  </w:r>
                </w:p>
              </w:tc>
              <w:tc>
                <w:tcPr>
                  <w:tcW w:w="662" w:type="pct"/>
                  <w:vAlign w:val="center"/>
                </w:tcPr>
                <w:p w14:paraId="2A55506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3.4~3.7</w:t>
                  </w:r>
                </w:p>
              </w:tc>
              <w:tc>
                <w:tcPr>
                  <w:tcW w:w="777" w:type="pct"/>
                  <w:vAlign w:val="center"/>
                </w:tcPr>
                <w:p w14:paraId="2F3B37B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0.37~0.377</w:t>
                  </w:r>
                </w:p>
              </w:tc>
              <w:tc>
                <w:tcPr>
                  <w:tcW w:w="657" w:type="pct"/>
                  <w:vAlign w:val="center"/>
                </w:tcPr>
                <w:p w14:paraId="1B0F858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0.06~0.08</w:t>
                  </w:r>
                </w:p>
              </w:tc>
              <w:tc>
                <w:tcPr>
                  <w:tcW w:w="657" w:type="pct"/>
                  <w:vAlign w:val="center"/>
                </w:tcPr>
                <w:p w14:paraId="2293EEF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0.57~0.59</w:t>
                  </w:r>
                </w:p>
              </w:tc>
            </w:tr>
            <w:tr w14:paraId="03B5A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525E733E">
                  <w:pPr>
                    <w:adjustRightInd w:val="0"/>
                    <w:snapToGrid w:val="0"/>
                    <w:jc w:val="center"/>
                    <w:rPr>
                      <w:color w:val="000000" w:themeColor="text1"/>
                      <w:szCs w:val="21"/>
                      <w14:textFill>
                        <w14:solidFill>
                          <w14:schemeClr w14:val="tx1"/>
                        </w14:solidFill>
                      </w14:textFill>
                    </w:rPr>
                  </w:pPr>
                </w:p>
              </w:tc>
              <w:tc>
                <w:tcPr>
                  <w:tcW w:w="467" w:type="pct"/>
                  <w:shd w:val="clear" w:color="auto" w:fill="auto"/>
                  <w:vAlign w:val="center"/>
                </w:tcPr>
                <w:p w14:paraId="2A56326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标准指数范围</w:t>
                  </w:r>
                </w:p>
              </w:tc>
              <w:tc>
                <w:tcPr>
                  <w:tcW w:w="624" w:type="pct"/>
                  <w:vAlign w:val="center"/>
                </w:tcPr>
                <w:p w14:paraId="0B428DC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0.15~0.2</w:t>
                  </w:r>
                </w:p>
              </w:tc>
              <w:tc>
                <w:tcPr>
                  <w:tcW w:w="590" w:type="pct"/>
                  <w:vAlign w:val="center"/>
                </w:tcPr>
                <w:p w14:paraId="29E6E6B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0.65~0.75</w:t>
                  </w:r>
                </w:p>
              </w:tc>
              <w:tc>
                <w:tcPr>
                  <w:tcW w:w="662" w:type="pct"/>
                  <w:vAlign w:val="center"/>
                </w:tcPr>
                <w:p w14:paraId="725E072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0.85~0.93</w:t>
                  </w:r>
                </w:p>
              </w:tc>
              <w:tc>
                <w:tcPr>
                  <w:tcW w:w="777" w:type="pct"/>
                  <w:vAlign w:val="center"/>
                </w:tcPr>
                <w:p w14:paraId="7A493B2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0.37~0.377</w:t>
                  </w:r>
                </w:p>
              </w:tc>
              <w:tc>
                <w:tcPr>
                  <w:tcW w:w="657" w:type="pct"/>
                  <w:vAlign w:val="center"/>
                </w:tcPr>
                <w:p w14:paraId="57EB62B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0.3~0.4</w:t>
                  </w:r>
                </w:p>
              </w:tc>
              <w:tc>
                <w:tcPr>
                  <w:tcW w:w="657" w:type="pct"/>
                  <w:vAlign w:val="center"/>
                </w:tcPr>
                <w:p w14:paraId="69B5E99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0.57~0.59</w:t>
                  </w:r>
                </w:p>
              </w:tc>
            </w:tr>
            <w:tr w14:paraId="77B70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69DD9194">
                  <w:pPr>
                    <w:adjustRightInd w:val="0"/>
                    <w:snapToGrid w:val="0"/>
                    <w:jc w:val="center"/>
                    <w:rPr>
                      <w:color w:val="000000" w:themeColor="text1"/>
                      <w:szCs w:val="21"/>
                      <w14:textFill>
                        <w14:solidFill>
                          <w14:schemeClr w14:val="tx1"/>
                        </w14:solidFill>
                      </w14:textFill>
                    </w:rPr>
                  </w:pPr>
                </w:p>
              </w:tc>
              <w:tc>
                <w:tcPr>
                  <w:tcW w:w="467" w:type="pct"/>
                  <w:shd w:val="clear" w:color="auto" w:fill="auto"/>
                  <w:vAlign w:val="center"/>
                </w:tcPr>
                <w:p w14:paraId="10A1951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最大超标倍数</w:t>
                  </w:r>
                </w:p>
              </w:tc>
              <w:tc>
                <w:tcPr>
                  <w:tcW w:w="624" w:type="pct"/>
                  <w:shd w:val="clear" w:color="auto" w:fill="auto"/>
                  <w:vAlign w:val="center"/>
                </w:tcPr>
                <w:p w14:paraId="2303BB3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590" w:type="pct"/>
                  <w:shd w:val="clear" w:color="auto" w:fill="auto"/>
                  <w:vAlign w:val="center"/>
                </w:tcPr>
                <w:p w14:paraId="6DF3293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62" w:type="pct"/>
                  <w:shd w:val="clear" w:color="auto" w:fill="auto"/>
                  <w:vAlign w:val="center"/>
                </w:tcPr>
                <w:p w14:paraId="7B7D601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77" w:type="pct"/>
                  <w:shd w:val="clear" w:color="auto" w:fill="auto"/>
                  <w:vAlign w:val="center"/>
                </w:tcPr>
                <w:p w14:paraId="52EDDC4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57" w:type="pct"/>
                  <w:shd w:val="clear" w:color="auto" w:fill="auto"/>
                  <w:vAlign w:val="center"/>
                </w:tcPr>
                <w:p w14:paraId="235B978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57" w:type="pct"/>
                  <w:shd w:val="clear" w:color="auto" w:fill="auto"/>
                  <w:vAlign w:val="center"/>
                </w:tcPr>
                <w:p w14:paraId="623A08E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r>
            <w:tr w14:paraId="57729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2" w:type="pct"/>
                  <w:vMerge w:val="continue"/>
                  <w:vAlign w:val="center"/>
                </w:tcPr>
                <w:p w14:paraId="1ED5FA87">
                  <w:pPr>
                    <w:adjustRightInd w:val="0"/>
                    <w:snapToGrid w:val="0"/>
                    <w:jc w:val="center"/>
                    <w:rPr>
                      <w:color w:val="000000" w:themeColor="text1"/>
                      <w:szCs w:val="21"/>
                      <w14:textFill>
                        <w14:solidFill>
                          <w14:schemeClr w14:val="tx1"/>
                        </w14:solidFill>
                      </w14:textFill>
                    </w:rPr>
                  </w:pPr>
                </w:p>
              </w:tc>
              <w:tc>
                <w:tcPr>
                  <w:tcW w:w="467" w:type="pct"/>
                  <w:shd w:val="clear" w:color="auto" w:fill="auto"/>
                  <w:vAlign w:val="center"/>
                </w:tcPr>
                <w:p w14:paraId="0649735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超标率</w:t>
                  </w:r>
                </w:p>
              </w:tc>
              <w:tc>
                <w:tcPr>
                  <w:tcW w:w="624" w:type="pct"/>
                  <w:shd w:val="clear" w:color="auto" w:fill="auto"/>
                  <w:vAlign w:val="center"/>
                </w:tcPr>
                <w:p w14:paraId="46F61D19">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590" w:type="pct"/>
                  <w:shd w:val="clear" w:color="auto" w:fill="auto"/>
                  <w:vAlign w:val="center"/>
                </w:tcPr>
                <w:p w14:paraId="0B84CF7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62" w:type="pct"/>
                  <w:shd w:val="clear" w:color="auto" w:fill="auto"/>
                  <w:vAlign w:val="center"/>
                </w:tcPr>
                <w:p w14:paraId="4009315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777" w:type="pct"/>
                  <w:shd w:val="clear" w:color="auto" w:fill="auto"/>
                  <w:vAlign w:val="center"/>
                </w:tcPr>
                <w:p w14:paraId="17BF7B07">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57" w:type="pct"/>
                  <w:shd w:val="clear" w:color="auto" w:fill="auto"/>
                  <w:vAlign w:val="center"/>
                </w:tcPr>
                <w:p w14:paraId="6340F4B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c>
                <w:tcPr>
                  <w:tcW w:w="657" w:type="pct"/>
                  <w:shd w:val="clear" w:color="auto" w:fill="auto"/>
                  <w:vAlign w:val="center"/>
                </w:tcPr>
                <w:p w14:paraId="5B9E997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p>
              </w:tc>
            </w:tr>
            <w:tr w14:paraId="4367E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29" w:type="pct"/>
                  <w:gridSpan w:val="2"/>
                  <w:shd w:val="clear" w:color="auto" w:fill="auto"/>
                  <w:vAlign w:val="center"/>
                </w:tcPr>
                <w:p w14:paraId="2E19A296">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《地表水环境质量标准》（GB3838-2002）Ⅲ类标准</w:t>
                  </w:r>
                </w:p>
              </w:tc>
              <w:tc>
                <w:tcPr>
                  <w:tcW w:w="624" w:type="pct"/>
                  <w:shd w:val="clear" w:color="auto" w:fill="auto"/>
                  <w:vAlign w:val="center"/>
                </w:tcPr>
                <w:p w14:paraId="57826E0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6-9</w:t>
                  </w:r>
                </w:p>
              </w:tc>
              <w:tc>
                <w:tcPr>
                  <w:tcW w:w="590" w:type="pct"/>
                  <w:shd w:val="clear" w:color="auto" w:fill="auto"/>
                  <w:vAlign w:val="center"/>
                </w:tcPr>
                <w:p w14:paraId="6BB1E42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w:t>
                  </w:r>
                </w:p>
              </w:tc>
              <w:tc>
                <w:tcPr>
                  <w:tcW w:w="662" w:type="pct"/>
                  <w:shd w:val="clear" w:color="auto" w:fill="auto"/>
                  <w:vAlign w:val="center"/>
                </w:tcPr>
                <w:p w14:paraId="67B45AE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w:t>
                  </w:r>
                </w:p>
              </w:tc>
              <w:tc>
                <w:tcPr>
                  <w:tcW w:w="777" w:type="pct"/>
                  <w:shd w:val="clear" w:color="auto" w:fill="auto"/>
                  <w:vAlign w:val="center"/>
                </w:tcPr>
                <w:p w14:paraId="71E14F23">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657" w:type="pct"/>
                  <w:shd w:val="clear" w:color="auto" w:fill="auto"/>
                  <w:vAlign w:val="center"/>
                </w:tcPr>
                <w:p w14:paraId="175679C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0.2</w:t>
                  </w:r>
                </w:p>
              </w:tc>
              <w:tc>
                <w:tcPr>
                  <w:tcW w:w="657" w:type="pct"/>
                  <w:shd w:val="clear" w:color="auto" w:fill="auto"/>
                  <w:vAlign w:val="center"/>
                </w:tcPr>
                <w:p w14:paraId="6E5C8ED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r>
          </w:tbl>
          <w:p w14:paraId="245AA5B4">
            <w:pPr>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由上表可知，赵河评价河段监测断面各监测因子均可满足《地表水环境质量标准》（GB3838-2002）中Ⅲ类标准限值要求。</w:t>
            </w:r>
          </w:p>
          <w:p w14:paraId="5A53E8BC">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3、声环境质量现状</w:t>
            </w:r>
          </w:p>
          <w:p w14:paraId="6401B52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项目选址位于</w:t>
            </w:r>
            <w:r>
              <w:rPr>
                <w:rFonts w:hint="eastAsia"/>
                <w:color w:val="000000" w:themeColor="text1"/>
                <w:sz w:val="24"/>
                <w14:textFill>
                  <w14:solidFill>
                    <w14:schemeClr w14:val="tx1"/>
                  </w14:solidFill>
                </w14:textFill>
              </w:rPr>
              <w:t>南阳市镇平县玉都工业园区新星路8号</w:t>
            </w:r>
            <w:r>
              <w:rPr>
                <w:color w:val="000000" w:themeColor="text1"/>
                <w:sz w:val="24"/>
                <w14:textFill>
                  <w14:solidFill>
                    <w14:schemeClr w14:val="tx1"/>
                  </w14:solidFill>
                </w14:textFill>
              </w:rPr>
              <w:t>，项目区50米范围内无声环境保护目标，根据《建设项目环境影响报告表编制技术指南（污染影响类）（试行）》相关内容，本项目不需进行声环境质量现状监测，项目区周围无明显的噪声污染源，项目区域声环境质量现状执行《声环境质量标准》（GB 3096-2008）2类标准要求。</w:t>
            </w:r>
          </w:p>
          <w:p w14:paraId="69AEA398">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4、地下水质量现状</w:t>
            </w:r>
          </w:p>
          <w:p w14:paraId="1A26D47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本项目化粪池</w:t>
            </w:r>
            <w:r>
              <w:rPr>
                <w:rFonts w:hint="eastAsia"/>
                <w:color w:val="000000" w:themeColor="text1"/>
                <w:sz w:val="24"/>
                <w14:textFill>
                  <w14:solidFill>
                    <w14:schemeClr w14:val="tx1"/>
                  </w14:solidFill>
                </w14:textFill>
              </w:rPr>
              <w:t>、生产车间等</w:t>
            </w:r>
            <w:r>
              <w:rPr>
                <w:color w:val="000000" w:themeColor="text1"/>
                <w:sz w:val="24"/>
                <w14:textFill>
                  <w14:solidFill>
                    <w14:schemeClr w14:val="tx1"/>
                  </w14:solidFill>
                </w14:textFill>
              </w:rPr>
              <w:t>采取一般防渗，</w:t>
            </w:r>
            <w:r>
              <w:rPr>
                <w:rFonts w:hint="eastAsia"/>
                <w:color w:val="000000" w:themeColor="text1"/>
                <w:sz w:val="24"/>
                <w14:textFill>
                  <w14:solidFill>
                    <w14:schemeClr w14:val="tx1"/>
                  </w14:solidFill>
                </w14:textFill>
              </w:rPr>
              <w:t>危废暂存间、污水处理站、污泥间、事故池和酒糟暂存池</w:t>
            </w:r>
            <w:r>
              <w:rPr>
                <w:color w:val="000000" w:themeColor="text1"/>
                <w:sz w:val="24"/>
                <w14:textFill>
                  <w14:solidFill>
                    <w14:schemeClr w14:val="tx1"/>
                  </w14:solidFill>
                </w14:textFill>
              </w:rPr>
              <w:t>采取重点防渗，不存在地下水、土壤污染途径，因此项目不开展地下水及土壤环境质量现状调查。</w:t>
            </w:r>
          </w:p>
          <w:p w14:paraId="44D6835C">
            <w:pPr>
              <w:tabs>
                <w:tab w:val="left" w:pos="1081"/>
              </w:tabs>
              <w:adjustRightInd w:val="0"/>
              <w:snapToGrid w:val="0"/>
              <w:spacing w:line="360" w:lineRule="auto"/>
              <w:ind w:firstLine="482" w:firstLineChars="200"/>
              <w:rPr>
                <w:b/>
                <w:color w:val="000000" w:themeColor="text1"/>
                <w:sz w:val="24"/>
                <w14:textFill>
                  <w14:solidFill>
                    <w14:schemeClr w14:val="tx1"/>
                  </w14:solidFill>
                </w14:textFill>
              </w:rPr>
            </w:pPr>
            <w:r>
              <w:rPr>
                <w:b/>
                <w:color w:val="000000" w:themeColor="text1"/>
                <w:sz w:val="24"/>
                <w14:textFill>
                  <w14:solidFill>
                    <w14:schemeClr w14:val="tx1"/>
                  </w14:solidFill>
                </w14:textFill>
              </w:rPr>
              <w:t>5、生态环境质量现状</w:t>
            </w:r>
          </w:p>
          <w:p w14:paraId="172D9D0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所在地区以人工生态系统为主的生态系统，生态系统结构和功能比较单一。天然植被已经被人工植被取代，生物资源均为常见种，生态敏感性低。项目所在地区及周边无珍稀动植物存在，无规划的自然生态保护区，无重点保护的野生动植物。</w:t>
            </w:r>
          </w:p>
        </w:tc>
      </w:tr>
      <w:tr w14:paraId="7A186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1" w:hRule="atLeast"/>
          <w:jc w:val="center"/>
        </w:trPr>
        <w:tc>
          <w:tcPr>
            <w:tcW w:w="233" w:type="pct"/>
            <w:tcBorders>
              <w:tl2br w:val="nil"/>
              <w:tr2bl w:val="nil"/>
            </w:tcBorders>
            <w:vAlign w:val="center"/>
          </w:tcPr>
          <w:p w14:paraId="567FED02">
            <w:pPr>
              <w:adjustRightInd w:val="0"/>
              <w:snapToGrid w:val="0"/>
              <w:jc w:val="center"/>
              <w:rPr>
                <w:color w:val="000000" w:themeColor="text1"/>
                <w:kern w:val="21"/>
                <w:sz w:val="24"/>
                <w14:textFill>
                  <w14:solidFill>
                    <w14:schemeClr w14:val="tx1"/>
                  </w14:solidFill>
                </w14:textFill>
              </w:rPr>
            </w:pPr>
            <w:r>
              <w:rPr>
                <w:color w:val="000000" w:themeColor="text1"/>
                <w:kern w:val="21"/>
                <w:sz w:val="24"/>
                <w14:textFill>
                  <w14:solidFill>
                    <w14:schemeClr w14:val="tx1"/>
                  </w14:solidFill>
                </w14:textFill>
              </w:rPr>
              <w:t>环境保护目标</w:t>
            </w:r>
          </w:p>
        </w:tc>
        <w:tc>
          <w:tcPr>
            <w:tcW w:w="4766" w:type="pct"/>
            <w:tcBorders>
              <w:tl2br w:val="nil"/>
              <w:tr2bl w:val="nil"/>
            </w:tcBorders>
            <w:vAlign w:val="center"/>
          </w:tcPr>
          <w:p w14:paraId="6A996942">
            <w:pPr>
              <w:adjustRightInd w:val="0"/>
              <w:snapToGrid w:val="0"/>
              <w:spacing w:line="360" w:lineRule="auto"/>
              <w:ind w:firstLine="480" w:firstLineChars="200"/>
              <w:rPr>
                <w:color w:val="000000" w:themeColor="text1"/>
                <w:sz w:val="24"/>
                <w:lang w:val="en-GB"/>
                <w14:textFill>
                  <w14:solidFill>
                    <w14:schemeClr w14:val="tx1"/>
                  </w14:solidFill>
                </w14:textFill>
              </w:rPr>
            </w:pPr>
            <w:r>
              <w:rPr>
                <w:color w:val="000000" w:themeColor="text1"/>
                <w:sz w:val="24"/>
                <w:lang w:val="en-GB"/>
                <w14:textFill>
                  <w14:solidFill>
                    <w14:schemeClr w14:val="tx1"/>
                  </w14:solidFill>
                </w14:textFill>
              </w:rPr>
              <w:t>经现场调查，项目厂界外500m范围内无自然保护区、无风景名胜区，无地下水集中式饮用水水源和热水、矿泉水、温泉等特殊地下水资源；项目用地范围内无生态环境保护目标。</w:t>
            </w:r>
          </w:p>
          <w:p w14:paraId="156361F5">
            <w:pPr>
              <w:adjustRightInd w:val="0"/>
              <w:snapToGrid w:val="0"/>
              <w:spacing w:line="360" w:lineRule="auto"/>
              <w:ind w:firstLine="480" w:firstLineChars="200"/>
              <w:rPr>
                <w:color w:val="000000" w:themeColor="text1"/>
                <w:sz w:val="24"/>
                <w:lang w:val="en-GB"/>
                <w14:textFill>
                  <w14:solidFill>
                    <w14:schemeClr w14:val="tx1"/>
                  </w14:solidFill>
                </w14:textFill>
              </w:rPr>
            </w:pPr>
            <w:r>
              <w:rPr>
                <w:color w:val="000000" w:themeColor="text1"/>
                <w:sz w:val="24"/>
                <w:lang w:val="en-GB"/>
                <w14:textFill>
                  <w14:solidFill>
                    <w14:schemeClr w14:val="tx1"/>
                  </w14:solidFill>
                </w14:textFill>
              </w:rPr>
              <w:t>根据现场调查，项目</w:t>
            </w:r>
            <w:r>
              <w:rPr>
                <w:rFonts w:hint="eastAsia"/>
                <w:color w:val="000000" w:themeColor="text1"/>
                <w:sz w:val="24"/>
                <w14:textFill>
                  <w14:solidFill>
                    <w14:schemeClr w14:val="tx1"/>
                  </w14:solidFill>
                </w14:textFill>
              </w:rPr>
              <w:t>东侧为河南镇平国家粮食储备站，西侧为新星路，北侧为镇平人仁实业有限公司，南侧为南阳星港涂料有限公司。</w:t>
            </w:r>
            <w:r>
              <w:rPr>
                <w:color w:val="000000" w:themeColor="text1"/>
                <w:sz w:val="24"/>
                <w:lang w:val="en-GB"/>
                <w14:textFill>
                  <w14:solidFill>
                    <w14:schemeClr w14:val="tx1"/>
                  </w14:solidFill>
                </w14:textFill>
              </w:rPr>
              <w:t>项目</w:t>
            </w:r>
            <w:r>
              <w:rPr>
                <w:color w:val="000000" w:themeColor="text1"/>
                <w:sz w:val="24"/>
                <w14:textFill>
                  <w14:solidFill>
                    <w14:schemeClr w14:val="tx1"/>
                  </w14:solidFill>
                </w14:textFill>
              </w:rPr>
              <w:t>东距</w:t>
            </w:r>
            <w:r>
              <w:rPr>
                <w:rFonts w:hint="eastAsia"/>
                <w:color w:val="000000" w:themeColor="text1"/>
                <w:sz w:val="24"/>
                <w14:textFill>
                  <w14:solidFill>
                    <w14:schemeClr w14:val="tx1"/>
                  </w14:solidFill>
                </w14:textFill>
              </w:rPr>
              <w:t>怪家218</w:t>
            </w:r>
            <w:r>
              <w:rPr>
                <w:color w:val="000000" w:themeColor="text1"/>
                <w:sz w:val="24"/>
                <w14:textFill>
                  <w14:solidFill>
                    <w14:schemeClr w14:val="tx1"/>
                  </w14:solidFill>
                </w14:textFill>
              </w:rPr>
              <w:t>m，</w:t>
            </w:r>
            <w:r>
              <w:rPr>
                <w:rFonts w:hint="eastAsia"/>
                <w:color w:val="000000" w:themeColor="text1"/>
                <w:sz w:val="24"/>
                <w14:textFill>
                  <w14:solidFill>
                    <w14:schemeClr w14:val="tx1"/>
                  </w14:solidFill>
                </w14:textFill>
              </w:rPr>
              <w:t>东北距楚家500m，东南距小刘家256m，西</w:t>
            </w:r>
            <w:r>
              <w:rPr>
                <w:color w:val="000000" w:themeColor="text1"/>
                <w:sz w:val="24"/>
                <w14:textFill>
                  <w14:solidFill>
                    <w14:schemeClr w14:val="tx1"/>
                  </w14:solidFill>
                </w14:textFill>
              </w:rPr>
              <w:t>距</w:t>
            </w:r>
            <w:r>
              <w:rPr>
                <w:rFonts w:hint="eastAsia"/>
                <w:color w:val="000000" w:themeColor="text1"/>
                <w:sz w:val="24"/>
                <w14:textFill>
                  <w14:solidFill>
                    <w14:schemeClr w14:val="tx1"/>
                  </w14:solidFill>
                </w14:textFill>
              </w:rPr>
              <w:t>瓦罐庙211</w:t>
            </w:r>
            <w:r>
              <w:rPr>
                <w:color w:val="000000" w:themeColor="text1"/>
                <w:sz w:val="24"/>
                <w14:textFill>
                  <w14:solidFill>
                    <w14:schemeClr w14:val="tx1"/>
                  </w14:solidFill>
                </w14:textFill>
              </w:rPr>
              <w:t>m，</w:t>
            </w:r>
            <w:r>
              <w:rPr>
                <w:rFonts w:hint="eastAsia"/>
                <w:color w:val="000000" w:themeColor="text1"/>
                <w:sz w:val="24"/>
                <w14:textFill>
                  <w14:solidFill>
                    <w14:schemeClr w14:val="tx1"/>
                  </w14:solidFill>
                </w14:textFill>
              </w:rPr>
              <w:t>东距西三里河513m，西</w:t>
            </w:r>
            <w:r>
              <w:rPr>
                <w:color w:val="000000" w:themeColor="text1"/>
                <w:sz w:val="24"/>
                <w14:textFill>
                  <w14:solidFill>
                    <w14:schemeClr w14:val="tx1"/>
                  </w14:solidFill>
                </w14:textFill>
              </w:rPr>
              <w:t>距</w:t>
            </w:r>
            <w:r>
              <w:rPr>
                <w:rFonts w:hint="eastAsia"/>
                <w:color w:val="000000" w:themeColor="text1"/>
                <w:sz w:val="24"/>
                <w14:textFill>
                  <w14:solidFill>
                    <w14:schemeClr w14:val="tx1"/>
                  </w14:solidFill>
                </w14:textFill>
              </w:rPr>
              <w:t>九曲河</w:t>
            </w:r>
            <w:r>
              <w:rPr>
                <w:rFonts w:hint="eastAsia"/>
                <w:color w:val="000000" w:themeColor="text1"/>
                <w:sz w:val="24"/>
                <w14:textFill>
                  <w14:solidFill>
                    <w14:schemeClr w14:val="tx1"/>
                  </w14:solidFill>
                </w14:textFill>
              </w:rPr>
              <w:t>93</w:t>
            </w:r>
            <w:r>
              <w:rPr>
                <w:rFonts w:hint="eastAsia"/>
                <w:color w:val="000000" w:themeColor="text1"/>
                <w:sz w:val="24"/>
                <w:lang w:val="en-US" w:eastAsia="zh-CN"/>
                <w14:textFill>
                  <w14:solidFill>
                    <w14:schemeClr w14:val="tx1"/>
                  </w14:solidFill>
                </w14:textFill>
              </w:rPr>
              <w:t>5</w:t>
            </w:r>
            <w:r>
              <w:rPr>
                <w:color w:val="000000" w:themeColor="text1"/>
                <w:sz w:val="24"/>
                <w14:textFill>
                  <w14:solidFill>
                    <w14:schemeClr w14:val="tx1"/>
                  </w14:solidFill>
                </w14:textFill>
              </w:rPr>
              <w:t>m</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西南距赵河3.47km；</w:t>
            </w:r>
            <w:r>
              <w:rPr>
                <w:color w:val="000000" w:themeColor="text1"/>
                <w:sz w:val="24"/>
                <w:lang w:val="en-GB"/>
                <w14:textFill>
                  <w14:solidFill>
                    <w14:schemeClr w14:val="tx1"/>
                  </w14:solidFill>
                </w14:textFill>
              </w:rPr>
              <w:t>项目周边环境保护目标详见</w:t>
            </w:r>
            <w:r>
              <w:rPr>
                <w:color w:val="000000" w:themeColor="text1"/>
                <w:sz w:val="24"/>
                <w14:textFill>
                  <w14:solidFill>
                    <w14:schemeClr w14:val="tx1"/>
                  </w14:solidFill>
                </w14:textFill>
              </w:rPr>
              <w:t>下表</w:t>
            </w:r>
            <w:r>
              <w:rPr>
                <w:color w:val="000000" w:themeColor="text1"/>
                <w:sz w:val="24"/>
                <w:lang w:val="en-GB"/>
                <w14:textFill>
                  <w14:solidFill>
                    <w14:schemeClr w14:val="tx1"/>
                  </w14:solidFill>
                </w14:textFill>
              </w:rPr>
              <w:t>。</w:t>
            </w:r>
          </w:p>
          <w:p w14:paraId="71EB0E6E">
            <w:pPr>
              <w:tabs>
                <w:tab w:val="left" w:pos="1081"/>
              </w:tabs>
              <w:adjustRightInd w:val="0"/>
              <w:snapToGrid w:val="0"/>
              <w:spacing w:line="360" w:lineRule="auto"/>
              <w:jc w:val="center"/>
              <w:rPr>
                <w:b/>
                <w:color w:val="000000" w:themeColor="text1"/>
                <w:sz w:val="24"/>
                <w14:textFill>
                  <w14:solidFill>
                    <w14:schemeClr w14:val="tx1"/>
                  </w14:solidFill>
                </w14:textFill>
              </w:rPr>
            </w:pPr>
            <w:bookmarkStart w:id="85" w:name="_Ref385408842"/>
            <w:r>
              <w:rPr>
                <w:b/>
                <w:color w:val="000000" w:themeColor="text1"/>
                <w:sz w:val="24"/>
                <w14:textFill>
                  <w14:solidFill>
                    <w14:schemeClr w14:val="tx1"/>
                  </w14:solidFill>
                </w14:textFill>
              </w:rPr>
              <w:t>表3-</w:t>
            </w:r>
            <w:r>
              <w:rPr>
                <w:rFonts w:hint="eastAsia"/>
                <w:b/>
                <w:color w:val="000000" w:themeColor="text1"/>
                <w:sz w:val="24"/>
                <w14:textFill>
                  <w14:solidFill>
                    <w14:schemeClr w14:val="tx1"/>
                  </w14:solidFill>
                </w14:textFill>
              </w:rPr>
              <w:t xml:space="preserve">5  </w:t>
            </w:r>
            <w:r>
              <w:rPr>
                <w:b/>
                <w:color w:val="000000" w:themeColor="text1"/>
                <w:sz w:val="24"/>
                <w14:textFill>
                  <w14:solidFill>
                    <w14:schemeClr w14:val="tx1"/>
                  </w14:solidFill>
                </w14:textFill>
              </w:rPr>
              <w:t>项目周边环境保护目标一览表</w:t>
            </w:r>
            <w:bookmarkEnd w:id="85"/>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8"/>
              <w:gridCol w:w="1754"/>
              <w:gridCol w:w="1008"/>
              <w:gridCol w:w="1208"/>
              <w:gridCol w:w="3801"/>
            </w:tblGrid>
            <w:tr w14:paraId="44E26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Align w:val="center"/>
                </w:tcPr>
                <w:p w14:paraId="0A31AA3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环境要素</w:t>
                  </w:r>
                </w:p>
              </w:tc>
              <w:tc>
                <w:tcPr>
                  <w:tcW w:w="947" w:type="pct"/>
                  <w:vAlign w:val="center"/>
                </w:tcPr>
                <w:p w14:paraId="4B577B6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保护目标</w:t>
                  </w:r>
                </w:p>
              </w:tc>
              <w:tc>
                <w:tcPr>
                  <w:tcW w:w="544" w:type="pct"/>
                  <w:vAlign w:val="center"/>
                </w:tcPr>
                <w:p w14:paraId="5F541AB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方位</w:t>
                  </w:r>
                </w:p>
              </w:tc>
              <w:tc>
                <w:tcPr>
                  <w:tcW w:w="652" w:type="pct"/>
                  <w:vAlign w:val="center"/>
                </w:tcPr>
                <w:p w14:paraId="35A76C2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距离</w:t>
                  </w:r>
                </w:p>
              </w:tc>
              <w:tc>
                <w:tcPr>
                  <w:tcW w:w="2051" w:type="pct"/>
                  <w:vAlign w:val="center"/>
                </w:tcPr>
                <w:p w14:paraId="2F69DF3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保护级别</w:t>
                  </w:r>
                </w:p>
              </w:tc>
            </w:tr>
            <w:tr w14:paraId="65EEE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Merge w:val="restart"/>
                  <w:vAlign w:val="center"/>
                </w:tcPr>
                <w:p w14:paraId="6117376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大气环境</w:t>
                  </w:r>
                </w:p>
              </w:tc>
              <w:tc>
                <w:tcPr>
                  <w:tcW w:w="947" w:type="pct"/>
                  <w:vAlign w:val="center"/>
                </w:tcPr>
                <w:p w14:paraId="49930C01">
                  <w:pPr>
                    <w:tabs>
                      <w:tab w:val="center" w:pos="696"/>
                      <w:tab w:val="right" w:pos="1273"/>
                    </w:tabs>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怪家</w:t>
                  </w:r>
                </w:p>
              </w:tc>
              <w:tc>
                <w:tcPr>
                  <w:tcW w:w="544" w:type="pct"/>
                  <w:vAlign w:val="center"/>
                </w:tcPr>
                <w:p w14:paraId="3C52CD3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E</w:t>
                  </w:r>
                </w:p>
              </w:tc>
              <w:tc>
                <w:tcPr>
                  <w:tcW w:w="652" w:type="pct"/>
                  <w:vAlign w:val="center"/>
                </w:tcPr>
                <w:p w14:paraId="6F63BEC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218m</w:t>
                  </w:r>
                </w:p>
              </w:tc>
              <w:tc>
                <w:tcPr>
                  <w:tcW w:w="2051" w:type="pct"/>
                  <w:vMerge w:val="restart"/>
                  <w:vAlign w:val="center"/>
                </w:tcPr>
                <w:p w14:paraId="604AE60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《环境空气质量标准》</w:t>
                  </w:r>
                </w:p>
                <w:p w14:paraId="52E29BF3">
                  <w:pPr>
                    <w:tabs>
                      <w:tab w:val="left" w:pos="0"/>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（GB3095-2012）二级标准</w:t>
                  </w:r>
                </w:p>
              </w:tc>
            </w:tr>
            <w:tr w14:paraId="0B9804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Merge w:val="continue"/>
                  <w:vAlign w:val="center"/>
                </w:tcPr>
                <w:p w14:paraId="4212E819">
                  <w:pPr>
                    <w:jc w:val="center"/>
                    <w:rPr>
                      <w:color w:val="000000" w:themeColor="text1"/>
                      <w:szCs w:val="21"/>
                      <w14:textFill>
                        <w14:solidFill>
                          <w14:schemeClr w14:val="tx1"/>
                        </w14:solidFill>
                      </w14:textFill>
                    </w:rPr>
                  </w:pPr>
                </w:p>
              </w:tc>
              <w:tc>
                <w:tcPr>
                  <w:tcW w:w="947" w:type="pct"/>
                  <w:vAlign w:val="center"/>
                </w:tcPr>
                <w:p w14:paraId="65A499F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楚家</w:t>
                  </w:r>
                </w:p>
              </w:tc>
              <w:tc>
                <w:tcPr>
                  <w:tcW w:w="544" w:type="pct"/>
                  <w:vAlign w:val="center"/>
                </w:tcPr>
                <w:p w14:paraId="4EF8A4C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w:t>
                  </w:r>
                  <w:r>
                    <w:rPr>
                      <w:color w:val="000000" w:themeColor="text1"/>
                      <w:szCs w:val="21"/>
                      <w14:textFill>
                        <w14:solidFill>
                          <w14:schemeClr w14:val="tx1"/>
                        </w14:solidFill>
                      </w14:textFill>
                    </w:rPr>
                    <w:t>E</w:t>
                  </w:r>
                </w:p>
              </w:tc>
              <w:tc>
                <w:tcPr>
                  <w:tcW w:w="652" w:type="pct"/>
                  <w:vAlign w:val="center"/>
                </w:tcPr>
                <w:p w14:paraId="1870EFE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500</w:t>
                  </w:r>
                  <w:r>
                    <w:rPr>
                      <w:color w:val="000000" w:themeColor="text1"/>
                      <w:szCs w:val="21"/>
                      <w14:textFill>
                        <w14:solidFill>
                          <w14:schemeClr w14:val="tx1"/>
                        </w14:solidFill>
                      </w14:textFill>
                    </w:rPr>
                    <w:t>m</w:t>
                  </w:r>
                </w:p>
              </w:tc>
              <w:tc>
                <w:tcPr>
                  <w:tcW w:w="2051" w:type="pct"/>
                  <w:vMerge w:val="continue"/>
                  <w:vAlign w:val="center"/>
                </w:tcPr>
                <w:p w14:paraId="2CBA8830">
                  <w:pPr>
                    <w:tabs>
                      <w:tab w:val="left" w:pos="0"/>
                    </w:tabs>
                    <w:adjustRightInd w:val="0"/>
                    <w:snapToGrid w:val="0"/>
                    <w:jc w:val="center"/>
                    <w:rPr>
                      <w:color w:val="000000" w:themeColor="text1"/>
                      <w:szCs w:val="21"/>
                      <w14:textFill>
                        <w14:solidFill>
                          <w14:schemeClr w14:val="tx1"/>
                        </w14:solidFill>
                      </w14:textFill>
                    </w:rPr>
                  </w:pPr>
                </w:p>
              </w:tc>
            </w:tr>
            <w:tr w14:paraId="77538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Merge w:val="continue"/>
                  <w:vAlign w:val="center"/>
                </w:tcPr>
                <w:p w14:paraId="3FE96E13">
                  <w:pPr>
                    <w:jc w:val="center"/>
                    <w:rPr>
                      <w:color w:val="000000" w:themeColor="text1"/>
                      <w:szCs w:val="21"/>
                      <w14:textFill>
                        <w14:solidFill>
                          <w14:schemeClr w14:val="tx1"/>
                        </w14:solidFill>
                      </w14:textFill>
                    </w:rPr>
                  </w:pPr>
                </w:p>
              </w:tc>
              <w:tc>
                <w:tcPr>
                  <w:tcW w:w="947" w:type="pct"/>
                  <w:vAlign w:val="center"/>
                </w:tcPr>
                <w:p w14:paraId="675932A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小刘家</w:t>
                  </w:r>
                </w:p>
              </w:tc>
              <w:tc>
                <w:tcPr>
                  <w:tcW w:w="544" w:type="pct"/>
                  <w:vAlign w:val="center"/>
                </w:tcPr>
                <w:p w14:paraId="31DF987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w:t>
                  </w:r>
                  <w:r>
                    <w:rPr>
                      <w:color w:val="000000" w:themeColor="text1"/>
                      <w:szCs w:val="21"/>
                      <w14:textFill>
                        <w14:solidFill>
                          <w14:schemeClr w14:val="tx1"/>
                        </w14:solidFill>
                      </w14:textFill>
                    </w:rPr>
                    <w:t>E</w:t>
                  </w:r>
                </w:p>
              </w:tc>
              <w:tc>
                <w:tcPr>
                  <w:tcW w:w="652" w:type="pct"/>
                  <w:vAlign w:val="center"/>
                </w:tcPr>
                <w:p w14:paraId="606510D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256</w:t>
                  </w:r>
                  <w:r>
                    <w:rPr>
                      <w:color w:val="000000" w:themeColor="text1"/>
                      <w:szCs w:val="21"/>
                      <w14:textFill>
                        <w14:solidFill>
                          <w14:schemeClr w14:val="tx1"/>
                        </w14:solidFill>
                      </w14:textFill>
                    </w:rPr>
                    <w:t>m</w:t>
                  </w:r>
                </w:p>
              </w:tc>
              <w:tc>
                <w:tcPr>
                  <w:tcW w:w="2051" w:type="pct"/>
                  <w:vMerge w:val="continue"/>
                  <w:vAlign w:val="center"/>
                </w:tcPr>
                <w:p w14:paraId="755437B8">
                  <w:pPr>
                    <w:tabs>
                      <w:tab w:val="left" w:pos="0"/>
                    </w:tabs>
                    <w:adjustRightInd w:val="0"/>
                    <w:snapToGrid w:val="0"/>
                    <w:jc w:val="center"/>
                    <w:rPr>
                      <w:color w:val="000000" w:themeColor="text1"/>
                      <w:szCs w:val="21"/>
                      <w14:textFill>
                        <w14:solidFill>
                          <w14:schemeClr w14:val="tx1"/>
                        </w14:solidFill>
                      </w14:textFill>
                    </w:rPr>
                  </w:pPr>
                </w:p>
              </w:tc>
            </w:tr>
            <w:tr w14:paraId="54CFCA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Merge w:val="continue"/>
                  <w:vAlign w:val="center"/>
                </w:tcPr>
                <w:p w14:paraId="6982201C">
                  <w:pPr>
                    <w:jc w:val="center"/>
                    <w:rPr>
                      <w:color w:val="000000" w:themeColor="text1"/>
                      <w:szCs w:val="21"/>
                      <w14:textFill>
                        <w14:solidFill>
                          <w14:schemeClr w14:val="tx1"/>
                        </w14:solidFill>
                      </w14:textFill>
                    </w:rPr>
                  </w:pPr>
                </w:p>
              </w:tc>
              <w:tc>
                <w:tcPr>
                  <w:tcW w:w="947" w:type="pct"/>
                  <w:vAlign w:val="center"/>
                </w:tcPr>
                <w:p w14:paraId="7878B37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瓦罐庙</w:t>
                  </w:r>
                </w:p>
              </w:tc>
              <w:tc>
                <w:tcPr>
                  <w:tcW w:w="544" w:type="pct"/>
                  <w:vAlign w:val="center"/>
                </w:tcPr>
                <w:p w14:paraId="315AD2F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w:t>
                  </w:r>
                </w:p>
              </w:tc>
              <w:tc>
                <w:tcPr>
                  <w:tcW w:w="652" w:type="pct"/>
                  <w:vAlign w:val="center"/>
                </w:tcPr>
                <w:p w14:paraId="06A648F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211</w:t>
                  </w:r>
                  <w:r>
                    <w:rPr>
                      <w:color w:val="000000" w:themeColor="text1"/>
                      <w:szCs w:val="21"/>
                      <w14:textFill>
                        <w14:solidFill>
                          <w14:schemeClr w14:val="tx1"/>
                        </w14:solidFill>
                      </w14:textFill>
                    </w:rPr>
                    <w:t>m</w:t>
                  </w:r>
                </w:p>
              </w:tc>
              <w:tc>
                <w:tcPr>
                  <w:tcW w:w="2051" w:type="pct"/>
                  <w:vMerge w:val="continue"/>
                  <w:vAlign w:val="center"/>
                </w:tcPr>
                <w:p w14:paraId="7E3944FE">
                  <w:pPr>
                    <w:tabs>
                      <w:tab w:val="left" w:pos="0"/>
                    </w:tabs>
                    <w:adjustRightInd w:val="0"/>
                    <w:snapToGrid w:val="0"/>
                    <w:jc w:val="center"/>
                    <w:rPr>
                      <w:color w:val="000000" w:themeColor="text1"/>
                      <w:szCs w:val="21"/>
                      <w14:textFill>
                        <w14:solidFill>
                          <w14:schemeClr w14:val="tx1"/>
                        </w14:solidFill>
                      </w14:textFill>
                    </w:rPr>
                  </w:pPr>
                </w:p>
              </w:tc>
            </w:tr>
            <w:tr w14:paraId="435D0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Align w:val="center"/>
                </w:tcPr>
                <w:p w14:paraId="1568136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声环境</w:t>
                  </w:r>
                </w:p>
              </w:tc>
              <w:tc>
                <w:tcPr>
                  <w:tcW w:w="4195" w:type="pct"/>
                  <w:gridSpan w:val="4"/>
                  <w:shd w:val="clear" w:color="auto" w:fill="auto"/>
                  <w:vAlign w:val="center"/>
                </w:tcPr>
                <w:p w14:paraId="5FE8382D">
                  <w:pPr>
                    <w:tabs>
                      <w:tab w:val="left" w:pos="0"/>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厂界外50米范围内无声环境保护目标</w:t>
                  </w:r>
                </w:p>
              </w:tc>
            </w:tr>
            <w:tr w14:paraId="4D4A39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Merge w:val="restart"/>
                  <w:vAlign w:val="center"/>
                </w:tcPr>
                <w:p w14:paraId="77C2CAF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地表水</w:t>
                  </w:r>
                </w:p>
              </w:tc>
              <w:tc>
                <w:tcPr>
                  <w:tcW w:w="947" w:type="pct"/>
                  <w:vAlign w:val="center"/>
                </w:tcPr>
                <w:p w14:paraId="713ACDA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西三里河</w:t>
                  </w:r>
                </w:p>
              </w:tc>
              <w:tc>
                <w:tcPr>
                  <w:tcW w:w="544" w:type="pct"/>
                  <w:vAlign w:val="center"/>
                </w:tcPr>
                <w:p w14:paraId="5E1D338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E</w:t>
                  </w:r>
                </w:p>
              </w:tc>
              <w:tc>
                <w:tcPr>
                  <w:tcW w:w="652" w:type="pct"/>
                  <w:vAlign w:val="center"/>
                </w:tcPr>
                <w:p w14:paraId="1722D7E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513m</w:t>
                  </w:r>
                </w:p>
              </w:tc>
              <w:tc>
                <w:tcPr>
                  <w:tcW w:w="2051" w:type="pct"/>
                  <w:vMerge w:val="restart"/>
                  <w:vAlign w:val="center"/>
                </w:tcPr>
                <w:p w14:paraId="1D2CDCD5">
                  <w:pPr>
                    <w:tabs>
                      <w:tab w:val="left" w:pos="0"/>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《地表水环境质量标准》（GB 3838-2002）中Ⅲ类水质标准</w:t>
                  </w:r>
                </w:p>
              </w:tc>
            </w:tr>
            <w:tr w14:paraId="73CFA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Merge w:val="continue"/>
                  <w:vAlign w:val="center"/>
                </w:tcPr>
                <w:p w14:paraId="287915BD">
                  <w:pPr>
                    <w:jc w:val="center"/>
                    <w:rPr>
                      <w:color w:val="000000" w:themeColor="text1"/>
                      <w:szCs w:val="21"/>
                      <w14:textFill>
                        <w14:solidFill>
                          <w14:schemeClr w14:val="tx1"/>
                        </w14:solidFill>
                      </w14:textFill>
                    </w:rPr>
                  </w:pPr>
                </w:p>
              </w:tc>
              <w:tc>
                <w:tcPr>
                  <w:tcW w:w="947" w:type="pct"/>
                  <w:vAlign w:val="center"/>
                </w:tcPr>
                <w:p w14:paraId="3FBD38C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九曲河</w:t>
                  </w:r>
                </w:p>
              </w:tc>
              <w:tc>
                <w:tcPr>
                  <w:tcW w:w="544" w:type="pct"/>
                  <w:vAlign w:val="center"/>
                </w:tcPr>
                <w:p w14:paraId="0FB6F6E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w:t>
                  </w:r>
                </w:p>
              </w:tc>
              <w:tc>
                <w:tcPr>
                  <w:tcW w:w="652" w:type="pct"/>
                  <w:vAlign w:val="center"/>
                </w:tcPr>
                <w:p w14:paraId="43AF60D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93</w:t>
                  </w:r>
                  <w:r>
                    <w:rPr>
                      <w:rFonts w:hint="eastAsia"/>
                      <w:color w:val="000000" w:themeColor="text1"/>
                      <w:szCs w:val="21"/>
                      <w:lang w:val="en-US" w:eastAsia="zh-CN"/>
                      <w14:textFill>
                        <w14:solidFill>
                          <w14:schemeClr w14:val="tx1"/>
                        </w14:solidFill>
                      </w14:textFill>
                    </w:rPr>
                    <w:t>5</w:t>
                  </w:r>
                  <w:r>
                    <w:rPr>
                      <w:color w:val="000000" w:themeColor="text1"/>
                      <w:szCs w:val="21"/>
                      <w14:textFill>
                        <w14:solidFill>
                          <w14:schemeClr w14:val="tx1"/>
                        </w14:solidFill>
                      </w14:textFill>
                    </w:rPr>
                    <w:t>m</w:t>
                  </w:r>
                </w:p>
              </w:tc>
              <w:tc>
                <w:tcPr>
                  <w:tcW w:w="2051" w:type="pct"/>
                  <w:vMerge w:val="continue"/>
                  <w:vAlign w:val="center"/>
                </w:tcPr>
                <w:p w14:paraId="7445AB2F">
                  <w:pPr>
                    <w:tabs>
                      <w:tab w:val="left" w:pos="0"/>
                    </w:tabs>
                    <w:adjustRightInd w:val="0"/>
                    <w:snapToGrid w:val="0"/>
                    <w:jc w:val="center"/>
                    <w:rPr>
                      <w:color w:val="000000" w:themeColor="text1"/>
                      <w:szCs w:val="21"/>
                      <w14:textFill>
                        <w14:solidFill>
                          <w14:schemeClr w14:val="tx1"/>
                        </w14:solidFill>
                      </w14:textFill>
                    </w:rPr>
                  </w:pPr>
                </w:p>
              </w:tc>
            </w:tr>
            <w:tr w14:paraId="3D5F0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Merge w:val="continue"/>
                  <w:vAlign w:val="center"/>
                </w:tcPr>
                <w:p w14:paraId="23FAB973">
                  <w:pPr>
                    <w:jc w:val="center"/>
                    <w:rPr>
                      <w:color w:val="000000" w:themeColor="text1"/>
                      <w:szCs w:val="21"/>
                      <w14:textFill>
                        <w14:solidFill>
                          <w14:schemeClr w14:val="tx1"/>
                        </w14:solidFill>
                      </w14:textFill>
                    </w:rPr>
                  </w:pPr>
                </w:p>
              </w:tc>
              <w:tc>
                <w:tcPr>
                  <w:tcW w:w="947" w:type="pct"/>
                  <w:vAlign w:val="center"/>
                </w:tcPr>
                <w:p w14:paraId="0E7C971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赵河</w:t>
                  </w:r>
                </w:p>
              </w:tc>
              <w:tc>
                <w:tcPr>
                  <w:tcW w:w="544" w:type="pct"/>
                  <w:vAlign w:val="center"/>
                </w:tcPr>
                <w:p w14:paraId="39117D5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SW</w:t>
                  </w:r>
                </w:p>
              </w:tc>
              <w:tc>
                <w:tcPr>
                  <w:tcW w:w="652" w:type="pct"/>
                  <w:vAlign w:val="center"/>
                </w:tcPr>
                <w:p w14:paraId="6C20CA0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3.47km</w:t>
                  </w:r>
                </w:p>
              </w:tc>
              <w:tc>
                <w:tcPr>
                  <w:tcW w:w="2051" w:type="pct"/>
                  <w:vMerge w:val="continue"/>
                  <w:vAlign w:val="center"/>
                </w:tcPr>
                <w:p w14:paraId="5708C3F1">
                  <w:pPr>
                    <w:tabs>
                      <w:tab w:val="left" w:pos="0"/>
                    </w:tabs>
                    <w:adjustRightInd w:val="0"/>
                    <w:snapToGrid w:val="0"/>
                    <w:jc w:val="center"/>
                    <w:rPr>
                      <w:color w:val="000000" w:themeColor="text1"/>
                      <w:szCs w:val="21"/>
                      <w14:textFill>
                        <w14:solidFill>
                          <w14:schemeClr w14:val="tx1"/>
                        </w14:solidFill>
                      </w14:textFill>
                    </w:rPr>
                  </w:pPr>
                </w:p>
              </w:tc>
            </w:tr>
            <w:tr w14:paraId="21396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Align w:val="center"/>
                </w:tcPr>
                <w:p w14:paraId="44A3E16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w:t>
                  </w:r>
                </w:p>
              </w:tc>
              <w:tc>
                <w:tcPr>
                  <w:tcW w:w="4195" w:type="pct"/>
                  <w:gridSpan w:val="4"/>
                  <w:vAlign w:val="center"/>
                </w:tcPr>
                <w:p w14:paraId="04DDFA2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厂界外500m范围内无地下水集中式饮用水水源及特殊地水资源</w:t>
                  </w:r>
                </w:p>
              </w:tc>
            </w:tr>
            <w:tr w14:paraId="68D86B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 w:type="pct"/>
                  <w:vAlign w:val="center"/>
                </w:tcPr>
                <w:p w14:paraId="648F5B8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生态环境</w:t>
                  </w:r>
                </w:p>
              </w:tc>
              <w:tc>
                <w:tcPr>
                  <w:tcW w:w="4195" w:type="pct"/>
                  <w:gridSpan w:val="4"/>
                  <w:vAlign w:val="center"/>
                </w:tcPr>
                <w:p w14:paraId="2B93E49E">
                  <w:pPr>
                    <w:jc w:val="center"/>
                    <w:rPr>
                      <w:color w:val="000000" w:themeColor="text1"/>
                      <w:szCs w:val="21"/>
                      <w14:textFill>
                        <w14:solidFill>
                          <w14:schemeClr w14:val="tx1"/>
                        </w14:solidFill>
                      </w14:textFill>
                    </w:rPr>
                  </w:pPr>
                  <w:r>
                    <w:rPr>
                      <w:color w:val="000000" w:themeColor="text1"/>
                      <w:szCs w:val="21"/>
                      <w:lang w:val="en-GB"/>
                      <w14:textFill>
                        <w14:solidFill>
                          <w14:schemeClr w14:val="tx1"/>
                        </w14:solidFill>
                      </w14:textFill>
                    </w:rPr>
                    <w:t>项目用地范围内无生态环境保护目标</w:t>
                  </w:r>
                </w:p>
              </w:tc>
            </w:tr>
          </w:tbl>
          <w:p w14:paraId="544076B7">
            <w:pPr>
              <w:rPr>
                <w:color w:val="000000" w:themeColor="text1"/>
                <w:sz w:val="24"/>
                <w14:textFill>
                  <w14:solidFill>
                    <w14:schemeClr w14:val="tx1"/>
                  </w14:solidFill>
                </w14:textFill>
              </w:rPr>
            </w:pPr>
          </w:p>
        </w:tc>
      </w:tr>
      <w:tr w14:paraId="0CB8B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94" w:hRule="atLeast"/>
          <w:jc w:val="center"/>
        </w:trPr>
        <w:tc>
          <w:tcPr>
            <w:tcW w:w="233" w:type="pct"/>
            <w:tcBorders>
              <w:tl2br w:val="nil"/>
              <w:tr2bl w:val="nil"/>
            </w:tcBorders>
            <w:vAlign w:val="center"/>
          </w:tcPr>
          <w:p w14:paraId="0D78D80C">
            <w:pPr>
              <w:adjustRightInd w:val="0"/>
              <w:snapToGrid w:val="0"/>
              <w:jc w:val="center"/>
              <w:rPr>
                <w:color w:val="000000" w:themeColor="text1"/>
                <w:kern w:val="21"/>
                <w:sz w:val="24"/>
                <w14:textFill>
                  <w14:solidFill>
                    <w14:schemeClr w14:val="tx1"/>
                  </w14:solidFill>
                </w14:textFill>
              </w:rPr>
            </w:pPr>
            <w:r>
              <w:rPr>
                <w:color w:val="000000" w:themeColor="text1"/>
                <w:kern w:val="21"/>
                <w:sz w:val="24"/>
                <w14:textFill>
                  <w14:solidFill>
                    <w14:schemeClr w14:val="tx1"/>
                  </w14:solidFill>
                </w14:textFill>
              </w:rPr>
              <w:t>污染物排放控制标准</w:t>
            </w:r>
          </w:p>
        </w:tc>
        <w:tc>
          <w:tcPr>
            <w:tcW w:w="4766" w:type="pct"/>
            <w:tcBorders>
              <w:tl2br w:val="nil"/>
              <w:tr2bl w:val="nil"/>
            </w:tcBorders>
          </w:tcPr>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6"/>
              <w:gridCol w:w="1080"/>
              <w:gridCol w:w="2524"/>
              <w:gridCol w:w="1106"/>
              <w:gridCol w:w="3713"/>
            </w:tblGrid>
            <w:tr w14:paraId="16941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Align w:val="center"/>
                </w:tcPr>
                <w:p w14:paraId="3FC7AE98">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类别</w:t>
                  </w:r>
                </w:p>
              </w:tc>
              <w:tc>
                <w:tcPr>
                  <w:tcW w:w="1946" w:type="pct"/>
                  <w:gridSpan w:val="2"/>
                  <w:vAlign w:val="center"/>
                </w:tcPr>
                <w:p w14:paraId="53ED9338">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执行标准</w:t>
                  </w:r>
                </w:p>
              </w:tc>
              <w:tc>
                <w:tcPr>
                  <w:tcW w:w="2601" w:type="pct"/>
                  <w:gridSpan w:val="2"/>
                  <w:vAlign w:val="center"/>
                </w:tcPr>
                <w:p w14:paraId="0D483732">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标准值</w:t>
                  </w:r>
                </w:p>
              </w:tc>
            </w:tr>
            <w:tr w14:paraId="6F365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restart"/>
                  <w:vAlign w:val="center"/>
                </w:tcPr>
                <w:p w14:paraId="006A5E3D">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w:t>
                  </w:r>
                </w:p>
              </w:tc>
              <w:tc>
                <w:tcPr>
                  <w:tcW w:w="1946" w:type="pct"/>
                  <w:gridSpan w:val="2"/>
                  <w:vMerge w:val="restart"/>
                  <w:shd w:val="clear" w:color="auto" w:fill="auto"/>
                  <w:vAlign w:val="center"/>
                </w:tcPr>
                <w:p w14:paraId="4D701EB4">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《大气污染物综合排放标准》（GB</w:t>
                  </w:r>
                  <w:r>
                    <w:rPr>
                      <w:rFonts w:hint="eastAsia" w:ascii="Times New Roman" w:hAnsi="Times New Roman" w:cs="Times New Roman"/>
                      <w:color w:val="000000" w:themeColor="text1"/>
                      <w:sz w:val="21"/>
                      <w:szCs w:val="21"/>
                      <w:lang w:val="en-US" w:eastAsia="zh-CN"/>
                      <w14:textFill>
                        <w14:solidFill>
                          <w14:schemeClr w14:val="tx1"/>
                        </w14:solidFill>
                      </w14:textFill>
                    </w:rPr>
                    <w:t>16297</w:t>
                  </w:r>
                  <w:r>
                    <w:rPr>
                      <w:rFonts w:hint="default" w:ascii="Times New Roman" w:hAnsi="Times New Roman" w:cs="Times New Roman"/>
                      <w:color w:val="000000" w:themeColor="text1"/>
                      <w:sz w:val="21"/>
                      <w:szCs w:val="21"/>
                      <w14:textFill>
                        <w14:solidFill>
                          <w14:schemeClr w14:val="tx1"/>
                        </w14:solidFill>
                      </w14:textFill>
                    </w:rPr>
                    <w:t>-1996）表2中二级标准</w:t>
                  </w:r>
                </w:p>
              </w:tc>
              <w:tc>
                <w:tcPr>
                  <w:tcW w:w="597" w:type="pct"/>
                  <w:vMerge w:val="restart"/>
                  <w:shd w:val="clear" w:color="auto" w:fill="auto"/>
                  <w:vAlign w:val="center"/>
                </w:tcPr>
                <w:p w14:paraId="6A9EAE8E">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2003" w:type="pct"/>
                  <w:shd w:val="clear" w:color="auto" w:fill="auto"/>
                  <w:vAlign w:val="center"/>
                </w:tcPr>
                <w:p w14:paraId="75745A5A">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最高允许排放浓度120mg/m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，最高允许排放速率3.5kg/h（排气筒高度15m）</w:t>
                  </w:r>
                </w:p>
              </w:tc>
            </w:tr>
            <w:tr w14:paraId="61161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3FE2F94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6A2CC06E">
                  <w:pPr>
                    <w:widowControl/>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597" w:type="pct"/>
                  <w:vMerge w:val="continue"/>
                  <w:vAlign w:val="center"/>
                </w:tcPr>
                <w:p w14:paraId="6EE4CC22">
                  <w:pPr>
                    <w:pStyle w:val="7"/>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003" w:type="pct"/>
                  <w:shd w:val="clear" w:color="auto" w:fill="auto"/>
                  <w:vAlign w:val="center"/>
                </w:tcPr>
                <w:p w14:paraId="6538F975">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周界外浓度最高点1.0mg/m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6A867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749F4B41">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723DE79F">
                  <w:pPr>
                    <w:widowControl/>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597" w:type="pct"/>
                  <w:vMerge w:val="restart"/>
                  <w:shd w:val="clear" w:color="auto" w:fill="auto"/>
                  <w:vAlign w:val="center"/>
                </w:tcPr>
                <w:p w14:paraId="1B0EE7E5">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2003" w:type="pct"/>
                  <w:shd w:val="clear" w:color="auto" w:fill="auto"/>
                  <w:vAlign w:val="center"/>
                </w:tcPr>
                <w:p w14:paraId="4E74F1DA">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最高允许排放浓度120mg/m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，最高允许排放速率10kg/h（排气筒高度15m）</w:t>
                  </w:r>
                </w:p>
              </w:tc>
            </w:tr>
            <w:tr w14:paraId="5F4FD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19D781E6">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1D160D56">
                  <w:pPr>
                    <w:widowControl/>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597" w:type="pct"/>
                  <w:vMerge w:val="continue"/>
                  <w:vAlign w:val="center"/>
                </w:tcPr>
                <w:p w14:paraId="33B0CAE3">
                  <w:pPr>
                    <w:pStyle w:val="7"/>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003" w:type="pct"/>
                  <w:shd w:val="clear" w:color="auto" w:fill="auto"/>
                  <w:vAlign w:val="center"/>
                </w:tcPr>
                <w:p w14:paraId="722CB08A">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周界外浓度最高点4.0mg/m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61D09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4BE41DF4">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restart"/>
                  <w:shd w:val="clear" w:color="auto" w:fill="auto"/>
                  <w:vAlign w:val="center"/>
                </w:tcPr>
                <w:p w14:paraId="5A2DAD6F">
                  <w:pPr>
                    <w:adjustRightInd w:val="0"/>
                    <w:snapToGrid w:val="0"/>
                    <w:jc w:val="center"/>
                    <w:rPr>
                      <w:rFonts w:hint="eastAsia"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《关于全省开展工业企业挥发性有机物专项治理工作中排放建议值的通知》（豫环攻坚办[2017]162号）中</w:t>
                  </w:r>
                  <w:r>
                    <w:rPr>
                      <w:rFonts w:hint="eastAsia" w:ascii="Times New Roman" w:hAnsi="Times New Roman" w:cs="Times New Roman"/>
                      <w:color w:val="000000" w:themeColor="text1"/>
                      <w:sz w:val="21"/>
                      <w:szCs w:val="21"/>
                      <w:lang w:val="en-US" w:eastAsia="zh-CN"/>
                      <w14:textFill>
                        <w14:solidFill>
                          <w14:schemeClr w14:val="tx1"/>
                        </w14:solidFill>
                      </w14:textFill>
                    </w:rPr>
                    <w:t>“</w:t>
                  </w:r>
                  <w:r>
                    <w:rPr>
                      <w:rFonts w:hint="default" w:ascii="Times New Roman" w:hAnsi="Times New Roman" w:cs="Times New Roman"/>
                      <w:color w:val="000000" w:themeColor="text1"/>
                      <w:sz w:val="21"/>
                      <w:szCs w:val="21"/>
                      <w14:textFill>
                        <w14:solidFill>
                          <w14:schemeClr w14:val="tx1"/>
                        </w14:solidFill>
                      </w14:textFill>
                    </w:rPr>
                    <w:t>其他行业</w:t>
                  </w:r>
                  <w:r>
                    <w:rPr>
                      <w:rFonts w:hint="eastAsia" w:ascii="Times New Roman" w:hAnsi="Times New Roman" w:cs="Times New Roman"/>
                      <w:color w:val="000000" w:themeColor="text1"/>
                      <w:sz w:val="21"/>
                      <w:szCs w:val="21"/>
                      <w:lang w:val="en-US" w:eastAsia="zh-CN"/>
                      <w14:textFill>
                        <w14:solidFill>
                          <w14:schemeClr w14:val="tx1"/>
                        </w14:solidFill>
                      </w14:textFill>
                    </w:rPr>
                    <w:t>”</w:t>
                  </w:r>
                </w:p>
              </w:tc>
              <w:tc>
                <w:tcPr>
                  <w:tcW w:w="597" w:type="pct"/>
                  <w:vMerge w:val="restart"/>
                  <w:shd w:val="clear" w:color="auto" w:fill="auto"/>
                  <w:vAlign w:val="center"/>
                </w:tcPr>
                <w:p w14:paraId="7771BE25">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2003" w:type="pct"/>
                  <w:shd w:val="clear" w:color="auto" w:fill="auto"/>
                  <w:vAlign w:val="center"/>
                </w:tcPr>
                <w:p w14:paraId="0BC324AC">
                  <w:pPr>
                    <w:adjustRightInd w:val="0"/>
                    <w:snapToGrid w:val="0"/>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建议</w:t>
                  </w:r>
                  <w:r>
                    <w:rPr>
                      <w:rFonts w:hint="default" w:ascii="Times New Roman" w:hAnsi="Times New Roman" w:cs="Times New Roman"/>
                      <w:color w:val="000000" w:themeColor="text1"/>
                      <w:sz w:val="21"/>
                      <w:szCs w:val="21"/>
                      <w14:textFill>
                        <w14:solidFill>
                          <w14:schemeClr w14:val="tx1"/>
                        </w14:solidFill>
                      </w14:textFill>
                    </w:rPr>
                    <w:t>排放</w:t>
                  </w:r>
                  <w:r>
                    <w:rPr>
                      <w:rFonts w:hint="default" w:ascii="Times New Roman" w:hAnsi="Times New Roman" w:cs="Times New Roman"/>
                      <w:bCs/>
                      <w:color w:val="000000" w:themeColor="text1"/>
                      <w:sz w:val="21"/>
                      <w:szCs w:val="21"/>
                      <w14:textFill>
                        <w14:solidFill>
                          <w14:schemeClr w14:val="tx1"/>
                        </w14:solidFill>
                      </w14:textFill>
                    </w:rPr>
                    <w:t>浓度80mg/m</w:t>
                  </w:r>
                  <w:r>
                    <w:rPr>
                      <w:rFonts w:hint="default" w:ascii="Times New Roman" w:hAnsi="Times New Roman" w:cs="Times New Roman"/>
                      <w:bCs/>
                      <w:color w:val="000000" w:themeColor="text1"/>
                      <w:sz w:val="21"/>
                      <w:szCs w:val="21"/>
                      <w:vertAlign w:val="superscript"/>
                      <w14:textFill>
                        <w14:solidFill>
                          <w14:schemeClr w14:val="tx1"/>
                        </w14:solidFill>
                      </w14:textFill>
                    </w:rPr>
                    <w:t>3</w:t>
                  </w:r>
                </w:p>
              </w:tc>
            </w:tr>
            <w:tr w14:paraId="4A7513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4FB27AFB">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76071AE1">
                  <w:pPr>
                    <w:widowControl/>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597" w:type="pct"/>
                  <w:vMerge w:val="continue"/>
                  <w:vAlign w:val="center"/>
                </w:tcPr>
                <w:p w14:paraId="540B3D34">
                  <w:pPr>
                    <w:pStyle w:val="7"/>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p>
              </w:tc>
              <w:tc>
                <w:tcPr>
                  <w:tcW w:w="2003" w:type="pct"/>
                  <w:shd w:val="clear" w:color="auto" w:fill="auto"/>
                  <w:vAlign w:val="center"/>
                </w:tcPr>
                <w:p w14:paraId="1C455D6F">
                  <w:pPr>
                    <w:adjustRightInd w:val="0"/>
                    <w:snapToGrid w:val="0"/>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工业企业</w:t>
                  </w:r>
                  <w:r>
                    <w:rPr>
                      <w:rFonts w:hint="default" w:ascii="Times New Roman" w:hAnsi="Times New Roman" w:cs="Times New Roman"/>
                      <w:color w:val="000000" w:themeColor="text1"/>
                      <w:sz w:val="21"/>
                      <w:szCs w:val="21"/>
                      <w14:textFill>
                        <w14:solidFill>
                          <w14:schemeClr w14:val="tx1"/>
                        </w14:solidFill>
                      </w14:textFill>
                    </w:rPr>
                    <w:t>边界</w:t>
                  </w:r>
                  <w:r>
                    <w:rPr>
                      <w:rFonts w:hint="default" w:ascii="Times New Roman" w:hAnsi="Times New Roman" w:cs="Times New Roman"/>
                      <w:bCs/>
                      <w:color w:val="000000" w:themeColor="text1"/>
                      <w:sz w:val="21"/>
                      <w:szCs w:val="21"/>
                      <w14:textFill>
                        <w14:solidFill>
                          <w14:schemeClr w14:val="tx1"/>
                        </w14:solidFill>
                      </w14:textFill>
                    </w:rPr>
                    <w:t>排放建议值2.0mg/m</w:t>
                  </w:r>
                  <w:r>
                    <w:rPr>
                      <w:rFonts w:hint="default" w:ascii="Times New Roman" w:hAnsi="Times New Roman" w:cs="Times New Roman"/>
                      <w:bCs/>
                      <w:color w:val="000000" w:themeColor="text1"/>
                      <w:sz w:val="21"/>
                      <w:szCs w:val="21"/>
                      <w:vertAlign w:val="superscript"/>
                      <w14:textFill>
                        <w14:solidFill>
                          <w14:schemeClr w14:val="tx1"/>
                        </w14:solidFill>
                      </w14:textFill>
                    </w:rPr>
                    <w:t>3</w:t>
                  </w:r>
                </w:p>
              </w:tc>
            </w:tr>
            <w:tr w14:paraId="466CE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7FCFCA7F">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shd w:val="clear" w:color="auto" w:fill="auto"/>
                  <w:vAlign w:val="center"/>
                </w:tcPr>
                <w:p w14:paraId="46093E4F">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《挥发性有机物无组织排放控制标准》（GB 37822-2019）</w:t>
                  </w:r>
                </w:p>
              </w:tc>
              <w:tc>
                <w:tcPr>
                  <w:tcW w:w="597" w:type="pct"/>
                  <w:shd w:val="clear" w:color="auto" w:fill="auto"/>
                  <w:vAlign w:val="center"/>
                </w:tcPr>
                <w:p w14:paraId="2974CE32">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非甲烷总烃</w:t>
                  </w:r>
                </w:p>
              </w:tc>
              <w:tc>
                <w:tcPr>
                  <w:tcW w:w="2003" w:type="pct"/>
                  <w:shd w:val="clear" w:color="auto" w:fill="auto"/>
                  <w:vAlign w:val="center"/>
                </w:tcPr>
                <w:p w14:paraId="698A9B59">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监控点处任意1h平均浓度值10mg/m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；厂区内监控点处任意一次浓度值30mg/m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6AF58A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4F0DBD65">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restart"/>
                  <w:shd w:val="clear" w:color="auto" w:fill="auto"/>
                  <w:vAlign w:val="center"/>
                </w:tcPr>
                <w:p w14:paraId="61E70F31">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《河南省重污染天气通用行业应急减排措施制定技术指南》（2024年修订版）通用行业</w:t>
                  </w:r>
                </w:p>
              </w:tc>
              <w:tc>
                <w:tcPr>
                  <w:tcW w:w="597" w:type="pct"/>
                  <w:shd w:val="clear" w:color="auto" w:fill="auto"/>
                  <w:vAlign w:val="center"/>
                </w:tcPr>
                <w:p w14:paraId="2A1058DF">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2003" w:type="pct"/>
                  <w:shd w:val="clear" w:color="auto" w:fill="auto"/>
                  <w:vAlign w:val="center"/>
                </w:tcPr>
                <w:p w14:paraId="63FFF1B5">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5E101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6CB34EC0">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shd w:val="clear" w:color="auto" w:fill="auto"/>
                  <w:vAlign w:val="center"/>
                </w:tcPr>
                <w:p w14:paraId="661BC028">
                  <w:pPr>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shd w:val="clear" w:color="auto" w:fill="auto"/>
                  <w:vAlign w:val="center"/>
                </w:tcPr>
                <w:p w14:paraId="5BB43D42">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NMHC</w:t>
                  </w:r>
                </w:p>
              </w:tc>
              <w:tc>
                <w:tcPr>
                  <w:tcW w:w="2003" w:type="pct"/>
                  <w:shd w:val="clear" w:color="auto" w:fill="auto"/>
                  <w:vAlign w:val="center"/>
                </w:tcPr>
                <w:p w14:paraId="0A2CBA5E">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30mg/m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30B40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2B02BE7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restart"/>
                  <w:shd w:val="clear" w:color="auto" w:fill="auto"/>
                  <w:vAlign w:val="center"/>
                </w:tcPr>
                <w:p w14:paraId="5C0A7799">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《河南省重污染天气通用行业应急减排措施制定技术指南》（2024年修订版）涉锅炉/炉窑企业绩效A级</w:t>
                  </w:r>
                </w:p>
              </w:tc>
              <w:tc>
                <w:tcPr>
                  <w:tcW w:w="597" w:type="pct"/>
                  <w:shd w:val="clear" w:color="auto" w:fill="auto"/>
                  <w:vAlign w:val="center"/>
                </w:tcPr>
                <w:p w14:paraId="53F51B46">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2003" w:type="pct"/>
                  <w:shd w:val="clear" w:color="auto" w:fill="auto"/>
                  <w:vAlign w:val="center"/>
                </w:tcPr>
                <w:p w14:paraId="40BA7BF6">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3DA4D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40EA4B95">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193B5AC0">
                  <w:pPr>
                    <w:widowControl/>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597" w:type="pct"/>
                  <w:shd w:val="clear" w:color="auto" w:fill="auto"/>
                  <w:vAlign w:val="center"/>
                </w:tcPr>
                <w:p w14:paraId="5610F9FD">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SO</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2003" w:type="pct"/>
                  <w:shd w:val="clear" w:color="auto" w:fill="auto"/>
                  <w:vAlign w:val="center"/>
                </w:tcPr>
                <w:p w14:paraId="4BAA719E">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1D9B4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3727615A">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5F60CC0E">
                  <w:pPr>
                    <w:widowControl/>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597" w:type="pct"/>
                  <w:shd w:val="clear" w:color="auto" w:fill="auto"/>
                  <w:vAlign w:val="center"/>
                </w:tcPr>
                <w:p w14:paraId="19A07013">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NO</w:t>
                  </w:r>
                  <w:r>
                    <w:rPr>
                      <w:rFonts w:hint="default" w:ascii="Times New Roman" w:hAnsi="Times New Roman" w:cs="Times New Roman"/>
                      <w:color w:val="000000" w:themeColor="text1"/>
                      <w:sz w:val="21"/>
                      <w:szCs w:val="21"/>
                      <w:vertAlign w:val="subscript"/>
                      <w14:textFill>
                        <w14:solidFill>
                          <w14:schemeClr w14:val="tx1"/>
                        </w14:solidFill>
                      </w14:textFill>
                    </w:rPr>
                    <w:t>x</w:t>
                  </w:r>
                </w:p>
              </w:tc>
              <w:tc>
                <w:tcPr>
                  <w:tcW w:w="2003" w:type="pct"/>
                  <w:shd w:val="clear" w:color="auto" w:fill="auto"/>
                  <w:vAlign w:val="center"/>
                </w:tcPr>
                <w:p w14:paraId="13EEE294">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30mg/m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1D759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1FBA832A">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restart"/>
                  <w:shd w:val="clear" w:color="auto" w:fill="auto"/>
                  <w:vAlign w:val="center"/>
                </w:tcPr>
                <w:p w14:paraId="6C0AEA0D">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《河南省地方标准 锅炉大气污染物排放标准》（DB41/2089-2021）表1中新建燃气锅炉标准</w:t>
                  </w:r>
                </w:p>
              </w:tc>
              <w:tc>
                <w:tcPr>
                  <w:tcW w:w="597" w:type="pct"/>
                  <w:shd w:val="clear" w:color="auto" w:fill="auto"/>
                  <w:vAlign w:val="center"/>
                </w:tcPr>
                <w:p w14:paraId="3626EB13">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颗粒物</w:t>
                  </w:r>
                </w:p>
              </w:tc>
              <w:tc>
                <w:tcPr>
                  <w:tcW w:w="2003" w:type="pct"/>
                  <w:shd w:val="clear" w:color="auto" w:fill="auto"/>
                  <w:vAlign w:val="center"/>
                </w:tcPr>
                <w:p w14:paraId="32EAB986">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26BF27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4C9F30D1">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5981C565">
                  <w:pPr>
                    <w:widowControl/>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597" w:type="pct"/>
                  <w:shd w:val="clear" w:color="auto" w:fill="auto"/>
                  <w:vAlign w:val="center"/>
                </w:tcPr>
                <w:p w14:paraId="5F683773">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SO</w:t>
                  </w:r>
                  <w:r>
                    <w:rPr>
                      <w:rFonts w:hint="default" w:ascii="Times New Roman" w:hAnsi="Times New Roman" w:cs="Times New Roman"/>
                      <w:color w:val="000000" w:themeColor="text1"/>
                      <w:sz w:val="21"/>
                      <w:szCs w:val="21"/>
                      <w:vertAlign w:val="subscript"/>
                      <w14:textFill>
                        <w14:solidFill>
                          <w14:schemeClr w14:val="tx1"/>
                        </w14:solidFill>
                      </w14:textFill>
                    </w:rPr>
                    <w:t>2</w:t>
                  </w:r>
                </w:p>
              </w:tc>
              <w:tc>
                <w:tcPr>
                  <w:tcW w:w="2003" w:type="pct"/>
                  <w:shd w:val="clear" w:color="auto" w:fill="auto"/>
                  <w:vAlign w:val="center"/>
                </w:tcPr>
                <w:p w14:paraId="40192E14">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10mg/m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2FC7C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1BEC32FE">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5A34F506">
                  <w:pPr>
                    <w:widowControl/>
                    <w:jc w:val="center"/>
                    <w:rPr>
                      <w:rFonts w:hint="default" w:ascii="Times New Roman" w:hAnsi="Times New Roman" w:cs="Times New Roman"/>
                      <w:color w:val="000000" w:themeColor="text1"/>
                      <w:kern w:val="0"/>
                      <w:sz w:val="21"/>
                      <w:szCs w:val="21"/>
                      <w14:textFill>
                        <w14:solidFill>
                          <w14:schemeClr w14:val="tx1"/>
                        </w14:solidFill>
                      </w14:textFill>
                    </w:rPr>
                  </w:pPr>
                </w:p>
              </w:tc>
              <w:tc>
                <w:tcPr>
                  <w:tcW w:w="597" w:type="pct"/>
                  <w:shd w:val="clear" w:color="auto" w:fill="auto"/>
                  <w:vAlign w:val="center"/>
                </w:tcPr>
                <w:p w14:paraId="22F473D1">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NO</w:t>
                  </w:r>
                  <w:r>
                    <w:rPr>
                      <w:rFonts w:hint="default" w:ascii="Times New Roman" w:hAnsi="Times New Roman" w:cs="Times New Roman"/>
                      <w:color w:val="000000" w:themeColor="text1"/>
                      <w:sz w:val="21"/>
                      <w:szCs w:val="21"/>
                      <w:vertAlign w:val="subscript"/>
                      <w14:textFill>
                        <w14:solidFill>
                          <w14:schemeClr w14:val="tx1"/>
                        </w14:solidFill>
                      </w14:textFill>
                    </w:rPr>
                    <w:t>X</w:t>
                  </w:r>
                </w:p>
              </w:tc>
              <w:tc>
                <w:tcPr>
                  <w:tcW w:w="2003" w:type="pct"/>
                  <w:shd w:val="clear" w:color="auto" w:fill="auto"/>
                  <w:vAlign w:val="center"/>
                </w:tcPr>
                <w:p w14:paraId="380D137E">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30mg/m</w:t>
                  </w:r>
                  <w:r>
                    <w:rPr>
                      <w:rFonts w:hint="default" w:ascii="Times New Roman" w:hAnsi="Times New Roman" w:cs="Times New Roman"/>
                      <w:color w:val="000000" w:themeColor="text1"/>
                      <w:sz w:val="21"/>
                      <w:szCs w:val="21"/>
                      <w:vertAlign w:val="superscript"/>
                      <w14:textFill>
                        <w14:solidFill>
                          <w14:schemeClr w14:val="tx1"/>
                        </w14:solidFill>
                      </w14:textFill>
                    </w:rPr>
                    <w:t>3</w:t>
                  </w:r>
                </w:p>
              </w:tc>
            </w:tr>
            <w:tr w14:paraId="386272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586070AD">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restart"/>
                  <w:vAlign w:val="center"/>
                </w:tcPr>
                <w:p w14:paraId="39825976">
                  <w:pPr>
                    <w:widowControl/>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《恶臭污染物排放标准》（GB14554-93）表1中二级标准</w:t>
                  </w:r>
                </w:p>
              </w:tc>
              <w:tc>
                <w:tcPr>
                  <w:tcW w:w="597" w:type="pct"/>
                  <w:vAlign w:val="center"/>
                </w:tcPr>
                <w:p w14:paraId="4D295862">
                  <w:pPr>
                    <w:pStyle w:val="7"/>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p>
              </w:tc>
              <w:tc>
                <w:tcPr>
                  <w:tcW w:w="2003" w:type="pct"/>
                  <w:vAlign w:val="center"/>
                </w:tcPr>
                <w:p w14:paraId="64BC9251">
                  <w:pPr>
                    <w:widowControl/>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厂界浓度1.5mg/m</w:t>
                  </w:r>
                  <w:r>
                    <w:rPr>
                      <w:rFonts w:hint="default" w:ascii="Times New Roman" w:hAnsi="Times New Roman" w:cs="Times New Roman"/>
                      <w:color w:val="000000" w:themeColor="text1"/>
                      <w:kern w:val="0"/>
                      <w:sz w:val="21"/>
                      <w:szCs w:val="21"/>
                      <w:vertAlign w:val="superscript"/>
                      <w14:textFill>
                        <w14:solidFill>
                          <w14:schemeClr w14:val="tx1"/>
                        </w14:solidFill>
                      </w14:textFill>
                    </w:rPr>
                    <w:t>3</w:t>
                  </w:r>
                </w:p>
              </w:tc>
            </w:tr>
            <w:tr w14:paraId="03793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1E615A5D">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5C340DF9">
                  <w:pPr>
                    <w:widowControl/>
                    <w:jc w:val="left"/>
                    <w:rPr>
                      <w:rFonts w:hint="default" w:ascii="Times New Roman" w:hAnsi="Times New Roman" w:cs="Times New Roman"/>
                      <w:color w:val="000000" w:themeColor="text1"/>
                      <w:kern w:val="0"/>
                      <w:sz w:val="21"/>
                      <w:szCs w:val="21"/>
                      <w14:textFill>
                        <w14:solidFill>
                          <w14:schemeClr w14:val="tx1"/>
                        </w14:solidFill>
                      </w14:textFill>
                    </w:rPr>
                  </w:pPr>
                </w:p>
              </w:tc>
              <w:tc>
                <w:tcPr>
                  <w:tcW w:w="597" w:type="pct"/>
                  <w:vAlign w:val="center"/>
                </w:tcPr>
                <w:p w14:paraId="299E583A">
                  <w:pPr>
                    <w:pStyle w:val="7"/>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H</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S</w:t>
                  </w:r>
                </w:p>
              </w:tc>
              <w:tc>
                <w:tcPr>
                  <w:tcW w:w="2003" w:type="pct"/>
                  <w:vAlign w:val="center"/>
                </w:tcPr>
                <w:p w14:paraId="05B42D9D">
                  <w:pPr>
                    <w:widowControl/>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厂界浓度 0.06mg/m</w:t>
                  </w:r>
                  <w:r>
                    <w:rPr>
                      <w:rFonts w:hint="default" w:ascii="Times New Roman" w:hAnsi="Times New Roman" w:cs="Times New Roman"/>
                      <w:color w:val="000000" w:themeColor="text1"/>
                      <w:kern w:val="0"/>
                      <w:sz w:val="21"/>
                      <w:szCs w:val="21"/>
                      <w:vertAlign w:val="superscript"/>
                      <w14:textFill>
                        <w14:solidFill>
                          <w14:schemeClr w14:val="tx1"/>
                        </w14:solidFill>
                      </w14:textFill>
                    </w:rPr>
                    <w:t>3</w:t>
                  </w:r>
                </w:p>
              </w:tc>
            </w:tr>
            <w:tr w14:paraId="2D653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452" w:type="pct"/>
                  <w:vMerge w:val="continue"/>
                  <w:vAlign w:val="center"/>
                </w:tcPr>
                <w:p w14:paraId="6643D5DE">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38E4E830">
                  <w:pPr>
                    <w:widowControl/>
                    <w:jc w:val="left"/>
                    <w:rPr>
                      <w:rFonts w:hint="default" w:ascii="Times New Roman" w:hAnsi="Times New Roman" w:cs="Times New Roman"/>
                      <w:color w:val="000000" w:themeColor="text1"/>
                      <w:kern w:val="0"/>
                      <w:sz w:val="21"/>
                      <w:szCs w:val="21"/>
                      <w14:textFill>
                        <w14:solidFill>
                          <w14:schemeClr w14:val="tx1"/>
                        </w14:solidFill>
                      </w14:textFill>
                    </w:rPr>
                  </w:pPr>
                </w:p>
              </w:tc>
              <w:tc>
                <w:tcPr>
                  <w:tcW w:w="597" w:type="pct"/>
                  <w:vAlign w:val="center"/>
                </w:tcPr>
                <w:p w14:paraId="00CB49C4">
                  <w:pPr>
                    <w:pStyle w:val="7"/>
                    <w:ind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臭气浓度</w:t>
                  </w:r>
                </w:p>
              </w:tc>
              <w:tc>
                <w:tcPr>
                  <w:tcW w:w="2003" w:type="pct"/>
                  <w:vAlign w:val="center"/>
                </w:tcPr>
                <w:p w14:paraId="73EA6996">
                  <w:pPr>
                    <w:widowControl/>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厂界浓度 20（无量纲）</w:t>
                  </w:r>
                </w:p>
              </w:tc>
            </w:tr>
            <w:tr w14:paraId="6D08A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vAlign w:val="center"/>
                </w:tcPr>
                <w:p w14:paraId="211D99D4">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废水</w:t>
                  </w:r>
                </w:p>
              </w:tc>
              <w:tc>
                <w:tcPr>
                  <w:tcW w:w="583" w:type="pct"/>
                  <w:vMerge w:val="restart"/>
                  <w:vAlign w:val="center"/>
                </w:tcPr>
                <w:p w14:paraId="0949F699">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厂区总排口执行</w:t>
                  </w:r>
                </w:p>
              </w:tc>
              <w:tc>
                <w:tcPr>
                  <w:tcW w:w="1362" w:type="pct"/>
                  <w:vMerge w:val="restart"/>
                  <w:vAlign w:val="center"/>
                </w:tcPr>
                <w:p w14:paraId="5DA19E39">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镇平县第二污水处理厂进水水质指标</w:t>
                  </w:r>
                </w:p>
              </w:tc>
              <w:tc>
                <w:tcPr>
                  <w:tcW w:w="597" w:type="pct"/>
                  <w:shd w:val="clear" w:color="auto" w:fill="auto"/>
                  <w:vAlign w:val="center"/>
                </w:tcPr>
                <w:p w14:paraId="738A28A7">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p>
              </w:tc>
              <w:tc>
                <w:tcPr>
                  <w:tcW w:w="2003" w:type="pct"/>
                  <w:shd w:val="clear" w:color="auto" w:fill="auto"/>
                  <w:vAlign w:val="center"/>
                </w:tcPr>
                <w:p w14:paraId="2CA141DB">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400mg/L</w:t>
                  </w:r>
                </w:p>
              </w:tc>
            </w:tr>
            <w:tr w14:paraId="64A3E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628B8F98">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266B4725">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700F3BD2">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shd w:val="clear" w:color="auto" w:fill="auto"/>
                  <w:vAlign w:val="center"/>
                </w:tcPr>
                <w:p w14:paraId="17A9BCE7">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2003" w:type="pct"/>
                  <w:shd w:val="clear" w:color="auto" w:fill="auto"/>
                  <w:vAlign w:val="center"/>
                </w:tcPr>
                <w:p w14:paraId="64B5FCFC">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150mg/L</w:t>
                  </w:r>
                </w:p>
              </w:tc>
            </w:tr>
            <w:tr w14:paraId="4C0AC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0387D880">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7819F5E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1D0BDC6E">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shd w:val="clear" w:color="auto" w:fill="auto"/>
                  <w:vAlign w:val="center"/>
                </w:tcPr>
                <w:p w14:paraId="067F3A64">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w:t>
                  </w:r>
                </w:p>
              </w:tc>
              <w:tc>
                <w:tcPr>
                  <w:tcW w:w="2003" w:type="pct"/>
                  <w:shd w:val="clear" w:color="auto" w:fill="auto"/>
                  <w:vAlign w:val="center"/>
                </w:tcPr>
                <w:p w14:paraId="0CAF1054">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40mg/L</w:t>
                  </w:r>
                </w:p>
              </w:tc>
            </w:tr>
            <w:tr w14:paraId="0108F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07B343E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535961E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7BE32943">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shd w:val="clear" w:color="auto" w:fill="auto"/>
                  <w:vAlign w:val="center"/>
                </w:tcPr>
                <w:p w14:paraId="3C8F1F01">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2003" w:type="pct"/>
                  <w:shd w:val="clear" w:color="auto" w:fill="auto"/>
                  <w:vAlign w:val="center"/>
                </w:tcPr>
                <w:p w14:paraId="01EC264B">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300mg/L</w:t>
                  </w:r>
                </w:p>
              </w:tc>
            </w:tr>
            <w:tr w14:paraId="480A1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38280188">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4C28874B">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restart"/>
                  <w:vAlign w:val="center"/>
                </w:tcPr>
                <w:p w14:paraId="06F02D39">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《发酵酒精和白酒工业水污染物排放标准》（GB27631-2011）及修改单</w:t>
                  </w:r>
                  <w:r>
                    <w:rPr>
                      <w:rStyle w:val="30"/>
                      <w:rFonts w:hint="default" w:ascii="Times New Roman" w:hAnsi="Times New Roman" w:cs="Times New Roman"/>
                      <w:color w:val="000000" w:themeColor="text1"/>
                      <w:sz w:val="21"/>
                      <w:szCs w:val="21"/>
                      <w14:textFill>
                        <w14:solidFill>
                          <w14:schemeClr w14:val="tx1"/>
                        </w14:solidFill>
                      </w14:textFill>
                    </w:rPr>
                    <w:t>中间接排放标准要求</w:t>
                  </w:r>
                </w:p>
              </w:tc>
              <w:tc>
                <w:tcPr>
                  <w:tcW w:w="597" w:type="pct"/>
                  <w:vAlign w:val="center"/>
                </w:tcPr>
                <w:p w14:paraId="689BA54D">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pH值</w:t>
                  </w:r>
                </w:p>
              </w:tc>
              <w:tc>
                <w:tcPr>
                  <w:tcW w:w="2003" w:type="pct"/>
                  <w:vAlign w:val="center"/>
                </w:tcPr>
                <w:p w14:paraId="0DC9454C">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6-9（无量纲）</w:t>
                  </w:r>
                </w:p>
              </w:tc>
            </w:tr>
            <w:tr w14:paraId="28D27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572A1211">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11E14F88">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0897EB53">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vAlign w:val="center"/>
                </w:tcPr>
                <w:p w14:paraId="6BFD35F3">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2003" w:type="pct"/>
                  <w:vAlign w:val="center"/>
                </w:tcPr>
                <w:p w14:paraId="7007B62A">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140</w:t>
                  </w:r>
                  <w:r>
                    <w:rPr>
                      <w:rFonts w:hint="default" w:ascii="Times New Roman" w:hAnsi="Times New Roman" w:cs="Times New Roman"/>
                      <w:color w:val="000000" w:themeColor="text1"/>
                      <w:sz w:val="21"/>
                      <w:szCs w:val="21"/>
                      <w14:textFill>
                        <w14:solidFill>
                          <w14:schemeClr w14:val="tx1"/>
                        </w14:solidFill>
                      </w14:textFill>
                    </w:rPr>
                    <w:t>mg/L</w:t>
                  </w:r>
                </w:p>
              </w:tc>
            </w:tr>
            <w:tr w14:paraId="0F1B8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0840FDC5">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246559C8">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5C3A286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vAlign w:val="center"/>
                </w:tcPr>
                <w:p w14:paraId="298C181A">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2003" w:type="pct"/>
                  <w:vAlign w:val="center"/>
                </w:tcPr>
                <w:p w14:paraId="09B52514">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80</w:t>
                  </w:r>
                  <w:r>
                    <w:rPr>
                      <w:rFonts w:hint="default" w:ascii="Times New Roman" w:hAnsi="Times New Roman" w:cs="Times New Roman"/>
                      <w:color w:val="000000" w:themeColor="text1"/>
                      <w:sz w:val="21"/>
                      <w:szCs w:val="21"/>
                      <w14:textFill>
                        <w14:solidFill>
                          <w14:schemeClr w14:val="tx1"/>
                        </w14:solidFill>
                      </w14:textFill>
                    </w:rPr>
                    <w:t>mg/L</w:t>
                  </w:r>
                </w:p>
              </w:tc>
            </w:tr>
            <w:tr w14:paraId="0E0D4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6E3BD61B">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2F2A441E">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0F7DB948">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vAlign w:val="center"/>
                </w:tcPr>
                <w:p w14:paraId="6D6FFED4">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r>
                    <w:rPr>
                      <w:rFonts w:hint="default" w:ascii="Times New Roman" w:hAnsi="Times New Roman" w:cs="Times New Roman"/>
                      <w:color w:val="000000" w:themeColor="text1"/>
                      <w:sz w:val="21"/>
                      <w:szCs w:val="21"/>
                      <w:vertAlign w:val="subscript"/>
                      <w14:textFill>
                        <w14:solidFill>
                          <w14:schemeClr w14:val="tx1"/>
                        </w14:solidFill>
                      </w14:textFill>
                    </w:rPr>
                    <w:t>Cr</w:t>
                  </w:r>
                </w:p>
              </w:tc>
              <w:tc>
                <w:tcPr>
                  <w:tcW w:w="2003" w:type="pct"/>
                  <w:vAlign w:val="center"/>
                </w:tcPr>
                <w:p w14:paraId="58C3DB5D">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400</w:t>
                  </w:r>
                  <w:r>
                    <w:rPr>
                      <w:rFonts w:hint="default" w:ascii="Times New Roman" w:hAnsi="Times New Roman" w:cs="Times New Roman"/>
                      <w:color w:val="000000" w:themeColor="text1"/>
                      <w:sz w:val="21"/>
                      <w:szCs w:val="21"/>
                      <w14:textFill>
                        <w14:solidFill>
                          <w14:schemeClr w14:val="tx1"/>
                        </w14:solidFill>
                      </w14:textFill>
                    </w:rPr>
                    <w:t>mg/L</w:t>
                  </w:r>
                </w:p>
              </w:tc>
            </w:tr>
            <w:tr w14:paraId="0B3ED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7B9B47E0">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19917A0A">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55F955B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vAlign w:val="center"/>
                </w:tcPr>
                <w:p w14:paraId="1A80012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NH</w:t>
                  </w:r>
                  <w:r>
                    <w:rPr>
                      <w:rFonts w:hint="default" w:ascii="Times New Roman" w:hAnsi="Times New Roman" w:cs="Times New Roman"/>
                      <w:bCs/>
                      <w:color w:val="000000" w:themeColor="text1"/>
                      <w:sz w:val="21"/>
                      <w:szCs w:val="21"/>
                      <w:vertAlign w:val="subscript"/>
                      <w14:textFill>
                        <w14:solidFill>
                          <w14:schemeClr w14:val="tx1"/>
                        </w14:solidFill>
                      </w14:textFill>
                    </w:rPr>
                    <w:t>3</w:t>
                  </w:r>
                  <w:r>
                    <w:rPr>
                      <w:rFonts w:hint="default" w:ascii="Times New Roman" w:hAnsi="Times New Roman" w:cs="Times New Roman"/>
                      <w:bCs/>
                      <w:color w:val="000000" w:themeColor="text1"/>
                      <w:sz w:val="21"/>
                      <w:szCs w:val="21"/>
                      <w14:textFill>
                        <w14:solidFill>
                          <w14:schemeClr w14:val="tx1"/>
                        </w14:solidFill>
                      </w14:textFill>
                    </w:rPr>
                    <w:t>-N</w:t>
                  </w:r>
                </w:p>
              </w:tc>
              <w:tc>
                <w:tcPr>
                  <w:tcW w:w="2003" w:type="pct"/>
                  <w:vAlign w:val="center"/>
                </w:tcPr>
                <w:p w14:paraId="44696A40">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30</w:t>
                  </w:r>
                  <w:r>
                    <w:rPr>
                      <w:rFonts w:hint="default" w:ascii="Times New Roman" w:hAnsi="Times New Roman" w:cs="Times New Roman"/>
                      <w:color w:val="000000" w:themeColor="text1"/>
                      <w:sz w:val="21"/>
                      <w:szCs w:val="21"/>
                      <w14:textFill>
                        <w14:solidFill>
                          <w14:schemeClr w14:val="tx1"/>
                        </w14:solidFill>
                      </w14:textFill>
                    </w:rPr>
                    <w:t>mg/L</w:t>
                  </w:r>
                </w:p>
              </w:tc>
            </w:tr>
            <w:tr w14:paraId="48982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325F29E0">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30EE1D70">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6C629B98">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vAlign w:val="center"/>
                </w:tcPr>
                <w:p w14:paraId="29F418B4">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TN</w:t>
                  </w:r>
                </w:p>
              </w:tc>
              <w:tc>
                <w:tcPr>
                  <w:tcW w:w="2003" w:type="pct"/>
                  <w:vAlign w:val="center"/>
                </w:tcPr>
                <w:p w14:paraId="7459917E">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50</w:t>
                  </w:r>
                  <w:r>
                    <w:rPr>
                      <w:rFonts w:hint="default" w:ascii="Times New Roman" w:hAnsi="Times New Roman" w:cs="Times New Roman"/>
                      <w:color w:val="000000" w:themeColor="text1"/>
                      <w:sz w:val="21"/>
                      <w:szCs w:val="21"/>
                      <w14:textFill>
                        <w14:solidFill>
                          <w14:schemeClr w14:val="tx1"/>
                        </w14:solidFill>
                      </w14:textFill>
                    </w:rPr>
                    <w:t>mg/L</w:t>
                  </w:r>
                </w:p>
              </w:tc>
            </w:tr>
            <w:tr w14:paraId="39ADD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278AF3EB">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5AB2E12E">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70515E7F">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vAlign w:val="center"/>
                </w:tcPr>
                <w:p w14:paraId="19C1021F">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TP</w:t>
                  </w:r>
                </w:p>
              </w:tc>
              <w:tc>
                <w:tcPr>
                  <w:tcW w:w="2003" w:type="pct"/>
                  <w:vAlign w:val="center"/>
                </w:tcPr>
                <w:p w14:paraId="0B78498E">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3.0</w:t>
                  </w:r>
                  <w:r>
                    <w:rPr>
                      <w:rFonts w:hint="default" w:ascii="Times New Roman" w:hAnsi="Times New Roman" w:cs="Times New Roman"/>
                      <w:color w:val="000000" w:themeColor="text1"/>
                      <w:sz w:val="21"/>
                      <w:szCs w:val="21"/>
                      <w14:textFill>
                        <w14:solidFill>
                          <w14:schemeClr w14:val="tx1"/>
                        </w14:solidFill>
                      </w14:textFill>
                    </w:rPr>
                    <w:t>mg/L</w:t>
                  </w:r>
                </w:p>
              </w:tc>
            </w:tr>
            <w:tr w14:paraId="35CB2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125E604A">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78EBD795">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restart"/>
                  <w:vAlign w:val="center"/>
                </w:tcPr>
                <w:p w14:paraId="43F25CAE">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《啤酒工业水污染物排放标准》（DB41/681-2011）</w:t>
                  </w:r>
                  <w:r>
                    <w:rPr>
                      <w:rStyle w:val="30"/>
                      <w:rFonts w:hint="default" w:ascii="Times New Roman" w:hAnsi="Times New Roman" w:cs="Times New Roman"/>
                      <w:color w:val="000000" w:themeColor="text1"/>
                      <w:sz w:val="21"/>
                      <w:szCs w:val="21"/>
                      <w14:textFill>
                        <w14:solidFill>
                          <w14:schemeClr w14:val="tx1"/>
                        </w14:solidFill>
                      </w14:textFill>
                    </w:rPr>
                    <w:t>中</w:t>
                  </w:r>
                  <w:r>
                    <w:rPr>
                      <w:rFonts w:hint="default" w:ascii="Times New Roman" w:hAnsi="Times New Roman" w:cs="Times New Roman"/>
                      <w:color w:val="000000" w:themeColor="text1"/>
                      <w:sz w:val="21"/>
                      <w:szCs w:val="21"/>
                      <w14:textFill>
                        <w14:solidFill>
                          <w14:schemeClr w14:val="tx1"/>
                        </w14:solidFill>
                      </w14:textFill>
                    </w:rPr>
                    <w:t>预处理A排放标准</w:t>
                  </w:r>
                </w:p>
              </w:tc>
              <w:tc>
                <w:tcPr>
                  <w:tcW w:w="597" w:type="pct"/>
                  <w:shd w:val="clear" w:color="auto" w:fill="auto"/>
                  <w:vAlign w:val="center"/>
                </w:tcPr>
                <w:p w14:paraId="0669CC25">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pH值</w:t>
                  </w:r>
                </w:p>
              </w:tc>
              <w:tc>
                <w:tcPr>
                  <w:tcW w:w="2003" w:type="pct"/>
                  <w:shd w:val="clear" w:color="auto" w:fill="auto"/>
                  <w:vAlign w:val="center"/>
                </w:tcPr>
                <w:p w14:paraId="26013BCE">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6-9（无量纲）</w:t>
                  </w:r>
                </w:p>
              </w:tc>
            </w:tr>
            <w:tr w14:paraId="7A6DC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38D0A191">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00525F93">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301CC444">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shd w:val="clear" w:color="auto" w:fill="auto"/>
                  <w:vAlign w:val="center"/>
                </w:tcPr>
                <w:p w14:paraId="216ACC55">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2003" w:type="pct"/>
                  <w:vAlign w:val="center"/>
                </w:tcPr>
                <w:p w14:paraId="5E383877">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100</w:t>
                  </w:r>
                  <w:r>
                    <w:rPr>
                      <w:rFonts w:hint="default" w:ascii="Times New Roman" w:hAnsi="Times New Roman" w:cs="Times New Roman"/>
                      <w:color w:val="000000" w:themeColor="text1"/>
                      <w:sz w:val="21"/>
                      <w:szCs w:val="21"/>
                      <w14:textFill>
                        <w14:solidFill>
                          <w14:schemeClr w14:val="tx1"/>
                        </w14:solidFill>
                      </w14:textFill>
                    </w:rPr>
                    <w:t>mg/L</w:t>
                  </w:r>
                </w:p>
              </w:tc>
            </w:tr>
            <w:tr w14:paraId="77672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4358B9F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505C7C34">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0B6B480E">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shd w:val="clear" w:color="auto" w:fill="auto"/>
                  <w:vAlign w:val="center"/>
                </w:tcPr>
                <w:p w14:paraId="2192AA72">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2003" w:type="pct"/>
                  <w:vAlign w:val="center"/>
                </w:tcPr>
                <w:p w14:paraId="7DEEBC09">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40</w:t>
                  </w:r>
                  <w:r>
                    <w:rPr>
                      <w:rFonts w:hint="default" w:ascii="Times New Roman" w:hAnsi="Times New Roman" w:cs="Times New Roman"/>
                      <w:color w:val="000000" w:themeColor="text1"/>
                      <w:sz w:val="21"/>
                      <w:szCs w:val="21"/>
                      <w14:textFill>
                        <w14:solidFill>
                          <w14:schemeClr w14:val="tx1"/>
                        </w14:solidFill>
                      </w14:textFill>
                    </w:rPr>
                    <w:t>mg/L</w:t>
                  </w:r>
                </w:p>
              </w:tc>
            </w:tr>
            <w:tr w14:paraId="699D2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28CB712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4500F47D">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454313CE">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shd w:val="clear" w:color="auto" w:fill="auto"/>
                  <w:vAlign w:val="center"/>
                </w:tcPr>
                <w:p w14:paraId="193B8A07">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r>
                    <w:rPr>
                      <w:rFonts w:hint="default" w:ascii="Times New Roman" w:hAnsi="Times New Roman" w:cs="Times New Roman"/>
                      <w:color w:val="000000" w:themeColor="text1"/>
                      <w:sz w:val="21"/>
                      <w:szCs w:val="21"/>
                      <w:vertAlign w:val="subscript"/>
                      <w14:textFill>
                        <w14:solidFill>
                          <w14:schemeClr w14:val="tx1"/>
                        </w14:solidFill>
                      </w14:textFill>
                    </w:rPr>
                    <w:t>Cr</w:t>
                  </w:r>
                </w:p>
              </w:tc>
              <w:tc>
                <w:tcPr>
                  <w:tcW w:w="2003" w:type="pct"/>
                  <w:vAlign w:val="center"/>
                </w:tcPr>
                <w:p w14:paraId="72A5B3CC">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150</w:t>
                  </w:r>
                  <w:r>
                    <w:rPr>
                      <w:rFonts w:hint="default" w:ascii="Times New Roman" w:hAnsi="Times New Roman" w:cs="Times New Roman"/>
                      <w:color w:val="000000" w:themeColor="text1"/>
                      <w:sz w:val="21"/>
                      <w:szCs w:val="21"/>
                      <w14:textFill>
                        <w14:solidFill>
                          <w14:schemeClr w14:val="tx1"/>
                        </w14:solidFill>
                      </w14:textFill>
                    </w:rPr>
                    <w:t>mg/L</w:t>
                  </w:r>
                </w:p>
              </w:tc>
            </w:tr>
            <w:tr w14:paraId="7D90C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6E26BE3A">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33697186">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41FEB8A1">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shd w:val="clear" w:color="auto" w:fill="auto"/>
                  <w:vAlign w:val="center"/>
                </w:tcPr>
                <w:p w14:paraId="1C0C7FEF">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NH</w:t>
                  </w:r>
                  <w:r>
                    <w:rPr>
                      <w:rFonts w:hint="default" w:ascii="Times New Roman" w:hAnsi="Times New Roman" w:cs="Times New Roman"/>
                      <w:bCs/>
                      <w:color w:val="000000" w:themeColor="text1"/>
                      <w:sz w:val="21"/>
                      <w:szCs w:val="21"/>
                      <w:vertAlign w:val="subscript"/>
                      <w14:textFill>
                        <w14:solidFill>
                          <w14:schemeClr w14:val="tx1"/>
                        </w14:solidFill>
                      </w14:textFill>
                    </w:rPr>
                    <w:t>3</w:t>
                  </w:r>
                  <w:r>
                    <w:rPr>
                      <w:rFonts w:hint="default" w:ascii="Times New Roman" w:hAnsi="Times New Roman" w:cs="Times New Roman"/>
                      <w:bCs/>
                      <w:color w:val="000000" w:themeColor="text1"/>
                      <w:sz w:val="21"/>
                      <w:szCs w:val="21"/>
                      <w14:textFill>
                        <w14:solidFill>
                          <w14:schemeClr w14:val="tx1"/>
                        </w14:solidFill>
                      </w14:textFill>
                    </w:rPr>
                    <w:t>-N</w:t>
                  </w:r>
                </w:p>
              </w:tc>
              <w:tc>
                <w:tcPr>
                  <w:tcW w:w="2003" w:type="pct"/>
                  <w:vAlign w:val="center"/>
                </w:tcPr>
                <w:p w14:paraId="2812DDEC">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25</w:t>
                  </w:r>
                  <w:r>
                    <w:rPr>
                      <w:rFonts w:hint="default" w:ascii="Times New Roman" w:hAnsi="Times New Roman" w:cs="Times New Roman"/>
                      <w:color w:val="000000" w:themeColor="text1"/>
                      <w:sz w:val="21"/>
                      <w:szCs w:val="21"/>
                      <w14:textFill>
                        <w14:solidFill>
                          <w14:schemeClr w14:val="tx1"/>
                        </w14:solidFill>
                      </w14:textFill>
                    </w:rPr>
                    <w:t>mg/L</w:t>
                  </w:r>
                </w:p>
              </w:tc>
            </w:tr>
            <w:tr w14:paraId="45202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2C6D40F9">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vAlign w:val="center"/>
                </w:tcPr>
                <w:p w14:paraId="63416C2D">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362" w:type="pct"/>
                  <w:vMerge w:val="continue"/>
                  <w:vAlign w:val="center"/>
                </w:tcPr>
                <w:p w14:paraId="593B3A1E">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shd w:val="clear" w:color="auto" w:fill="auto"/>
                  <w:vAlign w:val="center"/>
                </w:tcPr>
                <w:p w14:paraId="0D04CFED">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TN</w:t>
                  </w:r>
                </w:p>
              </w:tc>
              <w:tc>
                <w:tcPr>
                  <w:tcW w:w="2003" w:type="pct"/>
                  <w:vAlign w:val="center"/>
                </w:tcPr>
                <w:p w14:paraId="098C7849">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40</w:t>
                  </w:r>
                  <w:r>
                    <w:rPr>
                      <w:rFonts w:hint="default" w:ascii="Times New Roman" w:hAnsi="Times New Roman" w:cs="Times New Roman"/>
                      <w:color w:val="000000" w:themeColor="text1"/>
                      <w:sz w:val="21"/>
                      <w:szCs w:val="21"/>
                      <w14:textFill>
                        <w14:solidFill>
                          <w14:schemeClr w14:val="tx1"/>
                        </w14:solidFill>
                      </w14:textFill>
                    </w:rPr>
                    <w:t>mg/L</w:t>
                  </w:r>
                </w:p>
              </w:tc>
            </w:tr>
            <w:tr w14:paraId="45133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pct"/>
                  <w:vMerge w:val="continue"/>
                  <w:vAlign w:val="center"/>
                </w:tcPr>
                <w:p w14:paraId="7555C3AB">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shd w:val="clear" w:color="auto" w:fill="auto"/>
                  <w:vAlign w:val="center"/>
                </w:tcPr>
                <w:p w14:paraId="7180E4FA">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continue"/>
                  <w:shd w:val="clear" w:color="auto" w:fill="auto"/>
                  <w:vAlign w:val="center"/>
                </w:tcPr>
                <w:p w14:paraId="30285313">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597" w:type="pct"/>
                  <w:shd w:val="clear" w:color="auto" w:fill="auto"/>
                  <w:vAlign w:val="center"/>
                </w:tcPr>
                <w:p w14:paraId="225E26B2">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TP</w:t>
                  </w:r>
                </w:p>
              </w:tc>
              <w:tc>
                <w:tcPr>
                  <w:tcW w:w="2003" w:type="pct"/>
                  <w:shd w:val="clear" w:color="auto" w:fill="auto"/>
                  <w:vAlign w:val="center"/>
                </w:tcPr>
                <w:p w14:paraId="03A2AF2C">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3.0</w:t>
                  </w:r>
                  <w:r>
                    <w:rPr>
                      <w:rFonts w:hint="default" w:ascii="Times New Roman" w:hAnsi="Times New Roman" w:cs="Times New Roman"/>
                      <w:color w:val="000000" w:themeColor="text1"/>
                      <w:sz w:val="21"/>
                      <w:szCs w:val="21"/>
                      <w14:textFill>
                        <w14:solidFill>
                          <w14:schemeClr w14:val="tx1"/>
                        </w14:solidFill>
                      </w14:textFill>
                    </w:rPr>
                    <w:t>mg/L</w:t>
                  </w:r>
                </w:p>
              </w:tc>
            </w:tr>
            <w:tr w14:paraId="39C54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09EEB8ED">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shd w:val="clear" w:color="auto" w:fill="auto"/>
                  <w:vAlign w:val="center"/>
                </w:tcPr>
                <w:p w14:paraId="0AEDF638">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continue"/>
                  <w:shd w:val="clear" w:color="auto" w:fill="auto"/>
                  <w:vAlign w:val="center"/>
                </w:tcPr>
                <w:p w14:paraId="7BEDFDDB">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597" w:type="pct"/>
                  <w:shd w:val="clear" w:color="auto" w:fill="auto"/>
                  <w:vAlign w:val="center"/>
                </w:tcPr>
                <w:p w14:paraId="19CDDE94">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单位产品基准排水量</w:t>
                  </w:r>
                </w:p>
              </w:tc>
              <w:tc>
                <w:tcPr>
                  <w:tcW w:w="2003" w:type="pct"/>
                  <w:shd w:val="clear" w:color="auto" w:fill="auto"/>
                  <w:vAlign w:val="center"/>
                </w:tcPr>
                <w:p w14:paraId="0DE620C5">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5.0m</w:t>
                  </w:r>
                  <w:r>
                    <w:rPr>
                      <w:rFonts w:hint="default" w:ascii="Times New Roman" w:hAnsi="Times New Roman" w:cs="Times New Roman"/>
                      <w:bCs/>
                      <w:color w:val="000000" w:themeColor="text1"/>
                      <w:sz w:val="21"/>
                      <w:szCs w:val="21"/>
                      <w:vertAlign w:val="superscript"/>
                      <w14:textFill>
                        <w14:solidFill>
                          <w14:schemeClr w14:val="tx1"/>
                        </w14:solidFill>
                      </w14:textFill>
                    </w:rPr>
                    <w:t>3</w:t>
                  </w:r>
                  <w:r>
                    <w:rPr>
                      <w:rFonts w:hint="default" w:ascii="Times New Roman" w:hAnsi="Times New Roman" w:cs="Times New Roman"/>
                      <w:bCs/>
                      <w:color w:val="000000" w:themeColor="text1"/>
                      <w:sz w:val="21"/>
                      <w:szCs w:val="21"/>
                      <w14:textFill>
                        <w14:solidFill>
                          <w14:schemeClr w14:val="tx1"/>
                        </w14:solidFill>
                      </w14:textFill>
                    </w:rPr>
                    <w:t>/kL-啤酒</w:t>
                  </w:r>
                </w:p>
              </w:tc>
            </w:tr>
            <w:tr w14:paraId="171F87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6FC988C1">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shd w:val="clear" w:color="auto" w:fill="auto"/>
                  <w:vAlign w:val="center"/>
                </w:tcPr>
                <w:p w14:paraId="03622035">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continue"/>
                  <w:shd w:val="clear" w:color="auto" w:fill="auto"/>
                  <w:vAlign w:val="center"/>
                </w:tcPr>
                <w:p w14:paraId="0480AC3D">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597" w:type="pct"/>
                  <w:shd w:val="clear" w:color="auto" w:fill="auto"/>
                  <w:vAlign w:val="center"/>
                </w:tcPr>
                <w:p w14:paraId="6CD6D1BB">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本项目啤酒生产线废水排放量</w:t>
                  </w:r>
                </w:p>
              </w:tc>
              <w:tc>
                <w:tcPr>
                  <w:tcW w:w="2003" w:type="pct"/>
                  <w:shd w:val="clear" w:color="auto" w:fill="auto"/>
                  <w:vAlign w:val="center"/>
                </w:tcPr>
                <w:p w14:paraId="78935092">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821.633m</w:t>
                  </w:r>
                  <w:r>
                    <w:rPr>
                      <w:rFonts w:hint="default" w:ascii="Times New Roman" w:hAnsi="Times New Roman" w:cs="Times New Roman"/>
                      <w:bCs/>
                      <w:color w:val="000000" w:themeColor="text1"/>
                      <w:sz w:val="21"/>
                      <w:szCs w:val="21"/>
                      <w:vertAlign w:val="superscript"/>
                      <w14:textFill>
                        <w14:solidFill>
                          <w14:schemeClr w14:val="tx1"/>
                        </w14:solidFill>
                      </w14:textFill>
                    </w:rPr>
                    <w:t>3</w:t>
                  </w:r>
                  <w:r>
                    <w:rPr>
                      <w:rFonts w:hint="default" w:ascii="Times New Roman" w:hAnsi="Times New Roman" w:cs="Times New Roman"/>
                      <w:bCs/>
                      <w:color w:val="000000" w:themeColor="text1"/>
                      <w:sz w:val="21"/>
                      <w:szCs w:val="21"/>
                      <w14:textFill>
                        <w14:solidFill>
                          <w14:schemeClr w14:val="tx1"/>
                        </w14:solidFill>
                      </w14:textFill>
                    </w:rPr>
                    <w:t>÷201.095kL=4.086m</w:t>
                  </w:r>
                  <w:r>
                    <w:rPr>
                      <w:rFonts w:hint="default" w:ascii="Times New Roman" w:hAnsi="Times New Roman" w:cs="Times New Roman"/>
                      <w:bCs/>
                      <w:color w:val="000000" w:themeColor="text1"/>
                      <w:sz w:val="21"/>
                      <w:szCs w:val="21"/>
                      <w:vertAlign w:val="superscript"/>
                      <w14:textFill>
                        <w14:solidFill>
                          <w14:schemeClr w14:val="tx1"/>
                        </w14:solidFill>
                      </w14:textFill>
                    </w:rPr>
                    <w:t>3</w:t>
                  </w:r>
                  <w:r>
                    <w:rPr>
                      <w:rFonts w:hint="default" w:ascii="Times New Roman" w:hAnsi="Times New Roman" w:cs="Times New Roman"/>
                      <w:bCs/>
                      <w:color w:val="000000" w:themeColor="text1"/>
                      <w:sz w:val="21"/>
                      <w:szCs w:val="21"/>
                      <w14:textFill>
                        <w14:solidFill>
                          <w14:schemeClr w14:val="tx1"/>
                        </w14:solidFill>
                      </w14:textFill>
                    </w:rPr>
                    <w:t>/kL</w:t>
                  </w:r>
                </w:p>
              </w:tc>
            </w:tr>
            <w:tr w14:paraId="71171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3E36A9B9">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shd w:val="clear" w:color="auto" w:fill="auto"/>
                  <w:vAlign w:val="center"/>
                </w:tcPr>
                <w:p w14:paraId="665E0BC3">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restart"/>
                  <w:shd w:val="clear" w:color="auto" w:fill="auto"/>
                  <w:vAlign w:val="center"/>
                </w:tcPr>
                <w:p w14:paraId="54CC867A">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厂区总排口最终执行</w:t>
                  </w:r>
                </w:p>
              </w:tc>
              <w:tc>
                <w:tcPr>
                  <w:tcW w:w="1106" w:type="dxa"/>
                  <w:shd w:val="clear" w:color="auto" w:fill="auto"/>
                  <w:vAlign w:val="center"/>
                </w:tcPr>
                <w:p w14:paraId="30D89D96">
                  <w:pPr>
                    <w:adjustRightInd w:val="0"/>
                    <w:snapToGrid w:val="0"/>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pH值</w:t>
                  </w:r>
                </w:p>
              </w:tc>
              <w:tc>
                <w:tcPr>
                  <w:tcW w:w="3713" w:type="dxa"/>
                  <w:shd w:val="clear" w:color="auto" w:fill="auto"/>
                  <w:vAlign w:val="center"/>
                </w:tcPr>
                <w:p w14:paraId="4D0B942F">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6-9（无量纲）</w:t>
                  </w:r>
                </w:p>
              </w:tc>
            </w:tr>
            <w:tr w14:paraId="41107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18B64C12">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shd w:val="clear" w:color="auto" w:fill="auto"/>
                  <w:vAlign w:val="center"/>
                </w:tcPr>
                <w:p w14:paraId="05AC3FFE">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continue"/>
                  <w:shd w:val="clear" w:color="auto" w:fill="auto"/>
                  <w:vAlign w:val="center"/>
                </w:tcPr>
                <w:p w14:paraId="3350B7D5">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106" w:type="dxa"/>
                  <w:shd w:val="clear" w:color="auto" w:fill="auto"/>
                  <w:vAlign w:val="center"/>
                </w:tcPr>
                <w:p w14:paraId="53EC4A6C">
                  <w:pPr>
                    <w:snapToGrid w:val="0"/>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COD</w:t>
                  </w:r>
                </w:p>
              </w:tc>
              <w:tc>
                <w:tcPr>
                  <w:tcW w:w="2003" w:type="pct"/>
                  <w:shd w:val="clear" w:color="auto" w:fill="auto"/>
                  <w:vAlign w:val="center"/>
                </w:tcPr>
                <w:p w14:paraId="4CDD50B6">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150</w:t>
                  </w:r>
                  <w:r>
                    <w:rPr>
                      <w:rFonts w:hint="default" w:ascii="Times New Roman" w:hAnsi="Times New Roman" w:cs="Times New Roman"/>
                      <w:color w:val="000000" w:themeColor="text1"/>
                      <w:sz w:val="21"/>
                      <w:szCs w:val="21"/>
                      <w14:textFill>
                        <w14:solidFill>
                          <w14:schemeClr w14:val="tx1"/>
                        </w14:solidFill>
                      </w14:textFill>
                    </w:rPr>
                    <w:t>mg/L</w:t>
                  </w:r>
                </w:p>
              </w:tc>
            </w:tr>
            <w:tr w14:paraId="03757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62F160DA">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shd w:val="clear" w:color="auto" w:fill="auto"/>
                  <w:vAlign w:val="center"/>
                </w:tcPr>
                <w:p w14:paraId="7FD961B5">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continue"/>
                  <w:shd w:val="clear" w:color="auto" w:fill="auto"/>
                  <w:vAlign w:val="center"/>
                </w:tcPr>
                <w:p w14:paraId="3A0950EC">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106" w:type="dxa"/>
                  <w:shd w:val="clear" w:color="auto" w:fill="auto"/>
                  <w:vAlign w:val="center"/>
                </w:tcPr>
                <w:p w14:paraId="11BE442D">
                  <w:pPr>
                    <w:pStyle w:val="7"/>
                    <w:ind w:firstLine="0" w:firstLineChars="0"/>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BOD</w:t>
                  </w:r>
                  <w:r>
                    <w:rPr>
                      <w:rFonts w:hint="default" w:ascii="Times New Roman" w:hAnsi="Times New Roman" w:cs="Times New Roman"/>
                      <w:color w:val="000000" w:themeColor="text1"/>
                      <w:sz w:val="21"/>
                      <w:szCs w:val="21"/>
                      <w:vertAlign w:val="subscript"/>
                      <w14:textFill>
                        <w14:solidFill>
                          <w14:schemeClr w14:val="tx1"/>
                        </w14:solidFill>
                      </w14:textFill>
                    </w:rPr>
                    <w:t>5</w:t>
                  </w:r>
                </w:p>
              </w:tc>
              <w:tc>
                <w:tcPr>
                  <w:tcW w:w="2003" w:type="pct"/>
                  <w:shd w:val="clear" w:color="auto" w:fill="auto"/>
                  <w:vAlign w:val="center"/>
                </w:tcPr>
                <w:p w14:paraId="4241DE40">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40</w:t>
                  </w:r>
                  <w:r>
                    <w:rPr>
                      <w:rFonts w:hint="default" w:ascii="Times New Roman" w:hAnsi="Times New Roman" w:cs="Times New Roman"/>
                      <w:color w:val="000000" w:themeColor="text1"/>
                      <w:sz w:val="21"/>
                      <w:szCs w:val="21"/>
                      <w14:textFill>
                        <w14:solidFill>
                          <w14:schemeClr w14:val="tx1"/>
                        </w14:solidFill>
                      </w14:textFill>
                    </w:rPr>
                    <w:t>mg/L</w:t>
                  </w:r>
                </w:p>
              </w:tc>
            </w:tr>
            <w:tr w14:paraId="670F8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5BF5FE36">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shd w:val="clear" w:color="auto" w:fill="auto"/>
                  <w:vAlign w:val="center"/>
                </w:tcPr>
                <w:p w14:paraId="054DD461">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continue"/>
                  <w:shd w:val="clear" w:color="auto" w:fill="auto"/>
                  <w:vAlign w:val="center"/>
                </w:tcPr>
                <w:p w14:paraId="72B4CD75">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106" w:type="dxa"/>
                  <w:shd w:val="clear" w:color="auto" w:fill="auto"/>
                  <w:vAlign w:val="center"/>
                </w:tcPr>
                <w:p w14:paraId="3AAE9F51">
                  <w:pPr>
                    <w:snapToGrid w:val="0"/>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SS</w:t>
                  </w:r>
                </w:p>
              </w:tc>
              <w:tc>
                <w:tcPr>
                  <w:tcW w:w="2003" w:type="pct"/>
                  <w:shd w:val="clear" w:color="auto" w:fill="auto"/>
                  <w:vAlign w:val="center"/>
                </w:tcPr>
                <w:p w14:paraId="00AD745E">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100</w:t>
                  </w:r>
                  <w:r>
                    <w:rPr>
                      <w:rFonts w:hint="default" w:ascii="Times New Roman" w:hAnsi="Times New Roman" w:cs="Times New Roman"/>
                      <w:color w:val="000000" w:themeColor="text1"/>
                      <w:sz w:val="21"/>
                      <w:szCs w:val="21"/>
                      <w14:textFill>
                        <w14:solidFill>
                          <w14:schemeClr w14:val="tx1"/>
                        </w14:solidFill>
                      </w14:textFill>
                    </w:rPr>
                    <w:t>mg/L</w:t>
                  </w:r>
                </w:p>
              </w:tc>
            </w:tr>
            <w:tr w14:paraId="776B71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5DA8D3E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shd w:val="clear" w:color="auto" w:fill="auto"/>
                  <w:vAlign w:val="center"/>
                </w:tcPr>
                <w:p w14:paraId="1027AD9A">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continue"/>
                  <w:shd w:val="clear" w:color="auto" w:fill="auto"/>
                  <w:vAlign w:val="center"/>
                </w:tcPr>
                <w:p w14:paraId="5FCC93DA">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106" w:type="dxa"/>
                  <w:shd w:val="clear" w:color="auto" w:fill="auto"/>
                  <w:vAlign w:val="center"/>
                </w:tcPr>
                <w:p w14:paraId="4BEDBFFC">
                  <w:pPr>
                    <w:snapToGrid w:val="0"/>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NH</w:t>
                  </w:r>
                  <w:r>
                    <w:rPr>
                      <w:rFonts w:hint="default" w:ascii="Times New Roman" w:hAnsi="Times New Roman" w:cs="Times New Roman"/>
                      <w:color w:val="000000" w:themeColor="text1"/>
                      <w:sz w:val="21"/>
                      <w:szCs w:val="21"/>
                      <w:vertAlign w:val="sub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w:t>
                  </w:r>
                </w:p>
              </w:tc>
              <w:tc>
                <w:tcPr>
                  <w:tcW w:w="2003" w:type="pct"/>
                  <w:shd w:val="clear" w:color="auto" w:fill="auto"/>
                  <w:vAlign w:val="center"/>
                </w:tcPr>
                <w:p w14:paraId="429F69A4">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25</w:t>
                  </w:r>
                  <w:r>
                    <w:rPr>
                      <w:rFonts w:hint="default" w:ascii="Times New Roman" w:hAnsi="Times New Roman" w:cs="Times New Roman"/>
                      <w:color w:val="000000" w:themeColor="text1"/>
                      <w:sz w:val="21"/>
                      <w:szCs w:val="21"/>
                      <w14:textFill>
                        <w14:solidFill>
                          <w14:schemeClr w14:val="tx1"/>
                        </w14:solidFill>
                      </w14:textFill>
                    </w:rPr>
                    <w:t>mg/L</w:t>
                  </w:r>
                </w:p>
              </w:tc>
            </w:tr>
            <w:tr w14:paraId="4F66D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40C777FA">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shd w:val="clear" w:color="auto" w:fill="auto"/>
                  <w:vAlign w:val="center"/>
                </w:tcPr>
                <w:p w14:paraId="0908ED3B">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continue"/>
                  <w:shd w:val="clear" w:color="auto" w:fill="auto"/>
                  <w:vAlign w:val="center"/>
                </w:tcPr>
                <w:p w14:paraId="3FB96A95">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106" w:type="dxa"/>
                  <w:shd w:val="clear" w:color="auto" w:fill="auto"/>
                  <w:vAlign w:val="center"/>
                </w:tcPr>
                <w:p w14:paraId="05039E33">
                  <w:pPr>
                    <w:adjustRightInd w:val="0"/>
                    <w:snapToGrid w:val="0"/>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TN</w:t>
                  </w:r>
                </w:p>
              </w:tc>
              <w:tc>
                <w:tcPr>
                  <w:tcW w:w="2003" w:type="pct"/>
                  <w:shd w:val="clear" w:color="auto" w:fill="auto"/>
                  <w:vAlign w:val="center"/>
                </w:tcPr>
                <w:p w14:paraId="20DC48AE">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40</w:t>
                  </w:r>
                  <w:r>
                    <w:rPr>
                      <w:rFonts w:hint="default" w:ascii="Times New Roman" w:hAnsi="Times New Roman" w:cs="Times New Roman"/>
                      <w:color w:val="000000" w:themeColor="text1"/>
                      <w:sz w:val="21"/>
                      <w:szCs w:val="21"/>
                      <w14:textFill>
                        <w14:solidFill>
                          <w14:schemeClr w14:val="tx1"/>
                        </w14:solidFill>
                      </w14:textFill>
                    </w:rPr>
                    <w:t>mg/L</w:t>
                  </w:r>
                </w:p>
              </w:tc>
            </w:tr>
            <w:tr w14:paraId="5F36A4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3ECF184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83" w:type="pct"/>
                  <w:vMerge w:val="continue"/>
                  <w:shd w:val="clear" w:color="auto" w:fill="auto"/>
                  <w:vAlign w:val="center"/>
                </w:tcPr>
                <w:p w14:paraId="77138617">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362" w:type="pct"/>
                  <w:vMerge w:val="continue"/>
                  <w:shd w:val="clear" w:color="auto" w:fill="auto"/>
                  <w:vAlign w:val="center"/>
                </w:tcPr>
                <w:p w14:paraId="0A4E7415">
                  <w:pPr>
                    <w:jc w:val="center"/>
                    <w:rPr>
                      <w:rFonts w:hint="default" w:ascii="Times New Roman" w:hAnsi="Times New Roman" w:cs="Times New Roman"/>
                      <w:bCs/>
                      <w:color w:val="000000" w:themeColor="text1"/>
                      <w:sz w:val="21"/>
                      <w:szCs w:val="21"/>
                      <w14:textFill>
                        <w14:solidFill>
                          <w14:schemeClr w14:val="tx1"/>
                        </w14:solidFill>
                      </w14:textFill>
                    </w:rPr>
                  </w:pPr>
                </w:p>
              </w:tc>
              <w:tc>
                <w:tcPr>
                  <w:tcW w:w="1106" w:type="dxa"/>
                  <w:shd w:val="clear" w:color="auto" w:fill="auto"/>
                  <w:vAlign w:val="center"/>
                </w:tcPr>
                <w:p w14:paraId="78AABA05">
                  <w:pPr>
                    <w:adjustRightInd w:val="0"/>
                    <w:snapToGrid w:val="0"/>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TP</w:t>
                  </w:r>
                </w:p>
              </w:tc>
              <w:tc>
                <w:tcPr>
                  <w:tcW w:w="2003" w:type="pct"/>
                  <w:shd w:val="clear" w:color="auto" w:fill="auto"/>
                  <w:vAlign w:val="center"/>
                </w:tcPr>
                <w:p w14:paraId="141D3977">
                  <w:pPr>
                    <w:jc w:val="center"/>
                    <w:rPr>
                      <w:rFonts w:hint="default" w:ascii="Times New Roman" w:hAnsi="Times New Roman" w:cs="Times New Roman"/>
                      <w:bCs/>
                      <w:color w:val="000000" w:themeColor="text1"/>
                      <w:sz w:val="21"/>
                      <w:szCs w:val="21"/>
                      <w14:textFill>
                        <w14:solidFill>
                          <w14:schemeClr w14:val="tx1"/>
                        </w14:solidFill>
                      </w14:textFill>
                    </w:rPr>
                  </w:pPr>
                  <w:r>
                    <w:rPr>
                      <w:rFonts w:hint="default" w:ascii="Times New Roman" w:hAnsi="Times New Roman" w:cs="Times New Roman"/>
                      <w:bCs/>
                      <w:color w:val="000000" w:themeColor="text1"/>
                      <w:sz w:val="21"/>
                      <w:szCs w:val="21"/>
                      <w14:textFill>
                        <w14:solidFill>
                          <w14:schemeClr w14:val="tx1"/>
                        </w14:solidFill>
                      </w14:textFill>
                    </w:rPr>
                    <w:t>3.0</w:t>
                  </w:r>
                  <w:r>
                    <w:rPr>
                      <w:rFonts w:hint="default" w:ascii="Times New Roman" w:hAnsi="Times New Roman" w:cs="Times New Roman"/>
                      <w:color w:val="000000" w:themeColor="text1"/>
                      <w:sz w:val="21"/>
                      <w:szCs w:val="21"/>
                      <w14:textFill>
                        <w14:solidFill>
                          <w14:schemeClr w14:val="tx1"/>
                        </w14:solidFill>
                      </w14:textFill>
                    </w:rPr>
                    <w:t>mg/L</w:t>
                  </w:r>
                </w:p>
              </w:tc>
            </w:tr>
            <w:tr w14:paraId="05E535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restart"/>
                  <w:vAlign w:val="center"/>
                </w:tcPr>
                <w:p w14:paraId="7DD56EFC">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w:t>
                  </w:r>
                </w:p>
              </w:tc>
              <w:tc>
                <w:tcPr>
                  <w:tcW w:w="1946" w:type="pct"/>
                  <w:gridSpan w:val="2"/>
                  <w:vMerge w:val="restart"/>
                  <w:vAlign w:val="center"/>
                </w:tcPr>
                <w:p w14:paraId="315AFC48">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《建筑施工场界环境噪声排放标准》（GB12523-2011）</w:t>
                  </w:r>
                </w:p>
              </w:tc>
              <w:tc>
                <w:tcPr>
                  <w:tcW w:w="597" w:type="pct"/>
                  <w:vMerge w:val="restart"/>
                  <w:vAlign w:val="center"/>
                </w:tcPr>
                <w:p w14:paraId="58F78016">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表1施工场界</w:t>
                  </w:r>
                </w:p>
              </w:tc>
              <w:tc>
                <w:tcPr>
                  <w:tcW w:w="2003" w:type="pct"/>
                  <w:shd w:val="clear" w:color="auto" w:fill="auto"/>
                  <w:vAlign w:val="center"/>
                </w:tcPr>
                <w:p w14:paraId="1C3D7FFB">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昼间：70dB(A)</w:t>
                  </w:r>
                </w:p>
              </w:tc>
            </w:tr>
            <w:tr w14:paraId="54DF3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04578D9B">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5DACF0F7">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vMerge w:val="continue"/>
                  <w:vAlign w:val="center"/>
                </w:tcPr>
                <w:p w14:paraId="792B39A7">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2003" w:type="pct"/>
                  <w:shd w:val="clear" w:color="auto" w:fill="auto"/>
                  <w:vAlign w:val="center"/>
                </w:tcPr>
                <w:p w14:paraId="38444E23">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夜间：55dB(A)</w:t>
                  </w:r>
                </w:p>
              </w:tc>
            </w:tr>
            <w:tr w14:paraId="70223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7B8CC83D">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restart"/>
                  <w:vAlign w:val="center"/>
                </w:tcPr>
                <w:p w14:paraId="18B8DF88">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《工业企业厂界环境噪声排放标准》(GB12348-2008)</w:t>
                  </w:r>
                </w:p>
              </w:tc>
              <w:tc>
                <w:tcPr>
                  <w:tcW w:w="597" w:type="pct"/>
                  <w:vMerge w:val="restart"/>
                  <w:vAlign w:val="center"/>
                </w:tcPr>
                <w:p w14:paraId="7FC237C1">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2类</w:t>
                  </w:r>
                </w:p>
              </w:tc>
              <w:tc>
                <w:tcPr>
                  <w:tcW w:w="2003" w:type="pct"/>
                  <w:vAlign w:val="center"/>
                </w:tcPr>
                <w:p w14:paraId="25ED87A4">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昼间：60dB(A)</w:t>
                  </w:r>
                </w:p>
              </w:tc>
            </w:tr>
            <w:tr w14:paraId="0327C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Merge w:val="continue"/>
                  <w:vAlign w:val="center"/>
                </w:tcPr>
                <w:p w14:paraId="6ACD09C5">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1946" w:type="pct"/>
                  <w:gridSpan w:val="2"/>
                  <w:vMerge w:val="continue"/>
                  <w:vAlign w:val="center"/>
                </w:tcPr>
                <w:p w14:paraId="7107A551">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597" w:type="pct"/>
                  <w:vMerge w:val="continue"/>
                  <w:vAlign w:val="center"/>
                </w:tcPr>
                <w:p w14:paraId="7D691232">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p>
              </w:tc>
              <w:tc>
                <w:tcPr>
                  <w:tcW w:w="2003" w:type="pct"/>
                  <w:vAlign w:val="center"/>
                </w:tcPr>
                <w:p w14:paraId="4E625046">
                  <w:pPr>
                    <w:adjustRightInd w:val="0"/>
                    <w:snapToGrid w:val="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夜间：50dB(A)</w:t>
                  </w:r>
                </w:p>
              </w:tc>
            </w:tr>
            <w:tr w14:paraId="17252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52" w:type="pct"/>
                  <w:vAlign w:val="center"/>
                </w:tcPr>
                <w:p w14:paraId="0B773D92">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固废</w:t>
                  </w:r>
                </w:p>
              </w:tc>
              <w:tc>
                <w:tcPr>
                  <w:tcW w:w="4547" w:type="pct"/>
                  <w:gridSpan w:val="4"/>
                  <w:vAlign w:val="center"/>
                </w:tcPr>
                <w:p w14:paraId="3C6345F2">
                  <w:pPr>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一般工业固体废物执行《一般工业固体废物贮存和填埋污染控制标准》（GB18599-2020）中要求；危险废物执行《危险废物贮存污染控制标准》（GB18597-2023）中要求</w:t>
                  </w:r>
                </w:p>
              </w:tc>
            </w:tr>
            <w:tr w14:paraId="7FA4C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vAlign w:val="center"/>
                </w:tcPr>
                <w:p w14:paraId="2D8C9282">
                  <w:pP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备注：本项目废气排放口执行标准如下：①DA001：《大气污染物综合排放标准》（GB</w:t>
                  </w:r>
                  <w:r>
                    <w:rPr>
                      <w:rFonts w:hint="eastAsia" w:ascii="Times New Roman" w:hAnsi="Times New Roman" w:cs="Times New Roman"/>
                      <w:color w:val="000000" w:themeColor="text1"/>
                      <w:sz w:val="21"/>
                      <w:szCs w:val="21"/>
                      <w:lang w:val="en-US" w:eastAsia="zh-CN"/>
                      <w14:textFill>
                        <w14:solidFill>
                          <w14:schemeClr w14:val="tx1"/>
                        </w14:solidFill>
                      </w14:textFill>
                    </w:rPr>
                    <w:t>16297</w:t>
                  </w:r>
                  <w:r>
                    <w:rPr>
                      <w:rFonts w:hint="default" w:ascii="Times New Roman" w:hAnsi="Times New Roman" w:cs="Times New Roman"/>
                      <w:color w:val="000000" w:themeColor="text1"/>
                      <w:sz w:val="21"/>
                      <w:szCs w:val="21"/>
                      <w14:textFill>
                        <w14:solidFill>
                          <w14:schemeClr w14:val="tx1"/>
                        </w14:solidFill>
                      </w14:textFill>
                    </w:rPr>
                    <w:t>-1996）表2中二级标准（120mg/m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）、《河南省重污染天气通用行业应急减排措施制定技术指南》（2024年修订版）通用行业（10mg/m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）；②DA002、DA003：《河南省地方标准 锅炉大气污染物排放标准》（DB41/2089-2021）表1中新建燃气锅炉标准（颗粒物：5mg/m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、SO</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：10mg/m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、NO</w:t>
                  </w:r>
                  <w:r>
                    <w:rPr>
                      <w:rFonts w:hint="default" w:ascii="Times New Roman" w:hAnsi="Times New Roman" w:cs="Times New Roman"/>
                      <w:color w:val="000000" w:themeColor="text1"/>
                      <w:sz w:val="21"/>
                      <w:szCs w:val="21"/>
                      <w:vertAlign w:val="subscript"/>
                      <w14:textFill>
                        <w14:solidFill>
                          <w14:schemeClr w14:val="tx1"/>
                        </w14:solidFill>
                      </w14:textFill>
                    </w:rPr>
                    <w:t>X</w:t>
                  </w:r>
                  <w:r>
                    <w:rPr>
                      <w:rFonts w:hint="default" w:ascii="Times New Roman" w:hAnsi="Times New Roman" w:cs="Times New Roman"/>
                      <w:color w:val="000000" w:themeColor="text1"/>
                      <w:sz w:val="21"/>
                      <w:szCs w:val="21"/>
                      <w14:textFill>
                        <w14:solidFill>
                          <w14:schemeClr w14:val="tx1"/>
                        </w14:solidFill>
                      </w14:textFill>
                    </w:rPr>
                    <w:t>：30mg/m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）、《河南省重污染天气通用行业应急减排措施制定技术指南》（2024年修订版）涉锅炉/炉窑企业绩效A级（颗粒物：5mg/m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、SO</w:t>
                  </w:r>
                  <w:r>
                    <w:rPr>
                      <w:rFonts w:hint="default" w:ascii="Times New Roman" w:hAnsi="Times New Roman" w:cs="Times New Roman"/>
                      <w:color w:val="000000" w:themeColor="text1"/>
                      <w:sz w:val="21"/>
                      <w:szCs w:val="21"/>
                      <w:vertAlign w:val="subscript"/>
                      <w14:textFill>
                        <w14:solidFill>
                          <w14:schemeClr w14:val="tx1"/>
                        </w14:solidFill>
                      </w14:textFill>
                    </w:rPr>
                    <w:t>2</w:t>
                  </w:r>
                  <w:r>
                    <w:rPr>
                      <w:rFonts w:hint="default" w:ascii="Times New Roman" w:hAnsi="Times New Roman" w:cs="Times New Roman"/>
                      <w:color w:val="000000" w:themeColor="text1"/>
                      <w:sz w:val="21"/>
                      <w:szCs w:val="21"/>
                      <w14:textFill>
                        <w14:solidFill>
                          <w14:schemeClr w14:val="tx1"/>
                        </w14:solidFill>
                      </w14:textFill>
                    </w:rPr>
                    <w:t>：10mg/m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、NO</w:t>
                  </w:r>
                  <w:r>
                    <w:rPr>
                      <w:rFonts w:hint="default" w:ascii="Times New Roman" w:hAnsi="Times New Roman" w:cs="Times New Roman"/>
                      <w:color w:val="000000" w:themeColor="text1"/>
                      <w:sz w:val="21"/>
                      <w:szCs w:val="21"/>
                      <w:vertAlign w:val="subscript"/>
                      <w14:textFill>
                        <w14:solidFill>
                          <w14:schemeClr w14:val="tx1"/>
                        </w14:solidFill>
                      </w14:textFill>
                    </w:rPr>
                    <w:t>X</w:t>
                  </w:r>
                  <w:r>
                    <w:rPr>
                      <w:rFonts w:hint="default" w:ascii="Times New Roman" w:hAnsi="Times New Roman" w:cs="Times New Roman"/>
                      <w:color w:val="000000" w:themeColor="text1"/>
                      <w:sz w:val="21"/>
                      <w:szCs w:val="21"/>
                      <w14:textFill>
                        <w14:solidFill>
                          <w14:schemeClr w14:val="tx1"/>
                        </w14:solidFill>
                      </w14:textFill>
                    </w:rPr>
                    <w:t>：30mg/m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）；③DA004：</w:t>
                  </w:r>
                  <w:r>
                    <w:rPr>
                      <w:rFonts w:hint="eastAsia" w:ascii="Times New Roman" w:hAnsi="Times New Roman" w:cs="Times New Roman"/>
                      <w:color w:val="000000" w:themeColor="text1"/>
                      <w:sz w:val="21"/>
                      <w:szCs w:val="21"/>
                      <w:lang w:eastAsia="zh-CN"/>
                      <w14:textFill>
                        <w14:solidFill>
                          <w14:schemeClr w14:val="tx1"/>
                        </w14:solidFill>
                      </w14:textFill>
                    </w:rPr>
                    <w:t>《大气污染物综合排放标准》（GB16297-1996）</w:t>
                  </w:r>
                  <w:r>
                    <w:rPr>
                      <w:rFonts w:hint="default" w:ascii="Times New Roman" w:hAnsi="Times New Roman" w:cs="Times New Roman"/>
                      <w:color w:val="000000" w:themeColor="text1"/>
                      <w:sz w:val="21"/>
                      <w:szCs w:val="21"/>
                      <w14:textFill>
                        <w14:solidFill>
                          <w14:schemeClr w14:val="tx1"/>
                        </w14:solidFill>
                      </w14:textFill>
                    </w:rPr>
                    <w:t>表2中二级标准（120mg/m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）、《关于全省开展工业企业挥发性有机物专项治理工作中排放建议值的通知》（豫环攻坚办[2017]162号）中“其他行业”（80mg/m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）、《河南省重污染天气通用行业应急减排措施制定技术指南》（2024年修订版）通用行业（30mg/m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）；④DA005：</w:t>
                  </w:r>
                  <w:r>
                    <w:rPr>
                      <w:rFonts w:hint="eastAsia" w:ascii="Times New Roman" w:hAnsi="Times New Roman" w:cs="Times New Roman"/>
                      <w:color w:val="000000" w:themeColor="text1"/>
                      <w:sz w:val="21"/>
                      <w:szCs w:val="21"/>
                      <w:lang w:eastAsia="zh-CN"/>
                      <w14:textFill>
                        <w14:solidFill>
                          <w14:schemeClr w14:val="tx1"/>
                        </w14:solidFill>
                      </w14:textFill>
                    </w:rPr>
                    <w:t>《大气污染物综合排放标准》（GB16297-1996）</w:t>
                  </w:r>
                  <w:r>
                    <w:rPr>
                      <w:rFonts w:hint="default" w:ascii="Times New Roman" w:hAnsi="Times New Roman" w:cs="Times New Roman"/>
                      <w:color w:val="000000" w:themeColor="text1"/>
                      <w:sz w:val="21"/>
                      <w:szCs w:val="21"/>
                      <w14:textFill>
                        <w14:solidFill>
                          <w14:schemeClr w14:val="tx1"/>
                        </w14:solidFill>
                      </w14:textFill>
                    </w:rPr>
                    <w:t>表2中二级标准（120mg/m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）、《河南省重污染天气通用行业应急减排措施制定技术指南》（2024年修订版）通用行业（10mg/m</w:t>
                  </w:r>
                  <w:r>
                    <w:rPr>
                      <w:rFonts w:hint="default" w:ascii="Times New Roman" w:hAnsi="Times New Roman" w:cs="Times New Roman"/>
                      <w:color w:val="000000" w:themeColor="text1"/>
                      <w:sz w:val="21"/>
                      <w:szCs w:val="21"/>
                      <w:vertAlign w:val="superscript"/>
                      <w14:textFill>
                        <w14:solidFill>
                          <w14:schemeClr w14:val="tx1"/>
                        </w14:solidFill>
                      </w14:textFill>
                    </w:rPr>
                    <w:t>3</w:t>
                  </w:r>
                  <w:r>
                    <w:rPr>
                      <w:rFonts w:hint="default" w:ascii="Times New Roman" w:hAnsi="Times New Roman" w:cs="Times New Roman"/>
                      <w:color w:val="000000" w:themeColor="text1"/>
                      <w:sz w:val="21"/>
                      <w:szCs w:val="21"/>
                      <w14:textFill>
                        <w14:solidFill>
                          <w14:schemeClr w14:val="tx1"/>
                        </w14:solidFill>
                      </w14:textFill>
                    </w:rPr>
                    <w:t>）。</w:t>
                  </w:r>
                </w:p>
              </w:tc>
            </w:tr>
          </w:tbl>
          <w:p w14:paraId="64494F68">
            <w:pPr>
              <w:adjustRightInd w:val="0"/>
              <w:snapToGrid w:val="0"/>
              <w:spacing w:line="520" w:lineRule="exact"/>
              <w:ind w:firstLine="480" w:firstLineChars="200"/>
              <w:rPr>
                <w:color w:val="000000" w:themeColor="text1"/>
                <w:kern w:val="21"/>
                <w:sz w:val="24"/>
                <w14:textFill>
                  <w14:solidFill>
                    <w14:schemeClr w14:val="tx1"/>
                  </w14:solidFill>
                </w14:textFill>
              </w:rPr>
            </w:pPr>
          </w:p>
        </w:tc>
      </w:tr>
      <w:tr w14:paraId="6AB73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233" w:type="pct"/>
            <w:tcBorders>
              <w:tl2br w:val="nil"/>
              <w:tr2bl w:val="nil"/>
            </w:tcBorders>
            <w:vAlign w:val="center"/>
          </w:tcPr>
          <w:p w14:paraId="2310EA44">
            <w:pPr>
              <w:adjustRightInd w:val="0"/>
              <w:snapToGrid w:val="0"/>
              <w:jc w:val="center"/>
              <w:rPr>
                <w:color w:val="000000" w:themeColor="text1"/>
                <w:kern w:val="21"/>
                <w:sz w:val="24"/>
                <w14:textFill>
                  <w14:solidFill>
                    <w14:schemeClr w14:val="tx1"/>
                  </w14:solidFill>
                </w14:textFill>
              </w:rPr>
            </w:pPr>
            <w:r>
              <w:rPr>
                <w:color w:val="000000" w:themeColor="text1"/>
                <w:kern w:val="21"/>
                <w:sz w:val="24"/>
                <w14:textFill>
                  <w14:solidFill>
                    <w14:schemeClr w14:val="tx1"/>
                  </w14:solidFill>
                </w14:textFill>
              </w:rPr>
              <w:t>总量控制指标</w:t>
            </w:r>
          </w:p>
        </w:tc>
        <w:tc>
          <w:tcPr>
            <w:tcW w:w="4766" w:type="pct"/>
            <w:tcBorders>
              <w:tl2br w:val="nil"/>
              <w:tr2bl w:val="nil"/>
            </w:tcBorders>
            <w:vAlign w:val="center"/>
          </w:tcPr>
          <w:p w14:paraId="58DBB221">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国务院关于印发“十四五”节能减排综合工作方案的通知》（国发〔2021〕33号）、生态环境部办公厅《关于做好“十四五”主要污染物总量减排工作的通知》（环办综合函〔2021〕323号），“十四五”时期，国家明确列入总量减排的主要污染物为：化学需氧量、氨氮、氮氧化物、挥发性有机物四项。</w:t>
            </w:r>
          </w:p>
          <w:p w14:paraId="4A1176B0">
            <w:pPr>
              <w:spacing w:line="360" w:lineRule="auto"/>
              <w:ind w:firstLine="480" w:firstLineChars="200"/>
              <w:rPr>
                <w:rFonts w:cs="宋体"/>
                <w:color w:val="000000" w:themeColor="text1"/>
                <w:sz w:val="24"/>
                <w14:textFill>
                  <w14:solidFill>
                    <w14:schemeClr w14:val="tx1"/>
                  </w14:solidFill>
                </w14:textFill>
              </w:rPr>
            </w:pPr>
            <w:r>
              <w:rPr>
                <w:color w:val="000000" w:themeColor="text1"/>
                <w:kern w:val="0"/>
                <w:sz w:val="24"/>
                <w14:textFill>
                  <w14:solidFill>
                    <w14:schemeClr w14:val="tx1"/>
                  </w14:solidFill>
                </w14:textFill>
              </w:rPr>
              <w:t>（1）大气污染物总量：</w:t>
            </w:r>
            <w:r>
              <w:rPr>
                <w:rFonts w:hint="eastAsia" w:hAnsi="宋体"/>
                <w:color w:val="000000" w:themeColor="text1"/>
                <w:sz w:val="24"/>
                <w14:textFill>
                  <w14:solidFill>
                    <w14:schemeClr w14:val="tx1"/>
                  </w14:solidFill>
                </w14:textFill>
              </w:rPr>
              <w:t>本项目营运期废气主要为污染物为颗粒物、非甲烷总烃、SO</w:t>
            </w:r>
            <w:r>
              <w:rPr>
                <w:rFonts w:hint="eastAsia" w:hAnsi="宋体"/>
                <w:color w:val="000000" w:themeColor="text1"/>
                <w:sz w:val="24"/>
                <w:vertAlign w:val="subscript"/>
                <w14:textFill>
                  <w14:solidFill>
                    <w14:schemeClr w14:val="tx1"/>
                  </w14:solidFill>
                </w14:textFill>
              </w:rPr>
              <w:t>2</w:t>
            </w:r>
            <w:r>
              <w:rPr>
                <w:rFonts w:hint="eastAsia" w:hAnsi="宋体"/>
                <w:color w:val="000000" w:themeColor="text1"/>
                <w:sz w:val="24"/>
                <w14:textFill>
                  <w14:solidFill>
                    <w14:schemeClr w14:val="tx1"/>
                  </w14:solidFill>
                </w14:textFill>
              </w:rPr>
              <w:t>、NOx，</w:t>
            </w:r>
            <w:r>
              <w:rPr>
                <w:rFonts w:hint="eastAsia" w:cs="宋体"/>
                <w:color w:val="000000" w:themeColor="text1"/>
                <w:sz w:val="24"/>
                <w14:textFill>
                  <w14:solidFill>
                    <w14:schemeClr w14:val="tx1"/>
                  </w14:solidFill>
                </w14:textFill>
              </w:rPr>
              <w:t>项目废气总量控制指标（有组织）为颗粒物：0.015t/a、非甲烷总烃：0.002t/a、</w:t>
            </w:r>
            <w:r>
              <w:rPr>
                <w:rFonts w:hint="eastAsia" w:hAnsi="宋体"/>
                <w:color w:val="000000" w:themeColor="text1"/>
                <w:sz w:val="24"/>
                <w14:textFill>
                  <w14:solidFill>
                    <w14:schemeClr w14:val="tx1"/>
                  </w14:solidFill>
                </w14:textFill>
              </w:rPr>
              <w:t>SO</w:t>
            </w:r>
            <w:r>
              <w:rPr>
                <w:rFonts w:hint="eastAsia" w:hAnsi="宋体"/>
                <w:color w:val="000000" w:themeColor="text1"/>
                <w:sz w:val="24"/>
                <w:vertAlign w:val="subscript"/>
                <w14:textFill>
                  <w14:solidFill>
                    <w14:schemeClr w14:val="tx1"/>
                  </w14:solidFill>
                </w14:textFill>
              </w:rPr>
              <w:t>2</w:t>
            </w:r>
            <w:r>
              <w:rPr>
                <w:rFonts w:hint="eastAsia" w:hAnsi="宋体"/>
                <w:color w:val="000000" w:themeColor="text1"/>
                <w:sz w:val="24"/>
                <w14:textFill>
                  <w14:solidFill>
                    <w14:schemeClr w14:val="tx1"/>
                  </w14:solidFill>
                </w14:textFill>
              </w:rPr>
              <w:t>：0.006t/a、NOx：0.049t/a</w:t>
            </w:r>
            <w:r>
              <w:rPr>
                <w:rFonts w:hint="eastAsia" w:cs="宋体"/>
                <w:color w:val="000000" w:themeColor="text1"/>
                <w:sz w:val="24"/>
                <w14:textFill>
                  <w14:solidFill>
                    <w14:schemeClr w14:val="tx1"/>
                  </w14:solidFill>
                </w14:textFill>
              </w:rPr>
              <w:t>。由于项目所在区域为空气质量不达标区，因此总量实施双倍替代，替代量为：颗粒物：0.030t/a、非甲烷总烃：0.004t/a、</w:t>
            </w:r>
            <w:r>
              <w:rPr>
                <w:rFonts w:hint="eastAsia" w:hAnsi="宋体"/>
                <w:color w:val="000000" w:themeColor="text1"/>
                <w:sz w:val="24"/>
                <w14:textFill>
                  <w14:solidFill>
                    <w14:schemeClr w14:val="tx1"/>
                  </w14:solidFill>
                </w14:textFill>
              </w:rPr>
              <w:t>SO</w:t>
            </w:r>
            <w:r>
              <w:rPr>
                <w:rFonts w:hint="eastAsia" w:hAnsi="宋体"/>
                <w:color w:val="000000" w:themeColor="text1"/>
                <w:sz w:val="24"/>
                <w:vertAlign w:val="subscript"/>
                <w14:textFill>
                  <w14:solidFill>
                    <w14:schemeClr w14:val="tx1"/>
                  </w14:solidFill>
                </w14:textFill>
              </w:rPr>
              <w:t>2</w:t>
            </w:r>
            <w:r>
              <w:rPr>
                <w:rFonts w:hint="eastAsia" w:hAnsi="宋体"/>
                <w:color w:val="000000" w:themeColor="text1"/>
                <w:sz w:val="24"/>
                <w14:textFill>
                  <w14:solidFill>
                    <w14:schemeClr w14:val="tx1"/>
                  </w14:solidFill>
                </w14:textFill>
              </w:rPr>
              <w:t>：0.012t/a、NOx：0.098t/a</w:t>
            </w:r>
            <w:r>
              <w:rPr>
                <w:rFonts w:hint="eastAsia" w:cs="宋体"/>
                <w:color w:val="000000" w:themeColor="text1"/>
                <w:sz w:val="24"/>
                <w14:textFill>
                  <w14:solidFill>
                    <w14:schemeClr w14:val="tx1"/>
                  </w14:solidFill>
                </w14:textFill>
              </w:rPr>
              <w:t>。</w:t>
            </w:r>
          </w:p>
          <w:p w14:paraId="51D1C28B">
            <w:pPr>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（2）废水污染物总量：</w:t>
            </w:r>
          </w:p>
          <w:p w14:paraId="220A6023">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项目营运期</w:t>
            </w:r>
            <w:r>
              <w:rPr>
                <w:bCs/>
                <w:color w:val="000000" w:themeColor="text1"/>
                <w:sz w:val="24"/>
                <w14:textFill>
                  <w14:solidFill>
                    <w14:schemeClr w14:val="tx1"/>
                  </w14:solidFill>
                </w14:textFill>
              </w:rPr>
              <w:t>职工生活污水经化粪池</w:t>
            </w:r>
            <w:r>
              <w:rPr>
                <w:rFonts w:hint="eastAsia"/>
                <w:bCs/>
                <w:color w:val="000000" w:themeColor="text1"/>
                <w:sz w:val="24"/>
                <w14:textFill>
                  <w14:solidFill>
                    <w14:schemeClr w14:val="tx1"/>
                  </w14:solidFill>
                </w14:textFill>
              </w:rPr>
              <w:t>处理后与各生产废水一并进入厂区污水处理站处理后，出水水质能够</w:t>
            </w:r>
            <w:r>
              <w:rPr>
                <w:color w:val="000000" w:themeColor="text1"/>
                <w:kern w:val="0"/>
                <w:sz w:val="24"/>
                <w14:textFill>
                  <w14:solidFill>
                    <w14:schemeClr w14:val="tx1"/>
                  </w14:solidFill>
                </w14:textFill>
              </w:rPr>
              <w:t>满足</w:t>
            </w:r>
            <w:r>
              <w:rPr>
                <w:rFonts w:hint="eastAsia"/>
                <w:color w:val="000000" w:themeColor="text1"/>
                <w:kern w:val="0"/>
                <w:sz w:val="24"/>
                <w14:textFill>
                  <w14:solidFill>
                    <w14:schemeClr w14:val="tx1"/>
                  </w14:solidFill>
                </w14:textFill>
              </w:rPr>
              <w:t>《发酵酒精和白酒工业水污染物排放标准》（GB27631-2011）及其修改单表2间接排放标准、《啤酒工业水污染物排放标准》（DB41/681-2011）</w:t>
            </w:r>
            <w:r>
              <w:rPr>
                <w:color w:val="000000" w:themeColor="text1"/>
                <w:kern w:val="0"/>
                <w:sz w:val="24"/>
                <w14:textFill>
                  <w14:solidFill>
                    <w14:schemeClr w14:val="tx1"/>
                  </w14:solidFill>
                </w14:textFill>
              </w:rPr>
              <w:t>及镇平县第二污水处理厂进水水质指标要求后经市政污水管网进入镇平县第二污水处理厂进一步处理达到《城镇污水处理厂污染物排放标准》（GB18918-2002）一级A标准后</w:t>
            </w:r>
            <w:r>
              <w:rPr>
                <w:color w:val="000000" w:themeColor="text1"/>
                <w:sz w:val="24"/>
                <w14:textFill>
                  <w14:solidFill>
                    <w14:schemeClr w14:val="tx1"/>
                  </w14:solidFill>
                </w14:textFill>
              </w:rPr>
              <w:t>排入赵河</w:t>
            </w:r>
            <w:r>
              <w:rPr>
                <w:color w:val="000000" w:themeColor="text1"/>
                <w:kern w:val="0"/>
                <w:sz w:val="24"/>
                <w14:textFill>
                  <w14:solidFill>
                    <w14:schemeClr w14:val="tx1"/>
                  </w14:solidFill>
                </w14:textFill>
              </w:rPr>
              <w:t>。</w:t>
            </w:r>
          </w:p>
          <w:p w14:paraId="4A288A19">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本项目营运期</w:t>
            </w:r>
            <w:r>
              <w:rPr>
                <w:rFonts w:hint="eastAsia"/>
                <w:color w:val="000000" w:themeColor="text1"/>
                <w:sz w:val="24"/>
                <w14:textFill>
                  <w14:solidFill>
                    <w14:schemeClr w14:val="tx1"/>
                  </w14:solidFill>
                </w14:textFill>
              </w:rPr>
              <w:t>外排废水</w:t>
            </w:r>
            <w:r>
              <w:rPr>
                <w:color w:val="000000" w:themeColor="text1"/>
                <w:sz w:val="24"/>
                <w14:textFill>
                  <w14:solidFill>
                    <w14:schemeClr w14:val="tx1"/>
                  </w14:solidFill>
                </w14:textFill>
              </w:rPr>
              <w:t>总量为</w:t>
            </w:r>
            <w:r>
              <w:rPr>
                <w:rFonts w:hint="eastAsia"/>
                <w:color w:val="000000" w:themeColor="text1"/>
                <w:sz w:val="24"/>
                <w:lang w:val="en-US" w:eastAsia="zh-CN"/>
                <w14:textFill>
                  <w14:solidFill>
                    <w14:schemeClr w14:val="tx1"/>
                  </w14:solidFill>
                </w14:textFill>
              </w:rPr>
              <w:t>27.198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lang w:val="en-US" w:eastAsia="zh-CN"/>
                <w14:textFill>
                  <w14:solidFill>
                    <w14:schemeClr w14:val="tx1"/>
                  </w14:solidFill>
                </w14:textFill>
              </w:rPr>
              <w:t>6200.745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/a，废水经厂区污水处理站处理后</w:t>
            </w:r>
            <w:r>
              <w:rPr>
                <w:color w:val="000000" w:themeColor="text1"/>
                <w:kern w:val="0"/>
                <w:sz w:val="24"/>
                <w14:textFill>
                  <w14:solidFill>
                    <w14:schemeClr w14:val="tx1"/>
                  </w14:solidFill>
                </w14:textFill>
              </w:rPr>
              <w:t>经市政污水管网进入镇平县第二污水处理厂</w:t>
            </w:r>
            <w:r>
              <w:rPr>
                <w:rFonts w:hint="eastAsia"/>
                <w:color w:val="000000" w:themeColor="text1"/>
                <w:kern w:val="0"/>
                <w:sz w:val="24"/>
                <w14:textFill>
                  <w14:solidFill>
                    <w14:schemeClr w14:val="tx1"/>
                  </w14:solidFill>
                </w14:textFill>
              </w:rPr>
              <w:t>处理</w:t>
            </w:r>
            <w:r>
              <w:rPr>
                <w:color w:val="000000" w:themeColor="text1"/>
                <w:sz w:val="24"/>
                <w14:textFill>
                  <w14:solidFill>
                    <w14:schemeClr w14:val="tx1"/>
                  </w14:solidFill>
                </w14:textFill>
              </w:rPr>
              <w:t>达标后排放，因此本项目厂区污水总排口污染物总量控制为：COD：0.7</w:t>
            </w: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0t/a，NH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-N：0.0</w:t>
            </w:r>
            <w:r>
              <w:rPr>
                <w:rFonts w:hint="eastAsia"/>
                <w:color w:val="000000" w:themeColor="text1"/>
                <w:sz w:val="24"/>
                <w:lang w:val="en-US" w:eastAsia="zh-CN"/>
                <w14:textFill>
                  <w14:solidFill>
                    <w14:schemeClr w14:val="tx1"/>
                  </w14:solidFill>
                </w14:textFill>
              </w:rPr>
              <w:t>46</w:t>
            </w:r>
            <w:r>
              <w:rPr>
                <w:color w:val="000000" w:themeColor="text1"/>
                <w:sz w:val="24"/>
                <w14:textFill>
                  <w14:solidFill>
                    <w14:schemeClr w14:val="tx1"/>
                  </w14:solidFill>
                </w14:textFill>
              </w:rPr>
              <w:t>t/a；经</w:t>
            </w:r>
            <w:r>
              <w:rPr>
                <w:color w:val="000000" w:themeColor="text1"/>
                <w:kern w:val="0"/>
                <w:sz w:val="24"/>
                <w14:textFill>
                  <w14:solidFill>
                    <w14:schemeClr w14:val="tx1"/>
                  </w14:solidFill>
                </w14:textFill>
              </w:rPr>
              <w:t>镇平县</w:t>
            </w:r>
            <w:r>
              <w:rPr>
                <w:color w:val="000000" w:themeColor="text1"/>
                <w:sz w:val="24"/>
                <w14:textFill>
                  <w14:solidFill>
                    <w14:schemeClr w14:val="tx1"/>
                  </w14:solidFill>
                </w14:textFill>
              </w:rPr>
              <w:t>第二污水处理厂处理后的污染物总量控制指标为：COD：</w:t>
            </w:r>
            <w:r>
              <w:rPr>
                <w:rFonts w:hint="eastAsia"/>
                <w:color w:val="000000" w:themeColor="text1"/>
                <w:sz w:val="24"/>
                <w14:textFill>
                  <w14:solidFill>
                    <w14:schemeClr w14:val="tx1"/>
                  </w14:solidFill>
                </w14:textFill>
              </w:rPr>
              <w:t>0.</w:t>
            </w:r>
            <w:r>
              <w:rPr>
                <w:rFonts w:hint="eastAsia"/>
                <w:color w:val="000000" w:themeColor="text1"/>
                <w:sz w:val="24"/>
                <w:lang w:val="en-US" w:eastAsia="zh-CN"/>
                <w14:textFill>
                  <w14:solidFill>
                    <w14:schemeClr w14:val="tx1"/>
                  </w14:solidFill>
                </w14:textFill>
              </w:rPr>
              <w:t>310</w:t>
            </w:r>
            <w:r>
              <w:rPr>
                <w:color w:val="000000" w:themeColor="text1"/>
                <w:sz w:val="24"/>
                <w14:textFill>
                  <w14:solidFill>
                    <w14:schemeClr w14:val="tx1"/>
                  </w14:solidFill>
                </w14:textFill>
              </w:rPr>
              <w:t>t/a，NH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w:t>
            </w:r>
            <w:r>
              <w:rPr>
                <w:rFonts w:hint="eastAsia"/>
                <w:color w:val="000000" w:themeColor="text1"/>
                <w:sz w:val="24"/>
                <w14:textFill>
                  <w14:solidFill>
                    <w14:schemeClr w14:val="tx1"/>
                  </w14:solidFill>
                </w14:textFill>
              </w:rPr>
              <w:t>0.03</w:t>
            </w: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t/a</w:t>
            </w:r>
            <w:r>
              <w:rPr>
                <w:color w:val="000000" w:themeColor="text1"/>
                <w:kern w:val="0"/>
                <w:sz w:val="24"/>
                <w14:textFill>
                  <w14:solidFill>
                    <w14:schemeClr w14:val="tx1"/>
                  </w14:solidFill>
                </w14:textFill>
              </w:rPr>
              <w:t>。</w:t>
            </w:r>
          </w:p>
          <w:p w14:paraId="5720DB31">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（3）总量替代方案</w:t>
            </w:r>
          </w:p>
          <w:p w14:paraId="594DC09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按照《环境保护部关于印发建设项目主要污染物排放总量指标审核及管理暂行办法的通知》（环发【2014】197号）等文件的要求，用于建设项目的“可替代总量指标”不得低于建设项目所需替代的主要污染物排放总量指标；上一年度环境空气质量年平均浓度不达标的城市、水环境质量未达到要求的市县，相关污染物应按照建设项目所需替代的主要污染排放总量指标的2倍进行削减替代。由于</w:t>
            </w:r>
            <w:r>
              <w:rPr>
                <w:color w:val="000000" w:themeColor="text1"/>
                <w:kern w:val="0"/>
                <w:sz w:val="24"/>
                <w14:textFill>
                  <w14:solidFill>
                    <w14:schemeClr w14:val="tx1"/>
                  </w14:solidFill>
                </w14:textFill>
              </w:rPr>
              <w:t>镇平县</w:t>
            </w:r>
            <w:r>
              <w:rPr>
                <w:color w:val="000000" w:themeColor="text1"/>
                <w:sz w:val="24"/>
                <w14:textFill>
                  <w14:solidFill>
                    <w14:schemeClr w14:val="tx1"/>
                  </w14:solidFill>
                </w14:textFill>
              </w:rPr>
              <w:t>大气年平均浓度未达到二级空气质量标准，项目区地表水能够满足</w:t>
            </w:r>
            <w:r>
              <w:rPr>
                <w:bCs/>
                <w:color w:val="000000" w:themeColor="text1"/>
                <w:sz w:val="24"/>
                <w14:textFill>
                  <w14:solidFill>
                    <w14:schemeClr w14:val="tx1"/>
                  </w14:solidFill>
                </w14:textFill>
              </w:rPr>
              <w:t>《地表水环境质量标准》（GB3838-2002）中Ⅲ类水体</w:t>
            </w:r>
            <w:r>
              <w:rPr>
                <w:color w:val="000000" w:themeColor="text1"/>
                <w:sz w:val="24"/>
                <w14:textFill>
                  <w14:solidFill>
                    <w14:schemeClr w14:val="tx1"/>
                  </w14:solidFill>
                </w14:textFill>
              </w:rPr>
              <w:t>，因此大气总量指标实施双倍替代，水总量指标实施等量替代。</w:t>
            </w:r>
          </w:p>
          <w:p w14:paraId="34596B65">
            <w:pPr>
              <w:adjustRightInd w:val="0"/>
              <w:snapToGrid w:val="0"/>
              <w:spacing w:line="360" w:lineRule="auto"/>
              <w:ind w:firstLine="480" w:firstLineChars="200"/>
              <w:rPr>
                <w:color w:val="000000" w:themeColor="text1"/>
                <w14:textFill>
                  <w14:solidFill>
                    <w14:schemeClr w14:val="tx1"/>
                  </w14:solidFill>
                </w14:textFill>
              </w:rPr>
            </w:pPr>
            <w:r>
              <w:rPr>
                <w:color w:val="000000" w:themeColor="text1"/>
                <w:sz w:val="24"/>
                <w14:textFill>
                  <w14:solidFill>
                    <w14:schemeClr w14:val="tx1"/>
                  </w14:solidFill>
                </w14:textFill>
              </w:rPr>
              <w:t>因此，该项目替代量为：</w:t>
            </w:r>
            <w:r>
              <w:rPr>
                <w:rFonts w:hint="eastAsia" w:cs="宋体"/>
                <w:color w:val="000000" w:themeColor="text1"/>
                <w:sz w:val="24"/>
                <w14:textFill>
                  <w14:solidFill>
                    <w14:schemeClr w14:val="tx1"/>
                  </w14:solidFill>
                </w14:textFill>
              </w:rPr>
              <w:t>颗粒物：0.030t/a、非甲烷总烃：0.004t/a、</w:t>
            </w:r>
            <w:r>
              <w:rPr>
                <w:rFonts w:hint="eastAsia" w:hAnsi="宋体"/>
                <w:color w:val="000000" w:themeColor="text1"/>
                <w:sz w:val="24"/>
                <w14:textFill>
                  <w14:solidFill>
                    <w14:schemeClr w14:val="tx1"/>
                  </w14:solidFill>
                </w14:textFill>
              </w:rPr>
              <w:t>SO</w:t>
            </w:r>
            <w:r>
              <w:rPr>
                <w:rFonts w:hint="eastAsia" w:hAnsi="宋体"/>
                <w:color w:val="000000" w:themeColor="text1"/>
                <w:sz w:val="24"/>
                <w:vertAlign w:val="subscript"/>
                <w14:textFill>
                  <w14:solidFill>
                    <w14:schemeClr w14:val="tx1"/>
                  </w14:solidFill>
                </w14:textFill>
              </w:rPr>
              <w:t>2</w:t>
            </w:r>
            <w:r>
              <w:rPr>
                <w:rFonts w:hint="eastAsia" w:hAnsi="宋体"/>
                <w:color w:val="000000" w:themeColor="text1"/>
                <w:sz w:val="24"/>
                <w14:textFill>
                  <w14:solidFill>
                    <w14:schemeClr w14:val="tx1"/>
                  </w14:solidFill>
                </w14:textFill>
              </w:rPr>
              <w:t>：0.012t/a、NOx：0.098t/a；</w:t>
            </w:r>
            <w:r>
              <w:rPr>
                <w:color w:val="000000" w:themeColor="text1"/>
                <w:sz w:val="24"/>
                <w14:textFill>
                  <w14:solidFill>
                    <w14:schemeClr w14:val="tx1"/>
                  </w14:solidFill>
                </w14:textFill>
              </w:rPr>
              <w:t>COD：</w:t>
            </w:r>
            <w:r>
              <w:rPr>
                <w:rFonts w:hint="eastAsia"/>
                <w:color w:val="000000" w:themeColor="text1"/>
                <w:sz w:val="24"/>
                <w14:textFill>
                  <w14:solidFill>
                    <w14:schemeClr w14:val="tx1"/>
                  </w14:solidFill>
                </w14:textFill>
              </w:rPr>
              <w:t>0.</w:t>
            </w:r>
            <w:r>
              <w:rPr>
                <w:rFonts w:hint="eastAsia"/>
                <w:color w:val="000000" w:themeColor="text1"/>
                <w:sz w:val="24"/>
                <w:lang w:val="en-US" w:eastAsia="zh-CN"/>
                <w14:textFill>
                  <w14:solidFill>
                    <w14:schemeClr w14:val="tx1"/>
                  </w14:solidFill>
                </w14:textFill>
              </w:rPr>
              <w:t>310</w:t>
            </w:r>
            <w:r>
              <w:rPr>
                <w:color w:val="000000" w:themeColor="text1"/>
                <w:sz w:val="24"/>
                <w14:textFill>
                  <w14:solidFill>
                    <w14:schemeClr w14:val="tx1"/>
                  </w14:solidFill>
                </w14:textFill>
              </w:rPr>
              <w:t>t/a，NH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w:t>
            </w:r>
            <w:r>
              <w:rPr>
                <w:rFonts w:hint="eastAsia"/>
                <w:color w:val="000000" w:themeColor="text1"/>
                <w:sz w:val="24"/>
                <w14:textFill>
                  <w14:solidFill>
                    <w14:schemeClr w14:val="tx1"/>
                  </w14:solidFill>
                </w14:textFill>
              </w:rPr>
              <w:t>0.03</w:t>
            </w:r>
            <w:r>
              <w:rPr>
                <w:rFonts w:hint="eastAsia"/>
                <w:color w:val="000000" w:themeColor="text1"/>
                <w:sz w:val="24"/>
                <w:lang w:val="en-US" w:eastAsia="zh-CN"/>
                <w14:textFill>
                  <w14:solidFill>
                    <w14:schemeClr w14:val="tx1"/>
                  </w14:solidFill>
                </w14:textFill>
              </w:rPr>
              <w:t>1</w:t>
            </w:r>
            <w:r>
              <w:rPr>
                <w:color w:val="000000" w:themeColor="text1"/>
                <w:sz w:val="24"/>
                <w14:textFill>
                  <w14:solidFill>
                    <w14:schemeClr w14:val="tx1"/>
                  </w14:solidFill>
                </w14:textFill>
              </w:rPr>
              <w:t>t/a</w:t>
            </w:r>
            <w:r>
              <w:rPr>
                <w:color w:val="000000" w:themeColor="text1"/>
                <w:kern w:val="0"/>
                <w:sz w:val="24"/>
                <w14:textFill>
                  <w14:solidFill>
                    <w14:schemeClr w14:val="tx1"/>
                  </w14:solidFill>
                </w14:textFill>
              </w:rPr>
              <w:t>。</w:t>
            </w:r>
          </w:p>
        </w:tc>
      </w:tr>
    </w:tbl>
    <w:p w14:paraId="5B59270D">
      <w:pPr>
        <w:pStyle w:val="24"/>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p w14:paraId="26EB2C52">
      <w:pPr>
        <w:pStyle w:val="3"/>
        <w:numPr>
          <w:ilvl w:val="0"/>
          <w:numId w:val="1"/>
        </w:numPr>
        <w:jc w:val="center"/>
        <w:outlineLvl w:val="0"/>
        <w:rPr>
          <w:rFonts w:hint="default"/>
          <w:color w:val="000000" w:themeColor="text1"/>
          <w14:textFill>
            <w14:solidFill>
              <w14:schemeClr w14:val="tx1"/>
            </w14:solidFill>
          </w14:textFill>
        </w:rPr>
      </w:pPr>
      <w:bookmarkStart w:id="86" w:name="_Toc30587"/>
      <w:r>
        <w:rPr>
          <w:color w:val="000000" w:themeColor="text1"/>
          <w14:textFill>
            <w14:solidFill>
              <w14:schemeClr w14:val="tx1"/>
            </w14:solidFill>
          </w14:textFill>
        </w:rPr>
        <w:t>主要环境影响和保护措施</w:t>
      </w:r>
      <w:bookmarkEnd w:id="86"/>
    </w:p>
    <w:tbl>
      <w:tblPr>
        <w:tblStyle w:val="26"/>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
        <w:gridCol w:w="9472"/>
      </w:tblGrid>
      <w:tr w14:paraId="36AEE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0" w:type="pct"/>
            <w:shd w:val="clear" w:color="auto" w:fill="auto"/>
            <w:vAlign w:val="center"/>
          </w:tcPr>
          <w:p w14:paraId="275A1237">
            <w:pPr>
              <w:pStyle w:val="21"/>
              <w:adjustRightInd w:val="0"/>
              <w:snapToGrid w:val="0"/>
              <w:spacing w:before="0" w:beforeAutospacing="0" w:after="0" w:afterAutospacing="0"/>
              <w:jc w:val="center"/>
              <w:rPr>
                <w:rFonts w:ascii="Times New Roman" w:hAnsi="Times New Roman"/>
                <w:bCs/>
                <w:color w:val="000000" w:themeColor="text1"/>
                <w:kern w:val="2"/>
                <w:szCs w:val="24"/>
                <w14:textFill>
                  <w14:solidFill>
                    <w14:schemeClr w14:val="tx1"/>
                  </w14:solidFill>
                </w14:textFill>
              </w:rPr>
            </w:pPr>
            <w:r>
              <w:rPr>
                <w:rFonts w:ascii="Times New Roman" w:hAnsi="Times New Roman"/>
                <w:color w:val="000000" w:themeColor="text1"/>
                <w:kern w:val="2"/>
                <w:szCs w:val="24"/>
                <w14:textFill>
                  <w14:solidFill>
                    <w14:schemeClr w14:val="tx1"/>
                  </w14:solidFill>
                </w14:textFill>
              </w:rPr>
              <w:t>施工期环境保护措施</w:t>
            </w:r>
          </w:p>
        </w:tc>
        <w:tc>
          <w:tcPr>
            <w:tcW w:w="4759" w:type="pct"/>
            <w:shd w:val="clear" w:color="auto" w:fill="auto"/>
            <w:vAlign w:val="center"/>
          </w:tcPr>
          <w:p w14:paraId="6BBAAEF5">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sz w:val="24"/>
                <w14:textFill>
                  <w14:solidFill>
                    <w14:schemeClr w14:val="tx1"/>
                  </w14:solidFill>
                </w14:textFill>
              </w:rPr>
              <w:t xml:space="preserve"> </w:t>
            </w:r>
            <w:r>
              <w:rPr>
                <w:rFonts w:hint="eastAsia"/>
                <w:bCs/>
                <w:color w:val="000000" w:themeColor="text1"/>
                <w:sz w:val="24"/>
                <w14:textFill>
                  <w14:solidFill>
                    <w14:schemeClr w14:val="tx1"/>
                  </w14:solidFill>
                </w14:textFill>
              </w:rPr>
              <w:t>经现场勘查，本项目</w:t>
            </w:r>
            <w:r>
              <w:rPr>
                <w:rStyle w:val="30"/>
                <w:rFonts w:hint="eastAsia"/>
                <w:color w:val="000000" w:themeColor="text1"/>
                <w:sz w:val="24"/>
                <w:szCs w:val="24"/>
                <w14:textFill>
                  <w14:solidFill>
                    <w14:schemeClr w14:val="tx1"/>
                  </w14:solidFill>
                </w14:textFill>
              </w:rPr>
              <w:t>利用租赁厂区现有黄酒车间、封坛发酵车间以及包材仓库；并</w:t>
            </w:r>
            <w:r>
              <w:rPr>
                <w:bCs/>
                <w:color w:val="000000" w:themeColor="text1"/>
                <w:kern w:val="21"/>
                <w:sz w:val="24"/>
                <w14:textFill>
                  <w14:solidFill>
                    <w14:schemeClr w14:val="tx1"/>
                  </w14:solidFill>
                </w14:textFill>
              </w:rPr>
              <w:t>新建</w:t>
            </w:r>
            <w:r>
              <w:rPr>
                <w:rFonts w:hint="eastAsia"/>
                <w:bCs/>
                <w:color w:val="000000" w:themeColor="text1"/>
                <w:kern w:val="21"/>
                <w:sz w:val="24"/>
                <w14:textFill>
                  <w14:solidFill>
                    <w14:schemeClr w14:val="tx1"/>
                  </w14:solidFill>
                </w14:textFill>
              </w:rPr>
              <w:t>3</w:t>
            </w:r>
            <w:r>
              <w:rPr>
                <w:bCs/>
                <w:color w:val="000000" w:themeColor="text1"/>
                <w:kern w:val="21"/>
                <w:sz w:val="24"/>
                <w14:textFill>
                  <w14:solidFill>
                    <w14:schemeClr w14:val="tx1"/>
                  </w14:solidFill>
                </w14:textFill>
              </w:rPr>
              <w:t>座生产车间</w:t>
            </w:r>
            <w:r>
              <w:rPr>
                <w:rFonts w:hint="eastAsia"/>
                <w:bCs/>
                <w:color w:val="000000" w:themeColor="text1"/>
                <w:kern w:val="21"/>
                <w:sz w:val="24"/>
                <w14:textFill>
                  <w14:solidFill>
                    <w14:schemeClr w14:val="tx1"/>
                  </w14:solidFill>
                </w14:textFill>
              </w:rPr>
              <w:t>（综合车间、1#二类器械车间、2#二类器械车间）</w:t>
            </w:r>
            <w:r>
              <w:rPr>
                <w:bCs/>
                <w:color w:val="000000" w:themeColor="text1"/>
                <w:kern w:val="21"/>
                <w:sz w:val="24"/>
                <w14:textFill>
                  <w14:solidFill>
                    <w14:schemeClr w14:val="tx1"/>
                  </w14:solidFill>
                </w14:textFill>
              </w:rPr>
              <w:t>、1座</w:t>
            </w:r>
            <w:r>
              <w:rPr>
                <w:rFonts w:hint="eastAsia"/>
                <w:bCs/>
                <w:color w:val="000000" w:themeColor="text1"/>
                <w:kern w:val="21"/>
                <w:sz w:val="24"/>
                <w14:textFill>
                  <w14:solidFill>
                    <w14:schemeClr w14:val="tx1"/>
                  </w14:solidFill>
                </w14:textFill>
              </w:rPr>
              <w:t>封坛区域、1座办公楼及文创展区</w:t>
            </w:r>
            <w:r>
              <w:rPr>
                <w:bCs/>
                <w:color w:val="000000" w:themeColor="text1"/>
                <w:kern w:val="21"/>
                <w:sz w:val="24"/>
                <w14:textFill>
                  <w14:solidFill>
                    <w14:schemeClr w14:val="tx1"/>
                  </w14:solidFill>
                </w14:textFill>
              </w:rPr>
              <w:t>，施工期主要是建设过程中产生的废气、废水、固废和噪声。</w:t>
            </w:r>
          </w:p>
          <w:p w14:paraId="0B2040F7">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1、废气</w:t>
            </w:r>
          </w:p>
          <w:p w14:paraId="4CE13E31">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本项目施工期废气主要是施工扬尘和施工车辆尾气。</w:t>
            </w:r>
          </w:p>
          <w:p w14:paraId="0D9799EB">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（1）施工扬尘</w:t>
            </w:r>
          </w:p>
          <w:p w14:paraId="39451C3F">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施工扬尘主要为基础施工、土石方挖掘及弃土运输时产生的扬尘；建筑材料（沙、石、水泥等）运输进场装、卸及堆放过程产生的扬尘。按起尘因素可分为风力起尘和动力起尘。</w:t>
            </w:r>
          </w:p>
          <w:p w14:paraId="77146BA8">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①风力扬尘</w:t>
            </w:r>
          </w:p>
          <w:p w14:paraId="088AE93D">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根据不同的气象情况，在施工时采取一定的管理措施，禁止在大风天气进行搅拌作业，同时对于易起尘的建筑材料应加盖蓬布，汽车运输沙土等建材时也应加盖，并严格禁止超载运行，防止撒落而形成新的尘源。</w:t>
            </w:r>
          </w:p>
          <w:p w14:paraId="72C7AEE7">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此外要求使用成品水泥，用密封灌车运至工地，以减少扬尘对周围环境的影响。</w:t>
            </w:r>
          </w:p>
          <w:p w14:paraId="179437A0">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②动力起尘</w:t>
            </w:r>
          </w:p>
          <w:p w14:paraId="05782F29">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针对工程施工期间的扬尘，根据河南省大气污染防治攻坚战实施方案、南阳市大气、水、土壤污染防治攻坚战及农业农村污染治理攻坚战实施方案等文件相关要求，环评提出如下措施：</w:t>
            </w:r>
          </w:p>
          <w:p w14:paraId="547DC334">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1）施工现场周边必须设置不低于2.5米的全封闭硬质围挡墙，严禁随意敞开式作业，围挡倾覆或不规整时要及时修复，确保整齐、清洁、规范。）施工现场大门口处应在醒目位置设置扬尘治理公示栏，公示施工扬尘控 制措施、项目经理、具体责任人姓名及扬尘投诉举报电话， 举报电话应包括施工 企业、建设单位和行业监管部门电话，接受社会监督。加强建筑工地扬尘管理。 施工过程中必须做到“十个百分之百”。</w:t>
            </w:r>
          </w:p>
          <w:p w14:paraId="083B202C">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3）施工现场出入口、主要道路和作业区、生活区地面必须进行硬化处理， 出入口设置定型化或下沉式自动冲洗设施，车辆驶离工地前应对轮胎及车身实施有效清洗，不得带泥上路。工程进入后期施工不具备自动冲洗设施设置条件时，要设置小型人工冲洗设备，并配备专人负责冲洗。车辆必须密闭改装, 防止渣土沿 途抛洒、遗漏。材料、土方存放整齐有序。现场各种粉尘材料、土方均有遮盖,及时洒水降尘,做到无扬尘现象。</w:t>
            </w:r>
          </w:p>
          <w:p w14:paraId="61C75240">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4）施工现场应根据工程规模，设置专职保洁人员，负责工地内及工地围墙外责任范围内的环境卫生，配备适合的洒水设备，定时清扫、喷洒，始终保持地面潮湿。</w:t>
            </w:r>
          </w:p>
          <w:p w14:paraId="43572459">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5）建筑土方、工程渣土、建筑垃圾必须及时清运，或者采用高品质密闭式防尘网遮盖；暂不使用的裸露场地必须采取绿化、固化或覆盖措施处理。</w:t>
            </w:r>
          </w:p>
          <w:p w14:paraId="730D8ACA">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6）土石方等易产生扬尘的分部分项工程必须采取分段作业、择时施工、洒水抑尘等有效防尘降尘措施;</w:t>
            </w:r>
          </w:p>
          <w:p w14:paraId="0FE9AB0D">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7）施工主道路两侧及扬尘易生部位必须间隔5米安装雾化降尘设施，保持 定期喷淋，保持地面及场地湿润不扬尘。施工现场应配备洒水车和小型喷雾设备，不定时实施喷洒，不得造成场内道路扬尘和作业扬尘。</w:t>
            </w:r>
          </w:p>
          <w:p w14:paraId="40271085">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8）施工现场应当分类设置垃圾池，建筑垃圾和生活垃圾密闭或覆盖存放， 并及时清出场。高空作业施工渣土必须集中袋装运至地面， 严禁从高处向下倾倒或者抛洒各类散装物料和建筑垃圾。现场材料堆放要规整，不得随意乱堆乱放。</w:t>
            </w:r>
          </w:p>
          <w:p w14:paraId="45B5F02F">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9）施工现场禁止搅拌混凝土和配制砂浆，必须使用商品混凝土和预拌砂浆，现场应使用散装水泥并按要求存放。</w:t>
            </w:r>
          </w:p>
          <w:p w14:paraId="66FF7D18">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10）在建工程必须在工地大门口处和制高点安装扬尘防治远程视频监控设备，确保及时发现扬尘污染点，确保正常使用。责任单位不得随意拔掉电源，损毁监控设备，逃避监管。</w:t>
            </w:r>
          </w:p>
          <w:p w14:paraId="01F2BD59">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11）建设单位必须对暂时不能开工的建设用地的裸露地面进行覆盖，并设置封闭围档，超过三个月不能开工的建设用地的裸露地面必须进行绿化、铺装或者遮盖。同时要安排专人管理，确保场地内无积存垃圾，覆盖到位。</w:t>
            </w:r>
          </w:p>
          <w:p w14:paraId="20FD9741">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12）遇到重污染天气或大风天气时应立即停止土方作业，启用喷雾、洒水设备，检查土方、易扬尘材料覆盖以及施工现场围档状况，发现问题及时恢复，确保抑尘措施到位。</w:t>
            </w:r>
          </w:p>
          <w:p w14:paraId="7D100323">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13）运输车辆禁止超载，不得使用劣质燃料；对车辆的尾气排放应进行监督管理，严格执行汽车排污监管办法相关规定，避免排放黑烟。</w:t>
            </w:r>
          </w:p>
          <w:p w14:paraId="1DD80C65">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14）施工过程中产生的装修废气主要是油漆废气， 在施工过程中加强室内通风换气，采取环保型油漆，以此来降低对环境及施工人员的影响。</w:t>
            </w:r>
          </w:p>
          <w:p w14:paraId="62BBC49E">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（2）施工车辆、施工机械尾气</w:t>
            </w:r>
          </w:p>
          <w:p w14:paraId="1507EBE5">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为了有效控制施工机械、车辆尾气污染，评价建 议运输车辆禁止超载，不得使用劣质燃料；严格执行汽车排污监管办法相关规定，避免排放黑烟。经采取以上措施后，施工机械、车辆尾气对周边环境空气影响较小。施工期在实施以上建议措施后， 施工期废气对施工场地周边大气环境影响较小。随施工的结束，该部分影响也将随之消失。</w:t>
            </w:r>
          </w:p>
          <w:p w14:paraId="122EC602">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2、废水</w:t>
            </w:r>
          </w:p>
          <w:p w14:paraId="03F078D7">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施工期废水主要为施工人员生活废水和施工废水等。</w:t>
            </w:r>
          </w:p>
          <w:p w14:paraId="446FC8BD">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施工废水： 施工期产生的废水主要来源于施工过程产生的车辆冲洗水、设备冲洗水等，废水的成分相对简单，污染物浓度较低，水量较小；废水中主要为污染物为SS。废水经临时沉淀池沉淀处理后用于项目区域洒水降尘，施工废水不外排，施工结束后临时沉淀池拆除。</w:t>
            </w:r>
          </w:p>
          <w:p w14:paraId="5B42BC8E">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施工人员的生活污水经化粪池处理后</w:t>
            </w:r>
            <w:r>
              <w:rPr>
                <w:rFonts w:hint="eastAsia"/>
                <w:bCs/>
                <w:color w:val="000000" w:themeColor="text1"/>
                <w:kern w:val="21"/>
                <w:sz w:val="24"/>
                <w14:textFill>
                  <w14:solidFill>
                    <w14:schemeClr w14:val="tx1"/>
                  </w14:solidFill>
                </w14:textFill>
              </w:rPr>
              <w:t>通过市政污水管网进入污水处理厂处理</w:t>
            </w:r>
            <w:r>
              <w:rPr>
                <w:bCs/>
                <w:color w:val="000000" w:themeColor="text1"/>
                <w:kern w:val="21"/>
                <w:sz w:val="24"/>
                <w14:textFill>
                  <w14:solidFill>
                    <w14:schemeClr w14:val="tx1"/>
                  </w14:solidFill>
                </w14:textFill>
              </w:rPr>
              <w:t>。</w:t>
            </w:r>
          </w:p>
          <w:p w14:paraId="608E5584">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3、噪声</w:t>
            </w:r>
          </w:p>
          <w:p w14:paraId="1787AC76">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施工期噪声主要是施工场地的各类机械设备噪声和物料运输时的交通噪声。评价提出以下要求：</w:t>
            </w:r>
          </w:p>
          <w:p w14:paraId="1D5B1DAD">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①选择高效、先进的生产工艺及低噪设备；</w:t>
            </w:r>
          </w:p>
          <w:p w14:paraId="551944EA">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②合理布局，将高噪源远离敏感点地带；</w:t>
            </w:r>
          </w:p>
          <w:p w14:paraId="63141578">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③对无法避让且对环境敏感点产生明显影响的噪声源， 应在声源周围设置隔声墙；</w:t>
            </w:r>
          </w:p>
          <w:p w14:paraId="77231D04">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④除抢修、抢险作业外， 不得在夜间进行噪声污染的施工作业。</w:t>
            </w:r>
          </w:p>
          <w:p w14:paraId="063705C3">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4、固体废物</w:t>
            </w:r>
          </w:p>
          <w:p w14:paraId="1ED8D880">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本项目固体废物主要是弃土、建筑垃圾和生活垃圾。</w:t>
            </w:r>
          </w:p>
          <w:p w14:paraId="3F84AF93">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（1）弃土、建筑垃圾</w:t>
            </w:r>
          </w:p>
          <w:p w14:paraId="6D70FDA9">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项目弃土用于绿地和道路等建设，施工期产生的弃土在厂区内可以做到挖填平衡。建筑垃圾收集后运到建筑垃圾填埋场集中处理。</w:t>
            </w:r>
          </w:p>
          <w:p w14:paraId="47E4FEC5">
            <w:pPr>
              <w:tabs>
                <w:tab w:val="left" w:pos="1081"/>
              </w:tabs>
              <w:adjustRightInd w:val="0"/>
              <w:snapToGrid w:val="0"/>
              <w:spacing w:line="360" w:lineRule="auto"/>
              <w:ind w:firstLine="480" w:firstLineChars="200"/>
              <w:rPr>
                <w:bCs/>
                <w:color w:val="000000" w:themeColor="text1"/>
                <w:kern w:val="21"/>
                <w:sz w:val="24"/>
                <w14:textFill>
                  <w14:solidFill>
                    <w14:schemeClr w14:val="tx1"/>
                  </w14:solidFill>
                </w14:textFill>
              </w:rPr>
            </w:pPr>
            <w:r>
              <w:rPr>
                <w:bCs/>
                <w:color w:val="000000" w:themeColor="text1"/>
                <w:kern w:val="21"/>
                <w:sz w:val="24"/>
                <w14:textFill>
                  <w14:solidFill>
                    <w14:schemeClr w14:val="tx1"/>
                  </w14:solidFill>
                </w14:textFill>
              </w:rPr>
              <w:t>（2）生活垃圾</w:t>
            </w:r>
          </w:p>
          <w:p w14:paraId="280D9851">
            <w:pPr>
              <w:pStyle w:val="48"/>
              <w:snapToGrid w:val="0"/>
              <w:spacing w:line="360" w:lineRule="auto"/>
              <w:ind w:firstLine="480" w:firstLineChars="200"/>
              <w:jc w:val="both"/>
              <w:rPr>
                <w:rFonts w:ascii="Times New Roman" w:hAnsi="Times New Roman"/>
                <w:color w:val="000000" w:themeColor="text1"/>
                <w:szCs w:val="24"/>
                <w14:textFill>
                  <w14:solidFill>
                    <w14:schemeClr w14:val="tx1"/>
                  </w14:solidFill>
                </w14:textFill>
              </w:rPr>
            </w:pPr>
            <w:r>
              <w:rPr>
                <w:rFonts w:ascii="Times New Roman" w:hAnsi="Times New Roman"/>
                <w:bCs/>
                <w:color w:val="000000" w:themeColor="text1"/>
                <w:kern w:val="21"/>
                <w:szCs w:val="24"/>
                <w14:textFill>
                  <w14:solidFill>
                    <w14:schemeClr w14:val="tx1"/>
                  </w14:solidFill>
                </w14:textFill>
              </w:rPr>
              <w:t>分类收集后，交环卫部门统一处理。</w:t>
            </w:r>
          </w:p>
        </w:tc>
      </w:tr>
      <w:tr w14:paraId="0E077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0" w:type="pct"/>
            <w:shd w:val="clear" w:color="auto" w:fill="auto"/>
            <w:vAlign w:val="center"/>
          </w:tcPr>
          <w:p w14:paraId="7B7D5144">
            <w:pPr>
              <w:adjustRightInd w:val="0"/>
              <w:snapToGrid w:val="0"/>
              <w:jc w:val="center"/>
              <w:rPr>
                <w:bCs/>
                <w:color w:val="000000" w:themeColor="text1"/>
                <w:sz w:val="24"/>
                <w14:textFill>
                  <w14:solidFill>
                    <w14:schemeClr w14:val="tx1"/>
                  </w14:solidFill>
                </w14:textFill>
              </w:rPr>
            </w:pPr>
            <w:r>
              <w:rPr>
                <w:bCs/>
                <w:color w:val="000000" w:themeColor="text1"/>
                <w:sz w:val="24"/>
                <w14:textFill>
                  <w14:solidFill>
                    <w14:schemeClr w14:val="tx1"/>
                  </w14:solidFill>
                </w14:textFill>
              </w:rPr>
              <w:t>运营期环境影响和保护措施</w:t>
            </w:r>
          </w:p>
        </w:tc>
        <w:tc>
          <w:tcPr>
            <w:tcW w:w="4759" w:type="pct"/>
            <w:shd w:val="clear" w:color="auto" w:fill="auto"/>
          </w:tcPr>
          <w:p w14:paraId="0B72660A">
            <w:pPr>
              <w:pStyle w:val="48"/>
              <w:snapToGrid w:val="0"/>
              <w:spacing w:line="360" w:lineRule="auto"/>
              <w:ind w:firstLine="482" w:firstLineChars="200"/>
              <w:jc w:val="both"/>
              <w:rPr>
                <w:rFonts w:ascii="Times New Roman" w:hAnsi="Times New Roman"/>
                <w:b/>
                <w:color w:val="000000" w:themeColor="text1"/>
                <w:kern w:val="0"/>
                <w:szCs w:val="24"/>
                <w14:textFill>
                  <w14:solidFill>
                    <w14:schemeClr w14:val="tx1"/>
                  </w14:solidFill>
                </w14:textFill>
              </w:rPr>
            </w:pPr>
            <w:r>
              <w:rPr>
                <w:rFonts w:ascii="Times New Roman" w:hAnsi="Times New Roman"/>
                <w:b/>
                <w:color w:val="000000" w:themeColor="text1"/>
                <w:kern w:val="0"/>
                <w:szCs w:val="24"/>
                <w14:textFill>
                  <w14:solidFill>
                    <w14:schemeClr w14:val="tx1"/>
                  </w14:solidFill>
                </w14:textFill>
              </w:rPr>
              <w:t>1、废气</w:t>
            </w:r>
          </w:p>
          <w:p w14:paraId="0E835B3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.1废气源强分析</w:t>
            </w:r>
          </w:p>
          <w:p w14:paraId="0A6E9E9C">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1.1.1 综合车间废气</w:t>
            </w:r>
          </w:p>
          <w:p w14:paraId="4A82EAF3">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项目综合车间内设置有1条年产100t白酒生产线、1条年产200t啤酒生产线、1条年产200t果酒生产线1条年产100t袋泡茶生产线、以及1条年产200t植物饮料生产线。</w:t>
            </w:r>
          </w:p>
          <w:p w14:paraId="2F664733">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（1）原料投料、粉碎工序和</w:t>
            </w:r>
            <w:r>
              <w:rPr>
                <w:rFonts w:hint="eastAsia"/>
                <w:color w:val="000000" w:themeColor="text1"/>
                <w:kern w:val="52"/>
                <w:szCs w:val="24"/>
                <w14:textFill>
                  <w14:solidFill>
                    <w14:schemeClr w14:val="tx1"/>
                  </w14:solidFill>
                </w14:textFill>
              </w:rPr>
              <w:t>袋泡茶生产过程</w:t>
            </w:r>
            <w:r>
              <w:rPr>
                <w:rFonts w:hint="eastAsia" w:ascii="Times New Roman" w:hAnsi="Times New Roman"/>
                <w:color w:val="000000" w:themeColor="text1"/>
                <w:kern w:val="52"/>
                <w:szCs w:val="24"/>
                <w14:textFill>
                  <w14:solidFill>
                    <w14:schemeClr w14:val="tx1"/>
                  </w14:solidFill>
                </w14:textFill>
              </w:rPr>
              <w:t>粉尘</w:t>
            </w:r>
          </w:p>
          <w:p w14:paraId="0E842D71">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1）原料投料粉尘</w:t>
            </w:r>
          </w:p>
          <w:p w14:paraId="39B05ECE">
            <w:pPr>
              <w:pStyle w:val="48"/>
              <w:snapToGrid w:val="0"/>
              <w:spacing w:line="360" w:lineRule="auto"/>
              <w:ind w:firstLine="480" w:firstLineChars="200"/>
              <w:jc w:val="both"/>
              <w:rPr>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本项目白酒生产线、啤酒生产线以及植物饮料生产线原料需要拆袋投入粉碎机中；</w:t>
            </w:r>
            <w:r>
              <w:rPr>
                <w:rFonts w:hint="eastAsia"/>
                <w:color w:val="000000" w:themeColor="text1"/>
                <w:kern w:val="52"/>
                <w:szCs w:val="24"/>
                <w14:textFill>
                  <w14:solidFill>
                    <w14:schemeClr w14:val="tx1"/>
                  </w14:solidFill>
                </w14:textFill>
              </w:rPr>
              <w:t>白酒生产线稻壳</w:t>
            </w:r>
            <w:r>
              <w:rPr>
                <w:rFonts w:hint="eastAsia" w:ascii="Times New Roman" w:hAnsi="Times New Roman"/>
                <w:color w:val="000000" w:themeColor="text1"/>
                <w:kern w:val="52"/>
                <w:szCs w:val="24"/>
                <w14:textFill>
                  <w14:solidFill>
                    <w14:schemeClr w14:val="tx1"/>
                  </w14:solidFill>
                </w14:textFill>
              </w:rPr>
              <w:t>需要</w:t>
            </w:r>
            <w:r>
              <w:rPr>
                <w:rFonts w:hint="eastAsia"/>
                <w:color w:val="000000" w:themeColor="text1"/>
                <w:kern w:val="52"/>
                <w:szCs w:val="24"/>
                <w14:textFill>
                  <w14:solidFill>
                    <w14:schemeClr w14:val="tx1"/>
                  </w14:solidFill>
                </w14:textFill>
              </w:rPr>
              <w:t>拆袋投入甑锅中、酒曲需要拆袋投入晾床上；啤酒生产线啤酒花</w:t>
            </w:r>
            <w:r>
              <w:rPr>
                <w:rFonts w:hint="eastAsia" w:ascii="Times New Roman" w:hAnsi="Times New Roman"/>
                <w:color w:val="000000" w:themeColor="text1"/>
                <w:kern w:val="52"/>
                <w:szCs w:val="24"/>
                <w14:textFill>
                  <w14:solidFill>
                    <w14:schemeClr w14:val="tx1"/>
                  </w14:solidFill>
                </w14:textFill>
              </w:rPr>
              <w:t>需要</w:t>
            </w:r>
            <w:r>
              <w:rPr>
                <w:rFonts w:hint="eastAsia"/>
                <w:color w:val="000000" w:themeColor="text1"/>
                <w:kern w:val="52"/>
                <w:szCs w:val="24"/>
                <w14:textFill>
                  <w14:solidFill>
                    <w14:schemeClr w14:val="tx1"/>
                  </w14:solidFill>
                </w14:textFill>
              </w:rPr>
              <w:t>拆袋投入蒸煮锅内、酵母</w:t>
            </w:r>
            <w:r>
              <w:rPr>
                <w:rFonts w:hint="eastAsia" w:ascii="Times New Roman" w:hAnsi="Times New Roman"/>
                <w:color w:val="000000" w:themeColor="text1"/>
                <w:kern w:val="52"/>
                <w:szCs w:val="24"/>
                <w14:textFill>
                  <w14:solidFill>
                    <w14:schemeClr w14:val="tx1"/>
                  </w14:solidFill>
                </w14:textFill>
              </w:rPr>
              <w:t>需要</w:t>
            </w:r>
            <w:r>
              <w:rPr>
                <w:rFonts w:hint="eastAsia"/>
                <w:color w:val="000000" w:themeColor="text1"/>
                <w:kern w:val="52"/>
                <w:szCs w:val="24"/>
                <w14:textFill>
                  <w14:solidFill>
                    <w14:schemeClr w14:val="tx1"/>
                  </w14:solidFill>
                </w14:textFill>
              </w:rPr>
              <w:t>拆袋投入发酵罐中；果酒生产线果胶酶以及酵母用量较少，因此果胶酶以及酵母拆袋投料过程产生的粉尘废气本次环评不予考虑。</w:t>
            </w:r>
          </w:p>
          <w:p w14:paraId="2AFDF0C5">
            <w:pPr>
              <w:pStyle w:val="48"/>
              <w:snapToGrid w:val="0"/>
              <w:spacing w:line="360" w:lineRule="auto"/>
              <w:ind w:firstLine="480" w:firstLineChars="200"/>
              <w:jc w:val="both"/>
              <w:rPr>
                <w:color w:val="000000" w:themeColor="text1"/>
                <w:kern w:val="52"/>
                <w:szCs w:val="24"/>
                <w14:textFill>
                  <w14:solidFill>
                    <w14:schemeClr w14:val="tx1"/>
                  </w14:solidFill>
                </w14:textFill>
              </w:rPr>
            </w:pPr>
            <w:r>
              <w:rPr>
                <w:rFonts w:ascii="Times New Roman" w:hAnsi="Times New Roman"/>
                <w:color w:val="000000" w:themeColor="text1"/>
                <w:kern w:val="52"/>
                <w:szCs w:val="24"/>
                <w14:textFill>
                  <w14:solidFill>
                    <w14:schemeClr w14:val="tx1"/>
                  </w14:solidFill>
                </w14:textFill>
              </w:rPr>
              <w:t>投料过程废气产生量参考《逸散性工业粉尘控制技术》（中国环境科学出版社）中类似行业粉料投料产污系数，颗粒料上料工序粉尘产生系数取0.1kg/t—原料</w:t>
            </w:r>
            <w:r>
              <w:rPr>
                <w:rFonts w:hint="eastAsia" w:ascii="Times New Roman" w:hAnsi="Times New Roman"/>
                <w:color w:val="000000" w:themeColor="text1"/>
                <w:kern w:val="52"/>
                <w:szCs w:val="24"/>
                <w14:textFill>
                  <w14:solidFill>
                    <w14:schemeClr w14:val="tx1"/>
                  </w14:solidFill>
                </w14:textFill>
              </w:rPr>
              <w:t>。</w:t>
            </w:r>
          </w:p>
          <w:p w14:paraId="08936119">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①白酒、啤酒以及植物饮料生产线原料投料粉尘</w:t>
            </w:r>
          </w:p>
          <w:p w14:paraId="2811E30B">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ascii="Times New Roman" w:hAnsi="Times New Roman"/>
                <w:color w:val="000000" w:themeColor="text1"/>
                <w:kern w:val="52"/>
                <w:szCs w:val="24"/>
                <w14:textFill>
                  <w14:solidFill>
                    <w14:schemeClr w14:val="tx1"/>
                  </w14:solidFill>
                </w14:textFill>
              </w:rPr>
              <w:t>本项目</w:t>
            </w:r>
            <w:r>
              <w:rPr>
                <w:rFonts w:hint="eastAsia" w:ascii="Times New Roman" w:hAnsi="Times New Roman"/>
                <w:color w:val="000000" w:themeColor="text1"/>
                <w:kern w:val="52"/>
                <w:szCs w:val="24"/>
                <w14:textFill>
                  <w14:solidFill>
                    <w14:schemeClr w14:val="tx1"/>
                  </w14:solidFill>
                </w14:textFill>
              </w:rPr>
              <w:t>白酒生产线</w:t>
            </w:r>
            <w:r>
              <w:rPr>
                <w:rFonts w:ascii="Times New Roman" w:hAnsi="Times New Roman"/>
                <w:color w:val="000000" w:themeColor="text1"/>
                <w:kern w:val="52"/>
                <w:szCs w:val="24"/>
                <w14:textFill>
                  <w14:solidFill>
                    <w14:schemeClr w14:val="tx1"/>
                  </w14:solidFill>
                </w14:textFill>
              </w:rPr>
              <w:t>原料五粮用量</w:t>
            </w:r>
            <w:r>
              <w:rPr>
                <w:rFonts w:hint="eastAsia" w:ascii="Times New Roman" w:hAnsi="Times New Roman"/>
                <w:color w:val="000000" w:themeColor="text1"/>
                <w:kern w:val="52"/>
                <w:szCs w:val="24"/>
                <w14:textFill>
                  <w14:solidFill>
                    <w14:schemeClr w14:val="tx1"/>
                  </w14:solidFill>
                </w14:textFill>
              </w:rPr>
              <w:t>232.596</w:t>
            </w:r>
            <w:r>
              <w:rPr>
                <w:rFonts w:ascii="Times New Roman" w:hAnsi="Times New Roman"/>
                <w:color w:val="000000" w:themeColor="text1"/>
                <w:kern w:val="52"/>
                <w:szCs w:val="24"/>
                <w14:textFill>
                  <w14:solidFill>
                    <w14:schemeClr w14:val="tx1"/>
                  </w14:solidFill>
                </w14:textFill>
              </w:rPr>
              <w:t>t/a，</w:t>
            </w:r>
            <w:r>
              <w:rPr>
                <w:rFonts w:hint="eastAsia" w:ascii="Times New Roman" w:hAnsi="Times New Roman"/>
                <w:color w:val="000000" w:themeColor="text1"/>
                <w:kern w:val="52"/>
                <w:szCs w:val="24"/>
                <w14:textFill>
                  <w14:solidFill>
                    <w14:schemeClr w14:val="tx1"/>
                  </w14:solidFill>
                </w14:textFill>
              </w:rPr>
              <w:t>啤酒生产线</w:t>
            </w:r>
            <w:r>
              <w:rPr>
                <w:rFonts w:ascii="Times New Roman" w:hAnsi="Times New Roman"/>
                <w:color w:val="000000" w:themeColor="text1"/>
                <w:kern w:val="52"/>
                <w:szCs w:val="24"/>
                <w14:textFill>
                  <w14:solidFill>
                    <w14:schemeClr w14:val="tx1"/>
                  </w14:solidFill>
                </w14:textFill>
              </w:rPr>
              <w:t>麦芽用量为</w:t>
            </w:r>
            <w:r>
              <w:rPr>
                <w:rFonts w:hint="eastAsia" w:ascii="Times New Roman" w:hAnsi="Times New Roman"/>
                <w:color w:val="000000" w:themeColor="text1"/>
                <w:kern w:val="52"/>
                <w:szCs w:val="24"/>
                <w14:textFill>
                  <w14:solidFill>
                    <w14:schemeClr w14:val="tx1"/>
                  </w14:solidFill>
                </w14:textFill>
              </w:rPr>
              <w:t>2</w:t>
            </w:r>
            <w:r>
              <w:rPr>
                <w:rFonts w:ascii="Times New Roman" w:hAnsi="Times New Roman"/>
                <w:color w:val="000000" w:themeColor="text1"/>
                <w:kern w:val="52"/>
                <w:szCs w:val="24"/>
                <w14:textFill>
                  <w14:solidFill>
                    <w14:schemeClr w14:val="tx1"/>
                  </w14:solidFill>
                </w14:textFill>
              </w:rPr>
              <w:t>0t</w:t>
            </w:r>
            <w:r>
              <w:rPr>
                <w:rFonts w:hint="eastAsia" w:ascii="Times New Roman" w:hAnsi="Times New Roman"/>
                <w:color w:val="000000" w:themeColor="text1"/>
                <w:kern w:val="52"/>
                <w:szCs w:val="24"/>
                <w14:textFill>
                  <w14:solidFill>
                    <w14:schemeClr w14:val="tx1"/>
                  </w14:solidFill>
                </w14:textFill>
              </w:rPr>
              <w:t>、</w:t>
            </w:r>
            <w:r>
              <w:rPr>
                <w:rFonts w:ascii="Times New Roman" w:hAnsi="Times New Roman"/>
                <w:color w:val="000000" w:themeColor="text1"/>
                <w:kern w:val="52"/>
                <w:szCs w:val="24"/>
                <w14:textFill>
                  <w14:solidFill>
                    <w14:schemeClr w14:val="tx1"/>
                  </w14:solidFill>
                </w14:textFill>
              </w:rPr>
              <w:t>大米用量为</w:t>
            </w:r>
            <w:r>
              <w:rPr>
                <w:rFonts w:hint="eastAsia" w:ascii="Times New Roman" w:hAnsi="Times New Roman"/>
                <w:color w:val="000000" w:themeColor="text1"/>
                <w:kern w:val="52"/>
                <w:szCs w:val="24"/>
                <w14:textFill>
                  <w14:solidFill>
                    <w14:schemeClr w14:val="tx1"/>
                  </w14:solidFill>
                </w14:textFill>
              </w:rPr>
              <w:t>2</w:t>
            </w:r>
            <w:r>
              <w:rPr>
                <w:rFonts w:ascii="Times New Roman" w:hAnsi="Times New Roman"/>
                <w:color w:val="000000" w:themeColor="text1"/>
                <w:kern w:val="52"/>
                <w:szCs w:val="24"/>
                <w14:textFill>
                  <w14:solidFill>
                    <w14:schemeClr w14:val="tx1"/>
                  </w14:solidFill>
                </w14:textFill>
              </w:rPr>
              <w:t>0t，</w:t>
            </w:r>
            <w:r>
              <w:rPr>
                <w:rFonts w:hint="eastAsia" w:ascii="Times New Roman" w:hAnsi="Times New Roman"/>
                <w:color w:val="000000" w:themeColor="text1"/>
                <w:kern w:val="52"/>
                <w:szCs w:val="24"/>
                <w14:textFill>
                  <w14:solidFill>
                    <w14:schemeClr w14:val="tx1"/>
                  </w14:solidFill>
                </w14:textFill>
              </w:rPr>
              <w:t>植物饮料生产线烘干后需要投入粉碎机中的原料</w:t>
            </w:r>
            <w:r>
              <w:rPr>
                <w:rFonts w:ascii="Times New Roman" w:hAnsi="Times New Roman"/>
                <w:color w:val="000000" w:themeColor="text1"/>
                <w:kern w:val="52"/>
                <w:szCs w:val="24"/>
                <w14:textFill>
                  <w14:solidFill>
                    <w14:schemeClr w14:val="tx1"/>
                  </w14:solidFill>
                </w14:textFill>
              </w:rPr>
              <w:t>用量为</w:t>
            </w:r>
            <w:r>
              <w:rPr>
                <w:rFonts w:hint="eastAsia" w:ascii="Times New Roman" w:hAnsi="Times New Roman"/>
                <w:color w:val="000000" w:themeColor="text1"/>
                <w:kern w:val="52"/>
                <w:szCs w:val="24"/>
                <w14:textFill>
                  <w14:solidFill>
                    <w14:schemeClr w14:val="tx1"/>
                  </w14:solidFill>
                </w14:textFill>
              </w:rPr>
              <w:t>36.088</w:t>
            </w:r>
            <w:r>
              <w:rPr>
                <w:rFonts w:ascii="Times New Roman" w:hAnsi="Times New Roman"/>
                <w:color w:val="000000" w:themeColor="text1"/>
                <w:kern w:val="52"/>
                <w:szCs w:val="24"/>
                <w14:textFill>
                  <w14:solidFill>
                    <w14:schemeClr w14:val="tx1"/>
                  </w14:solidFill>
                </w14:textFill>
              </w:rPr>
              <w:t>t，则</w:t>
            </w:r>
            <w:r>
              <w:rPr>
                <w:rFonts w:hint="eastAsia" w:ascii="Times New Roman" w:hAnsi="Times New Roman"/>
                <w:color w:val="000000" w:themeColor="text1"/>
                <w:kern w:val="52"/>
                <w:szCs w:val="24"/>
                <w14:textFill>
                  <w14:solidFill>
                    <w14:schemeClr w14:val="tx1"/>
                  </w14:solidFill>
                </w14:textFill>
              </w:rPr>
              <w:t>白酒生产线、啤酒生产线以及植物饮料生产线</w:t>
            </w:r>
            <w:r>
              <w:rPr>
                <w:rFonts w:ascii="Times New Roman" w:hAnsi="Times New Roman"/>
                <w:color w:val="000000" w:themeColor="text1"/>
                <w:kern w:val="52"/>
                <w:szCs w:val="24"/>
                <w14:textFill>
                  <w14:solidFill>
                    <w14:schemeClr w14:val="tx1"/>
                  </w14:solidFill>
                </w14:textFill>
              </w:rPr>
              <w:t>投料过程粉尘产生量</w:t>
            </w:r>
            <w:r>
              <w:rPr>
                <w:rFonts w:hint="eastAsia" w:ascii="Times New Roman" w:hAnsi="Times New Roman"/>
                <w:color w:val="000000" w:themeColor="text1"/>
                <w:kern w:val="52"/>
                <w:szCs w:val="24"/>
                <w14:textFill>
                  <w14:solidFill>
                    <w14:schemeClr w14:val="tx1"/>
                  </w14:solidFill>
                </w14:textFill>
              </w:rPr>
              <w:t>分别</w:t>
            </w:r>
            <w:r>
              <w:rPr>
                <w:rFonts w:ascii="Times New Roman" w:hAnsi="Times New Roman"/>
                <w:color w:val="000000" w:themeColor="text1"/>
                <w:kern w:val="52"/>
                <w:szCs w:val="24"/>
                <w14:textFill>
                  <w14:solidFill>
                    <w14:schemeClr w14:val="tx1"/>
                  </w14:solidFill>
                </w14:textFill>
              </w:rPr>
              <w:t>为</w:t>
            </w:r>
            <w:r>
              <w:rPr>
                <w:rFonts w:hint="eastAsia" w:ascii="Times New Roman" w:hAnsi="Times New Roman"/>
                <w:color w:val="000000" w:themeColor="text1"/>
                <w:kern w:val="52"/>
                <w:szCs w:val="24"/>
                <w14:textFill>
                  <w14:solidFill>
                    <w14:schemeClr w14:val="tx1"/>
                  </w14:solidFill>
                </w14:textFill>
              </w:rPr>
              <w:t>0.023</w:t>
            </w:r>
            <w:r>
              <w:rPr>
                <w:rFonts w:ascii="Times New Roman" w:hAnsi="Times New Roman"/>
                <w:color w:val="000000" w:themeColor="text1"/>
                <w:kern w:val="52"/>
                <w:szCs w:val="24"/>
                <w14:textFill>
                  <w14:solidFill>
                    <w14:schemeClr w14:val="tx1"/>
                  </w14:solidFill>
                </w14:textFill>
              </w:rPr>
              <w:t>t/a</w:t>
            </w:r>
            <w:r>
              <w:rPr>
                <w:rFonts w:hint="eastAsia" w:ascii="Times New Roman" w:hAnsi="Times New Roman"/>
                <w:color w:val="000000" w:themeColor="text1"/>
                <w:kern w:val="52"/>
                <w:szCs w:val="24"/>
                <w14:textFill>
                  <w14:solidFill>
                    <w14:schemeClr w14:val="tx1"/>
                  </w14:solidFill>
                </w14:textFill>
              </w:rPr>
              <w:t>、</w:t>
            </w:r>
            <w:r>
              <w:rPr>
                <w:rFonts w:ascii="Times New Roman" w:hAnsi="Times New Roman"/>
                <w:color w:val="000000" w:themeColor="text1"/>
                <w:kern w:val="52"/>
                <w:szCs w:val="24"/>
                <w14:textFill>
                  <w14:solidFill>
                    <w14:schemeClr w14:val="tx1"/>
                  </w14:solidFill>
                </w14:textFill>
              </w:rPr>
              <w:t>0.</w:t>
            </w:r>
            <w:r>
              <w:rPr>
                <w:rFonts w:hint="eastAsia" w:ascii="Times New Roman" w:hAnsi="Times New Roman"/>
                <w:color w:val="000000" w:themeColor="text1"/>
                <w:kern w:val="52"/>
                <w:szCs w:val="24"/>
                <w14:textFill>
                  <w14:solidFill>
                    <w14:schemeClr w14:val="tx1"/>
                  </w14:solidFill>
                </w14:textFill>
              </w:rPr>
              <w:t>004</w:t>
            </w:r>
            <w:r>
              <w:rPr>
                <w:rFonts w:ascii="Times New Roman" w:hAnsi="Times New Roman"/>
                <w:color w:val="000000" w:themeColor="text1"/>
                <w:kern w:val="52"/>
                <w:szCs w:val="24"/>
                <w14:textFill>
                  <w14:solidFill>
                    <w14:schemeClr w14:val="tx1"/>
                  </w14:solidFill>
                </w14:textFill>
              </w:rPr>
              <w:t>t/a</w:t>
            </w:r>
            <w:r>
              <w:rPr>
                <w:rFonts w:hint="eastAsia" w:ascii="Times New Roman" w:hAnsi="Times New Roman"/>
                <w:color w:val="000000" w:themeColor="text1"/>
                <w:kern w:val="52"/>
                <w:szCs w:val="24"/>
                <w14:textFill>
                  <w14:solidFill>
                    <w14:schemeClr w14:val="tx1"/>
                  </w14:solidFill>
                </w14:textFill>
              </w:rPr>
              <w:t>、</w:t>
            </w:r>
            <w:r>
              <w:rPr>
                <w:rFonts w:ascii="Times New Roman" w:hAnsi="Times New Roman"/>
                <w:color w:val="000000" w:themeColor="text1"/>
                <w:kern w:val="52"/>
                <w:szCs w:val="24"/>
                <w14:textFill>
                  <w14:solidFill>
                    <w14:schemeClr w14:val="tx1"/>
                  </w14:solidFill>
                </w14:textFill>
              </w:rPr>
              <w:t>0.</w:t>
            </w:r>
            <w:r>
              <w:rPr>
                <w:rFonts w:hint="eastAsia" w:ascii="Times New Roman" w:hAnsi="Times New Roman"/>
                <w:color w:val="000000" w:themeColor="text1"/>
                <w:kern w:val="52"/>
                <w:szCs w:val="24"/>
                <w14:textFill>
                  <w14:solidFill>
                    <w14:schemeClr w14:val="tx1"/>
                  </w14:solidFill>
                </w14:textFill>
              </w:rPr>
              <w:t>004</w:t>
            </w:r>
            <w:r>
              <w:rPr>
                <w:rFonts w:ascii="Times New Roman" w:hAnsi="Times New Roman"/>
                <w:color w:val="000000" w:themeColor="text1"/>
                <w:kern w:val="52"/>
                <w:szCs w:val="24"/>
                <w14:textFill>
                  <w14:solidFill>
                    <w14:schemeClr w14:val="tx1"/>
                  </w14:solidFill>
                </w14:textFill>
              </w:rPr>
              <w:t>t/a，</w:t>
            </w:r>
            <w:r>
              <w:rPr>
                <w:rFonts w:hint="eastAsia" w:ascii="Times New Roman" w:hAnsi="Times New Roman"/>
                <w:color w:val="000000" w:themeColor="text1"/>
                <w:kern w:val="52"/>
                <w:szCs w:val="24"/>
                <w14:textFill>
                  <w14:solidFill>
                    <w14:schemeClr w14:val="tx1"/>
                  </w14:solidFill>
                </w14:textFill>
              </w:rPr>
              <w:t>因此白酒生产线、啤酒生产线以及植物饮料生产线</w:t>
            </w:r>
            <w:r>
              <w:rPr>
                <w:rFonts w:ascii="Times New Roman" w:hAnsi="Times New Roman"/>
                <w:color w:val="000000" w:themeColor="text1"/>
                <w:kern w:val="52"/>
                <w:szCs w:val="24"/>
                <w14:textFill>
                  <w14:solidFill>
                    <w14:schemeClr w14:val="tx1"/>
                  </w14:solidFill>
                </w14:textFill>
              </w:rPr>
              <w:t>投料过程粉尘产生</w:t>
            </w:r>
            <w:r>
              <w:rPr>
                <w:rFonts w:hint="eastAsia" w:ascii="Times New Roman" w:hAnsi="Times New Roman"/>
                <w:color w:val="000000" w:themeColor="text1"/>
                <w:kern w:val="52"/>
                <w:szCs w:val="24"/>
                <w14:textFill>
                  <w14:solidFill>
                    <w14:schemeClr w14:val="tx1"/>
                  </w14:solidFill>
                </w14:textFill>
              </w:rPr>
              <w:t>总</w:t>
            </w:r>
            <w:r>
              <w:rPr>
                <w:rFonts w:ascii="Times New Roman" w:hAnsi="Times New Roman"/>
                <w:color w:val="000000" w:themeColor="text1"/>
                <w:kern w:val="52"/>
                <w:szCs w:val="24"/>
                <w14:textFill>
                  <w14:solidFill>
                    <w14:schemeClr w14:val="tx1"/>
                  </w14:solidFill>
                </w14:textFill>
              </w:rPr>
              <w:t>量</w:t>
            </w:r>
            <w:r>
              <w:rPr>
                <w:rFonts w:hint="eastAsia" w:ascii="Times New Roman" w:hAnsi="Times New Roman"/>
                <w:color w:val="000000" w:themeColor="text1"/>
                <w:kern w:val="52"/>
                <w:szCs w:val="24"/>
                <w14:textFill>
                  <w14:solidFill>
                    <w14:schemeClr w14:val="tx1"/>
                  </w14:solidFill>
                </w14:textFill>
              </w:rPr>
              <w:t>为0.031</w:t>
            </w:r>
            <w:r>
              <w:rPr>
                <w:rFonts w:ascii="Times New Roman" w:hAnsi="Times New Roman"/>
                <w:color w:val="000000" w:themeColor="text1"/>
                <w:kern w:val="52"/>
                <w:szCs w:val="24"/>
                <w14:textFill>
                  <w14:solidFill>
                    <w14:schemeClr w14:val="tx1"/>
                  </w14:solidFill>
                </w14:textFill>
              </w:rPr>
              <w:t>t/a，投料过程年工作时间</w:t>
            </w:r>
            <w:r>
              <w:rPr>
                <w:rFonts w:hint="eastAsia" w:ascii="Times New Roman" w:hAnsi="Times New Roman"/>
                <w:color w:val="000000" w:themeColor="text1"/>
                <w:kern w:val="52"/>
                <w:szCs w:val="24"/>
                <w14:textFill>
                  <w14:solidFill>
                    <w14:schemeClr w14:val="tx1"/>
                  </w14:solidFill>
                </w14:textFill>
              </w:rPr>
              <w:t>300</w:t>
            </w:r>
            <w:r>
              <w:rPr>
                <w:rFonts w:ascii="Times New Roman" w:hAnsi="Times New Roman"/>
                <w:color w:val="000000" w:themeColor="text1"/>
                <w:kern w:val="52"/>
                <w:szCs w:val="24"/>
                <w14:textFill>
                  <w14:solidFill>
                    <w14:schemeClr w14:val="tx1"/>
                  </w14:solidFill>
                </w14:textFill>
              </w:rPr>
              <w:t>h，则废气产生速率为0.</w:t>
            </w:r>
            <w:r>
              <w:rPr>
                <w:rFonts w:hint="eastAsia" w:ascii="Times New Roman" w:hAnsi="Times New Roman"/>
                <w:color w:val="000000" w:themeColor="text1"/>
                <w:kern w:val="52"/>
                <w:szCs w:val="24"/>
                <w14:textFill>
                  <w14:solidFill>
                    <w14:schemeClr w14:val="tx1"/>
                  </w14:solidFill>
                </w14:textFill>
              </w:rPr>
              <w:t>103</w:t>
            </w:r>
            <w:r>
              <w:rPr>
                <w:rFonts w:ascii="Times New Roman" w:hAnsi="Times New Roman"/>
                <w:color w:val="000000" w:themeColor="text1"/>
                <w:kern w:val="52"/>
                <w:szCs w:val="24"/>
                <w14:textFill>
                  <w14:solidFill>
                    <w14:schemeClr w14:val="tx1"/>
                  </w14:solidFill>
                </w14:textFill>
              </w:rPr>
              <w:t>kg/h。</w:t>
            </w:r>
          </w:p>
          <w:p w14:paraId="59839A84">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因此，环评建议白酒、啤酒以及植物饮料生产线原料投料过程在粉碎机上料口设置集气罩收集，上料粉尘经集气罩收集后同破碎工序粉尘经同一套覆膜袋式除尘器（TA001）处理通过1根15m高排气筒（DA001）排放。</w:t>
            </w:r>
          </w:p>
          <w:p w14:paraId="537329EB">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ascii="Times New Roman" w:hAnsi="Times New Roman"/>
                <w:color w:val="000000" w:themeColor="text1"/>
                <w:kern w:val="52"/>
                <w:szCs w:val="24"/>
                <w14:textFill>
                  <w14:solidFill>
                    <w14:schemeClr w14:val="tx1"/>
                  </w14:solidFill>
                </w14:textFill>
              </w:rPr>
              <w:t>②</w:t>
            </w:r>
            <w:r>
              <w:rPr>
                <w:rFonts w:hint="eastAsia" w:ascii="Times New Roman" w:hAnsi="Times New Roman"/>
                <w:color w:val="000000" w:themeColor="text1"/>
                <w:kern w:val="52"/>
                <w:szCs w:val="24"/>
                <w14:textFill>
                  <w14:solidFill>
                    <w14:schemeClr w14:val="tx1"/>
                  </w14:solidFill>
                </w14:textFill>
              </w:rPr>
              <w:t>白酒、啤酒生产线辅料投料粉尘</w:t>
            </w:r>
          </w:p>
          <w:p w14:paraId="2D34F388">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color w:val="000000" w:themeColor="text1"/>
                <w:kern w:val="52"/>
                <w:szCs w:val="24"/>
                <w14:textFill>
                  <w14:solidFill>
                    <w14:schemeClr w14:val="tx1"/>
                  </w14:solidFill>
                </w14:textFill>
              </w:rPr>
              <w:t>白酒生产线稻壳</w:t>
            </w:r>
            <w:r>
              <w:rPr>
                <w:rFonts w:hint="eastAsia" w:ascii="Times New Roman" w:hAnsi="Times New Roman"/>
                <w:color w:val="000000" w:themeColor="text1"/>
                <w:kern w:val="52"/>
                <w:szCs w:val="24"/>
                <w14:textFill>
                  <w14:solidFill>
                    <w14:schemeClr w14:val="tx1"/>
                  </w14:solidFill>
                </w14:textFill>
              </w:rPr>
              <w:t>需要</w:t>
            </w:r>
            <w:r>
              <w:rPr>
                <w:rFonts w:hint="eastAsia"/>
                <w:color w:val="000000" w:themeColor="text1"/>
                <w:kern w:val="52"/>
                <w:szCs w:val="24"/>
                <w14:textFill>
                  <w14:solidFill>
                    <w14:schemeClr w14:val="tx1"/>
                  </w14:solidFill>
                </w14:textFill>
              </w:rPr>
              <w:t>拆袋投入甑锅中、酒曲需要拆袋投入晾床上；白酒</w:t>
            </w:r>
            <w:r>
              <w:rPr>
                <w:rFonts w:hint="eastAsia" w:ascii="Times New Roman" w:hAnsi="Times New Roman"/>
                <w:color w:val="000000" w:themeColor="text1"/>
                <w:kern w:val="52"/>
                <w:szCs w:val="24"/>
                <w14:textFill>
                  <w14:solidFill>
                    <w14:schemeClr w14:val="tx1"/>
                  </w14:solidFill>
                </w14:textFill>
              </w:rPr>
              <w:t>生产线稻壳以及酒曲总用量为127.928t/a，</w:t>
            </w:r>
            <w:r>
              <w:rPr>
                <w:rFonts w:ascii="Times New Roman" w:hAnsi="Times New Roman"/>
                <w:color w:val="000000" w:themeColor="text1"/>
                <w:kern w:val="52"/>
                <w:szCs w:val="24"/>
                <w14:textFill>
                  <w14:solidFill>
                    <w14:schemeClr w14:val="tx1"/>
                  </w14:solidFill>
                </w14:textFill>
              </w:rPr>
              <w:t>则</w:t>
            </w:r>
            <w:r>
              <w:rPr>
                <w:rFonts w:hint="eastAsia" w:ascii="Times New Roman" w:hAnsi="Times New Roman"/>
                <w:color w:val="000000" w:themeColor="text1"/>
                <w:kern w:val="52"/>
                <w:szCs w:val="24"/>
                <w14:textFill>
                  <w14:solidFill>
                    <w14:schemeClr w14:val="tx1"/>
                  </w14:solidFill>
                </w14:textFill>
              </w:rPr>
              <w:t>白酒生产线</w:t>
            </w:r>
            <w:r>
              <w:rPr>
                <w:rFonts w:hint="eastAsia"/>
                <w:color w:val="000000" w:themeColor="text1"/>
                <w:kern w:val="52"/>
                <w:szCs w:val="24"/>
                <w14:textFill>
                  <w14:solidFill>
                    <w14:schemeClr w14:val="tx1"/>
                  </w14:solidFill>
                </w14:textFill>
              </w:rPr>
              <w:t>稻壳、酒曲</w:t>
            </w:r>
            <w:r>
              <w:rPr>
                <w:rFonts w:ascii="Times New Roman" w:hAnsi="Times New Roman"/>
                <w:color w:val="000000" w:themeColor="text1"/>
                <w:kern w:val="52"/>
                <w:szCs w:val="24"/>
                <w14:textFill>
                  <w14:solidFill>
                    <w14:schemeClr w14:val="tx1"/>
                  </w14:solidFill>
                </w14:textFill>
              </w:rPr>
              <w:t>投料过程粉尘产生</w:t>
            </w:r>
            <w:r>
              <w:rPr>
                <w:rFonts w:hint="eastAsia" w:ascii="Times New Roman" w:hAnsi="Times New Roman"/>
                <w:color w:val="000000" w:themeColor="text1"/>
                <w:kern w:val="52"/>
                <w:szCs w:val="24"/>
                <w14:textFill>
                  <w14:solidFill>
                    <w14:schemeClr w14:val="tx1"/>
                  </w14:solidFill>
                </w14:textFill>
              </w:rPr>
              <w:t>总</w:t>
            </w:r>
            <w:r>
              <w:rPr>
                <w:rFonts w:ascii="Times New Roman" w:hAnsi="Times New Roman"/>
                <w:color w:val="000000" w:themeColor="text1"/>
                <w:kern w:val="52"/>
                <w:szCs w:val="24"/>
                <w14:textFill>
                  <w14:solidFill>
                    <w14:schemeClr w14:val="tx1"/>
                  </w14:solidFill>
                </w14:textFill>
              </w:rPr>
              <w:t>量</w:t>
            </w:r>
            <w:r>
              <w:rPr>
                <w:rFonts w:hint="eastAsia" w:ascii="Times New Roman" w:hAnsi="Times New Roman"/>
                <w:color w:val="000000" w:themeColor="text1"/>
                <w:kern w:val="52"/>
                <w:szCs w:val="24"/>
                <w14:textFill>
                  <w14:solidFill>
                    <w14:schemeClr w14:val="tx1"/>
                  </w14:solidFill>
                </w14:textFill>
              </w:rPr>
              <w:t>为0.013</w:t>
            </w:r>
            <w:r>
              <w:rPr>
                <w:rFonts w:ascii="Times New Roman" w:hAnsi="Times New Roman"/>
                <w:color w:val="000000" w:themeColor="text1"/>
                <w:kern w:val="52"/>
                <w:szCs w:val="24"/>
                <w14:textFill>
                  <w14:solidFill>
                    <w14:schemeClr w14:val="tx1"/>
                  </w14:solidFill>
                </w14:textFill>
              </w:rPr>
              <w:t>t/a，投料过程年工作时间</w:t>
            </w:r>
            <w:r>
              <w:rPr>
                <w:rFonts w:hint="eastAsia" w:ascii="Times New Roman" w:hAnsi="Times New Roman"/>
                <w:color w:val="000000" w:themeColor="text1"/>
                <w:kern w:val="52"/>
                <w:szCs w:val="24"/>
                <w14:textFill>
                  <w14:solidFill>
                    <w14:schemeClr w14:val="tx1"/>
                  </w14:solidFill>
                </w14:textFill>
              </w:rPr>
              <w:t>300</w:t>
            </w:r>
            <w:r>
              <w:rPr>
                <w:rFonts w:ascii="Times New Roman" w:hAnsi="Times New Roman"/>
                <w:color w:val="000000" w:themeColor="text1"/>
                <w:kern w:val="52"/>
                <w:szCs w:val="24"/>
                <w14:textFill>
                  <w14:solidFill>
                    <w14:schemeClr w14:val="tx1"/>
                  </w14:solidFill>
                </w14:textFill>
              </w:rPr>
              <w:t>h，则废气产生速率为0.</w:t>
            </w:r>
            <w:r>
              <w:rPr>
                <w:rFonts w:hint="eastAsia" w:ascii="Times New Roman" w:hAnsi="Times New Roman"/>
                <w:color w:val="000000" w:themeColor="text1"/>
                <w:kern w:val="52"/>
                <w:szCs w:val="24"/>
                <w14:textFill>
                  <w14:solidFill>
                    <w14:schemeClr w14:val="tx1"/>
                  </w14:solidFill>
                </w14:textFill>
              </w:rPr>
              <w:t>043</w:t>
            </w:r>
            <w:r>
              <w:rPr>
                <w:rFonts w:ascii="Times New Roman" w:hAnsi="Times New Roman"/>
                <w:color w:val="000000" w:themeColor="text1"/>
                <w:kern w:val="52"/>
                <w:szCs w:val="24"/>
                <w14:textFill>
                  <w14:solidFill>
                    <w14:schemeClr w14:val="tx1"/>
                  </w14:solidFill>
                </w14:textFill>
              </w:rPr>
              <w:t>kg/h</w:t>
            </w:r>
            <w:r>
              <w:rPr>
                <w:rFonts w:hint="eastAsia" w:ascii="Times New Roman" w:hAnsi="Times New Roman"/>
                <w:color w:val="000000" w:themeColor="text1"/>
                <w:kern w:val="52"/>
                <w:szCs w:val="24"/>
                <w14:textFill>
                  <w14:solidFill>
                    <w14:schemeClr w14:val="tx1"/>
                  </w14:solidFill>
                </w14:textFill>
              </w:rPr>
              <w:t>。</w:t>
            </w:r>
          </w:p>
          <w:p w14:paraId="772F1DB4">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ascii="Times New Roman" w:hAnsi="Times New Roman"/>
                <w:color w:val="000000" w:themeColor="text1"/>
                <w:kern w:val="52"/>
                <w:szCs w:val="24"/>
                <w14:textFill>
                  <w14:solidFill>
                    <w14:schemeClr w14:val="tx1"/>
                  </w14:solidFill>
                </w14:textFill>
              </w:rPr>
              <w:t>啤酒生产线啤酒花需要拆袋投入蒸煮锅内、酵母需要拆袋投入发酵罐中；啤酒生产线啤酒花</w:t>
            </w:r>
            <w:r>
              <w:rPr>
                <w:rFonts w:hint="eastAsia" w:ascii="Times New Roman" w:hAnsi="Times New Roman"/>
                <w:color w:val="000000" w:themeColor="text1"/>
                <w:kern w:val="52"/>
                <w:szCs w:val="24"/>
                <w14:textFill>
                  <w14:solidFill>
                    <w14:schemeClr w14:val="tx1"/>
                  </w14:solidFill>
                </w14:textFill>
              </w:rPr>
              <w:t>以及</w:t>
            </w:r>
            <w:r>
              <w:rPr>
                <w:rFonts w:ascii="Times New Roman" w:hAnsi="Times New Roman"/>
                <w:color w:val="000000" w:themeColor="text1"/>
                <w:kern w:val="52"/>
                <w:szCs w:val="24"/>
                <w14:textFill>
                  <w14:solidFill>
                    <w14:schemeClr w14:val="tx1"/>
                  </w14:solidFill>
                </w14:textFill>
              </w:rPr>
              <w:t>酵母</w:t>
            </w:r>
            <w:r>
              <w:rPr>
                <w:rFonts w:hint="eastAsia" w:ascii="Times New Roman" w:hAnsi="Times New Roman"/>
                <w:color w:val="000000" w:themeColor="text1"/>
                <w:kern w:val="52"/>
                <w:szCs w:val="24"/>
                <w14:textFill>
                  <w14:solidFill>
                    <w14:schemeClr w14:val="tx1"/>
                  </w14:solidFill>
                </w14:textFill>
              </w:rPr>
              <w:t>总用量为1.667t/a，</w:t>
            </w:r>
            <w:r>
              <w:rPr>
                <w:rFonts w:ascii="Times New Roman" w:hAnsi="Times New Roman"/>
                <w:color w:val="000000" w:themeColor="text1"/>
                <w:kern w:val="52"/>
                <w:szCs w:val="24"/>
                <w14:textFill>
                  <w14:solidFill>
                    <w14:schemeClr w14:val="tx1"/>
                  </w14:solidFill>
                </w14:textFill>
              </w:rPr>
              <w:t>则啤酒</w:t>
            </w:r>
            <w:r>
              <w:rPr>
                <w:rFonts w:hint="eastAsia" w:ascii="Times New Roman" w:hAnsi="Times New Roman"/>
                <w:color w:val="000000" w:themeColor="text1"/>
                <w:kern w:val="52"/>
                <w:szCs w:val="24"/>
                <w14:textFill>
                  <w14:solidFill>
                    <w14:schemeClr w14:val="tx1"/>
                  </w14:solidFill>
                </w14:textFill>
              </w:rPr>
              <w:t>生产线</w:t>
            </w:r>
            <w:r>
              <w:rPr>
                <w:rFonts w:ascii="Times New Roman" w:hAnsi="Times New Roman"/>
                <w:color w:val="000000" w:themeColor="text1"/>
                <w:kern w:val="52"/>
                <w:szCs w:val="24"/>
                <w14:textFill>
                  <w14:solidFill>
                    <w14:schemeClr w14:val="tx1"/>
                  </w14:solidFill>
                </w14:textFill>
              </w:rPr>
              <w:t>啤酒花</w:t>
            </w:r>
            <w:r>
              <w:rPr>
                <w:rFonts w:hint="eastAsia" w:ascii="Times New Roman" w:hAnsi="Times New Roman"/>
                <w:color w:val="000000" w:themeColor="text1"/>
                <w:kern w:val="52"/>
                <w:szCs w:val="24"/>
                <w14:textFill>
                  <w14:solidFill>
                    <w14:schemeClr w14:val="tx1"/>
                  </w14:solidFill>
                </w14:textFill>
              </w:rPr>
              <w:t>、</w:t>
            </w:r>
            <w:r>
              <w:rPr>
                <w:rFonts w:ascii="Times New Roman" w:hAnsi="Times New Roman"/>
                <w:color w:val="000000" w:themeColor="text1"/>
                <w:kern w:val="52"/>
                <w:szCs w:val="24"/>
                <w14:textFill>
                  <w14:solidFill>
                    <w14:schemeClr w14:val="tx1"/>
                  </w14:solidFill>
                </w14:textFill>
              </w:rPr>
              <w:t>酵母投料过程粉尘产生</w:t>
            </w:r>
            <w:r>
              <w:rPr>
                <w:rFonts w:hint="eastAsia" w:ascii="Times New Roman" w:hAnsi="Times New Roman"/>
                <w:color w:val="000000" w:themeColor="text1"/>
                <w:kern w:val="52"/>
                <w:szCs w:val="24"/>
                <w14:textFill>
                  <w14:solidFill>
                    <w14:schemeClr w14:val="tx1"/>
                  </w14:solidFill>
                </w14:textFill>
              </w:rPr>
              <w:t>总</w:t>
            </w:r>
            <w:r>
              <w:rPr>
                <w:rFonts w:ascii="Times New Roman" w:hAnsi="Times New Roman"/>
                <w:color w:val="000000" w:themeColor="text1"/>
                <w:kern w:val="52"/>
                <w:szCs w:val="24"/>
                <w14:textFill>
                  <w14:solidFill>
                    <w14:schemeClr w14:val="tx1"/>
                  </w14:solidFill>
                </w14:textFill>
              </w:rPr>
              <w:t>量</w:t>
            </w:r>
            <w:r>
              <w:rPr>
                <w:rFonts w:hint="eastAsia" w:ascii="Times New Roman" w:hAnsi="Times New Roman"/>
                <w:color w:val="000000" w:themeColor="text1"/>
                <w:kern w:val="52"/>
                <w:szCs w:val="24"/>
                <w14:textFill>
                  <w14:solidFill>
                    <w14:schemeClr w14:val="tx1"/>
                  </w14:solidFill>
                </w14:textFill>
              </w:rPr>
              <w:t>为0.0002</w:t>
            </w:r>
            <w:r>
              <w:rPr>
                <w:rFonts w:ascii="Times New Roman" w:hAnsi="Times New Roman"/>
                <w:color w:val="000000" w:themeColor="text1"/>
                <w:kern w:val="52"/>
                <w:szCs w:val="24"/>
                <w14:textFill>
                  <w14:solidFill>
                    <w14:schemeClr w14:val="tx1"/>
                  </w14:solidFill>
                </w14:textFill>
              </w:rPr>
              <w:t>t/a，投料过程年工作时间</w:t>
            </w:r>
            <w:r>
              <w:rPr>
                <w:rFonts w:hint="eastAsia" w:ascii="Times New Roman" w:hAnsi="Times New Roman"/>
                <w:color w:val="000000" w:themeColor="text1"/>
                <w:kern w:val="52"/>
                <w:szCs w:val="24"/>
                <w14:textFill>
                  <w14:solidFill>
                    <w14:schemeClr w14:val="tx1"/>
                  </w14:solidFill>
                </w14:textFill>
              </w:rPr>
              <w:t>300</w:t>
            </w:r>
            <w:r>
              <w:rPr>
                <w:rFonts w:ascii="Times New Roman" w:hAnsi="Times New Roman"/>
                <w:color w:val="000000" w:themeColor="text1"/>
                <w:kern w:val="52"/>
                <w:szCs w:val="24"/>
                <w14:textFill>
                  <w14:solidFill>
                    <w14:schemeClr w14:val="tx1"/>
                  </w14:solidFill>
                </w14:textFill>
              </w:rPr>
              <w:t>h，则废气产生速率为0.</w:t>
            </w:r>
            <w:r>
              <w:rPr>
                <w:rFonts w:hint="eastAsia" w:ascii="Times New Roman" w:hAnsi="Times New Roman"/>
                <w:color w:val="000000" w:themeColor="text1"/>
                <w:kern w:val="52"/>
                <w:szCs w:val="24"/>
                <w14:textFill>
                  <w14:solidFill>
                    <w14:schemeClr w14:val="tx1"/>
                  </w14:solidFill>
                </w14:textFill>
              </w:rPr>
              <w:t>0007</w:t>
            </w:r>
            <w:r>
              <w:rPr>
                <w:rFonts w:ascii="Times New Roman" w:hAnsi="Times New Roman"/>
                <w:color w:val="000000" w:themeColor="text1"/>
                <w:kern w:val="52"/>
                <w:szCs w:val="24"/>
                <w14:textFill>
                  <w14:solidFill>
                    <w14:schemeClr w14:val="tx1"/>
                  </w14:solidFill>
                </w14:textFill>
              </w:rPr>
              <w:t>kg/h</w:t>
            </w:r>
            <w:r>
              <w:rPr>
                <w:rFonts w:hint="eastAsia" w:ascii="Times New Roman" w:hAnsi="Times New Roman"/>
                <w:color w:val="000000" w:themeColor="text1"/>
                <w:kern w:val="52"/>
                <w:szCs w:val="24"/>
                <w14:textFill>
                  <w14:solidFill>
                    <w14:schemeClr w14:val="tx1"/>
                  </w14:solidFill>
                </w14:textFill>
              </w:rPr>
              <w:t>。</w:t>
            </w:r>
          </w:p>
          <w:p w14:paraId="0FA4C984">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综上，白酒、啤酒生产线辅料投料粉尘产生总量为0.0132t/a，</w:t>
            </w:r>
            <w:r>
              <w:rPr>
                <w:rFonts w:ascii="Times New Roman" w:hAnsi="Times New Roman"/>
                <w:color w:val="000000" w:themeColor="text1"/>
                <w:kern w:val="52"/>
                <w:szCs w:val="24"/>
                <w14:textFill>
                  <w14:solidFill>
                    <w14:schemeClr w14:val="tx1"/>
                  </w14:solidFill>
                </w14:textFill>
              </w:rPr>
              <w:t>因工艺生产需要，</w:t>
            </w:r>
            <w:r>
              <w:rPr>
                <w:rFonts w:hint="eastAsia" w:ascii="Times New Roman" w:hAnsi="Times New Roman"/>
                <w:color w:val="000000" w:themeColor="text1"/>
                <w:kern w:val="52"/>
                <w:szCs w:val="24"/>
                <w14:textFill>
                  <w14:solidFill>
                    <w14:schemeClr w14:val="tx1"/>
                  </w14:solidFill>
                </w14:textFill>
              </w:rPr>
              <w:t>白酒、啤酒生产线辅料</w:t>
            </w:r>
            <w:r>
              <w:rPr>
                <w:rFonts w:ascii="Times New Roman" w:hAnsi="Times New Roman"/>
                <w:color w:val="000000" w:themeColor="text1"/>
                <w:kern w:val="52"/>
                <w:szCs w:val="24"/>
                <w14:textFill>
                  <w14:solidFill>
                    <w14:schemeClr w14:val="tx1"/>
                  </w14:solidFill>
                </w14:textFill>
              </w:rPr>
              <w:t>投料过程各产尘点较分散，很难将各产尘点产生的含尘废气集中至一处进行处理、排放，</w:t>
            </w:r>
            <w:r>
              <w:rPr>
                <w:rFonts w:hint="eastAsia" w:ascii="Times New Roman" w:hAnsi="Times New Roman"/>
                <w:color w:val="000000" w:themeColor="text1"/>
                <w:kern w:val="52"/>
                <w:szCs w:val="24"/>
                <w14:textFill>
                  <w14:solidFill>
                    <w14:schemeClr w14:val="tx1"/>
                  </w14:solidFill>
                </w14:textFill>
              </w:rPr>
              <w:t>又</w:t>
            </w:r>
            <w:r>
              <w:rPr>
                <w:rFonts w:ascii="Times New Roman" w:hAnsi="Times New Roman"/>
                <w:color w:val="000000" w:themeColor="text1"/>
                <w:kern w:val="52"/>
                <w:szCs w:val="24"/>
                <w14:textFill>
                  <w14:solidFill>
                    <w14:schemeClr w14:val="tx1"/>
                  </w14:solidFill>
                </w14:textFill>
              </w:rPr>
              <w:t>由于本项目粉尘产生量较小，因此不设置废气收集措施，直接车间内无组织排放。无组织废气要求</w:t>
            </w:r>
            <w:r>
              <w:rPr>
                <w:rFonts w:hint="eastAsia" w:ascii="Times New Roman" w:hAnsi="Times New Roman"/>
                <w:color w:val="000000" w:themeColor="text1"/>
                <w:kern w:val="52"/>
                <w:szCs w:val="24"/>
                <w14:textFill>
                  <w14:solidFill>
                    <w14:schemeClr w14:val="tx1"/>
                  </w14:solidFill>
                </w14:textFill>
              </w:rPr>
              <w:t>车间进行全密闭处理（车间四周换气窗全部密闭），仅保留人员出入口，不设置通风换气口，以此减少车间内废气向外部转移</w:t>
            </w:r>
            <w:r>
              <w:rPr>
                <w:rFonts w:ascii="Times New Roman" w:hAnsi="Times New Roman"/>
                <w:color w:val="000000" w:themeColor="text1"/>
                <w:kern w:val="52"/>
                <w:szCs w:val="24"/>
                <w14:textFill>
                  <w14:solidFill>
                    <w14:schemeClr w14:val="tx1"/>
                  </w14:solidFill>
                </w14:textFill>
              </w:rPr>
              <w:t>。同时要求规范操作，加强管理。</w:t>
            </w:r>
          </w:p>
          <w:p w14:paraId="6A594ECE">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2）原料破碎粉尘</w:t>
            </w:r>
          </w:p>
          <w:p w14:paraId="7981CF3D">
            <w:pPr>
              <w:pStyle w:val="48"/>
              <w:snapToGrid w:val="0"/>
              <w:spacing w:line="360" w:lineRule="auto"/>
              <w:ind w:firstLine="480" w:firstLineChars="200"/>
              <w:jc w:val="both"/>
              <w:rPr>
                <w:rFonts w:ascii="Times New Roman" w:hAnsi="Times New Roman"/>
                <w:color w:val="000000" w:themeColor="text1"/>
                <w:kern w:val="0"/>
                <w:szCs w:val="24"/>
                <w14:textFill>
                  <w14:solidFill>
                    <w14:schemeClr w14:val="tx1"/>
                  </w14:solidFill>
                </w14:textFill>
              </w:rPr>
            </w:pPr>
            <w:r>
              <w:rPr>
                <w:rFonts w:ascii="Times New Roman" w:hAnsi="Times New Roman"/>
                <w:color w:val="000000" w:themeColor="text1"/>
                <w:kern w:val="0"/>
                <w:szCs w:val="24"/>
                <w14:textFill>
                  <w14:solidFill>
                    <w14:schemeClr w14:val="tx1"/>
                  </w14:solidFill>
                </w14:textFill>
              </w:rPr>
              <w:t>根据业主提供资料，本项目</w:t>
            </w:r>
            <w:r>
              <w:rPr>
                <w:rFonts w:hint="eastAsia" w:ascii="Times New Roman" w:hAnsi="Times New Roman"/>
                <w:color w:val="000000" w:themeColor="text1"/>
                <w:kern w:val="0"/>
                <w:szCs w:val="24"/>
                <w14:textFill>
                  <w14:solidFill>
                    <w14:schemeClr w14:val="tx1"/>
                  </w14:solidFill>
                </w14:textFill>
              </w:rPr>
              <w:t>白酒生产线</w:t>
            </w:r>
            <w:r>
              <w:rPr>
                <w:rFonts w:ascii="Times New Roman" w:hAnsi="Times New Roman"/>
                <w:color w:val="000000" w:themeColor="text1"/>
                <w:kern w:val="0"/>
                <w:szCs w:val="24"/>
                <w14:textFill>
                  <w14:solidFill>
                    <w14:schemeClr w14:val="tx1"/>
                  </w14:solidFill>
                </w14:textFill>
              </w:rPr>
              <w:t>原料五粮（高粱、小麦、大米、糯米、玉米）用量为</w:t>
            </w:r>
            <w:r>
              <w:rPr>
                <w:rFonts w:hint="eastAsia" w:ascii="Times New Roman" w:hAnsi="Times New Roman"/>
                <w:color w:val="000000" w:themeColor="text1"/>
                <w:kern w:val="0"/>
                <w:szCs w:val="24"/>
                <w14:textFill>
                  <w14:solidFill>
                    <w14:schemeClr w14:val="tx1"/>
                  </w14:solidFill>
                </w14:textFill>
              </w:rPr>
              <w:t>232.596</w:t>
            </w:r>
            <w:r>
              <w:rPr>
                <w:rFonts w:ascii="Times New Roman" w:hAnsi="Times New Roman"/>
                <w:color w:val="000000" w:themeColor="text1"/>
                <w:kern w:val="0"/>
                <w:szCs w:val="24"/>
                <w14:textFill>
                  <w14:solidFill>
                    <w14:schemeClr w14:val="tx1"/>
                  </w14:solidFill>
                </w14:textFill>
              </w:rPr>
              <w:t>t/a，</w:t>
            </w:r>
            <w:r>
              <w:rPr>
                <w:rFonts w:hint="eastAsia" w:ascii="Times New Roman" w:hAnsi="Times New Roman"/>
                <w:color w:val="000000" w:themeColor="text1"/>
                <w:kern w:val="52"/>
                <w:szCs w:val="24"/>
                <w14:textFill>
                  <w14:solidFill>
                    <w14:schemeClr w14:val="tx1"/>
                  </w14:solidFill>
                </w14:textFill>
              </w:rPr>
              <w:t>啤酒生产线</w:t>
            </w:r>
            <w:r>
              <w:rPr>
                <w:rFonts w:ascii="Times New Roman" w:hAnsi="Times New Roman"/>
                <w:color w:val="000000" w:themeColor="text1"/>
                <w:kern w:val="52"/>
                <w:szCs w:val="24"/>
                <w14:textFill>
                  <w14:solidFill>
                    <w14:schemeClr w14:val="tx1"/>
                  </w14:solidFill>
                </w14:textFill>
              </w:rPr>
              <w:t>麦芽用量为</w:t>
            </w:r>
            <w:r>
              <w:rPr>
                <w:rFonts w:hint="eastAsia" w:ascii="Times New Roman" w:hAnsi="Times New Roman"/>
                <w:color w:val="000000" w:themeColor="text1"/>
                <w:kern w:val="52"/>
                <w:szCs w:val="24"/>
                <w14:textFill>
                  <w14:solidFill>
                    <w14:schemeClr w14:val="tx1"/>
                  </w14:solidFill>
                </w14:textFill>
              </w:rPr>
              <w:t>2</w:t>
            </w:r>
            <w:r>
              <w:rPr>
                <w:rFonts w:ascii="Times New Roman" w:hAnsi="Times New Roman"/>
                <w:color w:val="000000" w:themeColor="text1"/>
                <w:kern w:val="52"/>
                <w:szCs w:val="24"/>
                <w14:textFill>
                  <w14:solidFill>
                    <w14:schemeClr w14:val="tx1"/>
                  </w14:solidFill>
                </w14:textFill>
              </w:rPr>
              <w:t>0t</w:t>
            </w:r>
            <w:r>
              <w:rPr>
                <w:rFonts w:hint="eastAsia" w:ascii="Times New Roman" w:hAnsi="Times New Roman"/>
                <w:color w:val="000000" w:themeColor="text1"/>
                <w:kern w:val="52"/>
                <w:szCs w:val="24"/>
                <w14:textFill>
                  <w14:solidFill>
                    <w14:schemeClr w14:val="tx1"/>
                  </w14:solidFill>
                </w14:textFill>
              </w:rPr>
              <w:t>、</w:t>
            </w:r>
            <w:r>
              <w:rPr>
                <w:rFonts w:ascii="Times New Roman" w:hAnsi="Times New Roman"/>
                <w:color w:val="000000" w:themeColor="text1"/>
                <w:kern w:val="52"/>
                <w:szCs w:val="24"/>
                <w14:textFill>
                  <w14:solidFill>
                    <w14:schemeClr w14:val="tx1"/>
                  </w14:solidFill>
                </w14:textFill>
              </w:rPr>
              <w:t>大米用量为</w:t>
            </w:r>
            <w:r>
              <w:rPr>
                <w:rFonts w:hint="eastAsia" w:ascii="Times New Roman" w:hAnsi="Times New Roman"/>
                <w:color w:val="000000" w:themeColor="text1"/>
                <w:kern w:val="52"/>
                <w:szCs w:val="24"/>
                <w14:textFill>
                  <w14:solidFill>
                    <w14:schemeClr w14:val="tx1"/>
                  </w14:solidFill>
                </w14:textFill>
              </w:rPr>
              <w:t>2</w:t>
            </w:r>
            <w:r>
              <w:rPr>
                <w:rFonts w:ascii="Times New Roman" w:hAnsi="Times New Roman"/>
                <w:color w:val="000000" w:themeColor="text1"/>
                <w:kern w:val="52"/>
                <w:szCs w:val="24"/>
                <w14:textFill>
                  <w14:solidFill>
                    <w14:schemeClr w14:val="tx1"/>
                  </w14:solidFill>
                </w14:textFill>
              </w:rPr>
              <w:t>0t，</w:t>
            </w:r>
            <w:r>
              <w:rPr>
                <w:rFonts w:hint="eastAsia" w:ascii="Times New Roman" w:hAnsi="Times New Roman"/>
                <w:color w:val="000000" w:themeColor="text1"/>
                <w:kern w:val="52"/>
                <w:szCs w:val="24"/>
                <w14:textFill>
                  <w14:solidFill>
                    <w14:schemeClr w14:val="tx1"/>
                  </w14:solidFill>
                </w14:textFill>
              </w:rPr>
              <w:t>植物饮料生产线烘干后需要投入粉碎机中的原料</w:t>
            </w:r>
            <w:r>
              <w:rPr>
                <w:rFonts w:ascii="Times New Roman" w:hAnsi="Times New Roman"/>
                <w:color w:val="000000" w:themeColor="text1"/>
                <w:kern w:val="52"/>
                <w:szCs w:val="24"/>
                <w14:textFill>
                  <w14:solidFill>
                    <w14:schemeClr w14:val="tx1"/>
                  </w14:solidFill>
                </w14:textFill>
              </w:rPr>
              <w:t>用量为</w:t>
            </w:r>
            <w:r>
              <w:rPr>
                <w:rFonts w:hint="eastAsia" w:ascii="Times New Roman" w:hAnsi="Times New Roman"/>
                <w:color w:val="000000" w:themeColor="text1"/>
                <w:kern w:val="52"/>
                <w:szCs w:val="24"/>
                <w14:textFill>
                  <w14:solidFill>
                    <w14:schemeClr w14:val="tx1"/>
                  </w14:solidFill>
                </w14:textFill>
              </w:rPr>
              <w:t>36.088</w:t>
            </w:r>
            <w:r>
              <w:rPr>
                <w:rFonts w:ascii="Times New Roman" w:hAnsi="Times New Roman"/>
                <w:color w:val="000000" w:themeColor="text1"/>
                <w:kern w:val="52"/>
                <w:szCs w:val="24"/>
                <w14:textFill>
                  <w14:solidFill>
                    <w14:schemeClr w14:val="tx1"/>
                  </w14:solidFill>
                </w14:textFill>
              </w:rPr>
              <w:t>t，</w:t>
            </w:r>
            <w:r>
              <w:rPr>
                <w:rFonts w:ascii="Times New Roman" w:hAnsi="Times New Roman"/>
                <w:color w:val="000000" w:themeColor="text1"/>
                <w:kern w:val="0"/>
                <w:szCs w:val="24"/>
                <w14:textFill>
                  <w14:solidFill>
                    <w14:schemeClr w14:val="tx1"/>
                  </w14:solidFill>
                </w14:textFill>
              </w:rPr>
              <w:t>根据《排放源统计调查产排污核算方法和系数手册》（131 谷物磨制行业系数手册）中注意事项，破碎粉尘执行1311稻谷加工系数0.0</w:t>
            </w:r>
            <w:r>
              <w:rPr>
                <w:rFonts w:hint="eastAsia" w:ascii="Times New Roman" w:hAnsi="Times New Roman"/>
                <w:color w:val="000000" w:themeColor="text1"/>
                <w:kern w:val="0"/>
                <w:szCs w:val="24"/>
                <w14:textFill>
                  <w14:solidFill>
                    <w14:schemeClr w14:val="tx1"/>
                  </w14:solidFill>
                </w14:textFill>
              </w:rPr>
              <w:t>1</w:t>
            </w:r>
            <w:r>
              <w:rPr>
                <w:rFonts w:ascii="Times New Roman" w:hAnsi="Times New Roman"/>
                <w:color w:val="000000" w:themeColor="text1"/>
                <w:kern w:val="0"/>
                <w:szCs w:val="24"/>
                <w14:textFill>
                  <w14:solidFill>
                    <w14:schemeClr w14:val="tx1"/>
                  </w14:solidFill>
                </w14:textFill>
              </w:rPr>
              <w:t>5kg/t-原料</w:t>
            </w:r>
            <w:r>
              <w:rPr>
                <w:rFonts w:hint="eastAsia" w:ascii="Times New Roman" w:hAnsi="Times New Roman"/>
                <w:color w:val="000000" w:themeColor="text1"/>
                <w:kern w:val="0"/>
                <w:szCs w:val="24"/>
                <w14:textFill>
                  <w14:solidFill>
                    <w14:schemeClr w14:val="tx1"/>
                  </w14:solidFill>
                </w14:textFill>
              </w:rPr>
              <w:t>。根据谷物磨制行业的生产特点，将除尘系统纳入生产工艺设备，即上述产污系数是已核算扣减污染治理设施去除的颗粒物的基础上的排放量。</w:t>
            </w:r>
          </w:p>
          <w:p w14:paraId="5258FC7A">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0"/>
                <w:szCs w:val="24"/>
                <w14:textFill>
                  <w14:solidFill>
                    <w14:schemeClr w14:val="tx1"/>
                  </w14:solidFill>
                </w14:textFill>
              </w:rPr>
              <w:t>本项目设置3台粉碎机以及1台振动筛，安装在密闭破碎间内，同时在粉碎机及振动筛上方设置集气罩，收集效率按90%计，采取</w:t>
            </w:r>
            <w:r>
              <w:rPr>
                <w:rFonts w:ascii="Times New Roman" w:hAnsi="Times New Roman"/>
                <w:color w:val="000000" w:themeColor="text1"/>
                <w:kern w:val="0"/>
                <w:szCs w:val="24"/>
                <w14:textFill>
                  <w14:solidFill>
                    <w14:schemeClr w14:val="tx1"/>
                  </w14:solidFill>
                </w14:textFill>
              </w:rPr>
              <w:t>覆膜袋式除尘器</w:t>
            </w:r>
            <w:r>
              <w:rPr>
                <w:rFonts w:hint="eastAsia" w:ascii="Times New Roman" w:hAnsi="Times New Roman"/>
                <w:color w:val="000000" w:themeColor="text1"/>
                <w:kern w:val="0"/>
                <w:szCs w:val="24"/>
                <w14:textFill>
                  <w14:solidFill>
                    <w14:schemeClr w14:val="tx1"/>
                  </w14:solidFill>
                </w14:textFill>
              </w:rPr>
              <w:t>处理设施，处理效率按99%计，则粮食加工实际产污系数为：0.015/0.01/0.9=1.667kg/t-原料；项目破碎工序年工作时间按650h计，</w:t>
            </w:r>
            <w:r>
              <w:rPr>
                <w:rFonts w:ascii="Times New Roman" w:hAnsi="Times New Roman"/>
                <w:color w:val="000000" w:themeColor="text1"/>
                <w:kern w:val="52"/>
                <w:szCs w:val="24"/>
                <w14:textFill>
                  <w14:solidFill>
                    <w14:schemeClr w14:val="tx1"/>
                  </w14:solidFill>
                </w14:textFill>
              </w:rPr>
              <w:t>则</w:t>
            </w:r>
            <w:r>
              <w:rPr>
                <w:rFonts w:hint="eastAsia" w:ascii="Times New Roman" w:hAnsi="Times New Roman"/>
                <w:color w:val="000000" w:themeColor="text1"/>
                <w:kern w:val="52"/>
                <w:szCs w:val="24"/>
                <w14:textFill>
                  <w14:solidFill>
                    <w14:schemeClr w14:val="tx1"/>
                  </w14:solidFill>
                </w14:textFill>
              </w:rPr>
              <w:t>白酒生产线、啤酒生产线以及植物饮料生产线破碎</w:t>
            </w:r>
            <w:r>
              <w:rPr>
                <w:rFonts w:ascii="Times New Roman" w:hAnsi="Times New Roman"/>
                <w:color w:val="000000" w:themeColor="text1"/>
                <w:kern w:val="52"/>
                <w:szCs w:val="24"/>
                <w14:textFill>
                  <w14:solidFill>
                    <w14:schemeClr w14:val="tx1"/>
                  </w14:solidFill>
                </w14:textFill>
              </w:rPr>
              <w:t>过程粉尘产生量</w:t>
            </w:r>
            <w:r>
              <w:rPr>
                <w:rFonts w:hint="eastAsia" w:ascii="Times New Roman" w:hAnsi="Times New Roman"/>
                <w:color w:val="000000" w:themeColor="text1"/>
                <w:kern w:val="52"/>
                <w:szCs w:val="24"/>
                <w14:textFill>
                  <w14:solidFill>
                    <w14:schemeClr w14:val="tx1"/>
                  </w14:solidFill>
                </w14:textFill>
              </w:rPr>
              <w:t>分别</w:t>
            </w:r>
            <w:r>
              <w:rPr>
                <w:rFonts w:ascii="Times New Roman" w:hAnsi="Times New Roman"/>
                <w:color w:val="000000" w:themeColor="text1"/>
                <w:kern w:val="52"/>
                <w:szCs w:val="24"/>
                <w14:textFill>
                  <w14:solidFill>
                    <w14:schemeClr w14:val="tx1"/>
                  </w14:solidFill>
                </w14:textFill>
              </w:rPr>
              <w:t>为</w:t>
            </w:r>
            <w:r>
              <w:rPr>
                <w:rFonts w:hint="eastAsia" w:ascii="Times New Roman" w:hAnsi="Times New Roman"/>
                <w:color w:val="000000" w:themeColor="text1"/>
                <w:kern w:val="52"/>
                <w:szCs w:val="24"/>
                <w14:textFill>
                  <w14:solidFill>
                    <w14:schemeClr w14:val="tx1"/>
                  </w14:solidFill>
                </w14:textFill>
              </w:rPr>
              <w:t>0.388</w:t>
            </w:r>
            <w:r>
              <w:rPr>
                <w:rFonts w:ascii="Times New Roman" w:hAnsi="Times New Roman"/>
                <w:color w:val="000000" w:themeColor="text1"/>
                <w:kern w:val="52"/>
                <w:szCs w:val="24"/>
                <w14:textFill>
                  <w14:solidFill>
                    <w14:schemeClr w14:val="tx1"/>
                  </w14:solidFill>
                </w14:textFill>
              </w:rPr>
              <w:t>t/a</w:t>
            </w:r>
            <w:r>
              <w:rPr>
                <w:rFonts w:hint="eastAsia" w:ascii="Times New Roman" w:hAnsi="Times New Roman"/>
                <w:color w:val="000000" w:themeColor="text1"/>
                <w:kern w:val="52"/>
                <w:szCs w:val="24"/>
                <w14:textFill>
                  <w14:solidFill>
                    <w14:schemeClr w14:val="tx1"/>
                  </w14:solidFill>
                </w14:textFill>
              </w:rPr>
              <w:t>、</w:t>
            </w:r>
            <w:r>
              <w:rPr>
                <w:rFonts w:ascii="Times New Roman" w:hAnsi="Times New Roman"/>
                <w:color w:val="000000" w:themeColor="text1"/>
                <w:kern w:val="52"/>
                <w:szCs w:val="24"/>
                <w14:textFill>
                  <w14:solidFill>
                    <w14:schemeClr w14:val="tx1"/>
                  </w14:solidFill>
                </w14:textFill>
              </w:rPr>
              <w:t>0.</w:t>
            </w:r>
            <w:r>
              <w:rPr>
                <w:rFonts w:hint="eastAsia" w:ascii="Times New Roman" w:hAnsi="Times New Roman"/>
                <w:color w:val="000000" w:themeColor="text1"/>
                <w:kern w:val="52"/>
                <w:szCs w:val="24"/>
                <w14:textFill>
                  <w14:solidFill>
                    <w14:schemeClr w14:val="tx1"/>
                  </w14:solidFill>
                </w14:textFill>
              </w:rPr>
              <w:t>067</w:t>
            </w:r>
            <w:r>
              <w:rPr>
                <w:rFonts w:ascii="Times New Roman" w:hAnsi="Times New Roman"/>
                <w:color w:val="000000" w:themeColor="text1"/>
                <w:kern w:val="52"/>
                <w:szCs w:val="24"/>
                <w14:textFill>
                  <w14:solidFill>
                    <w14:schemeClr w14:val="tx1"/>
                  </w14:solidFill>
                </w14:textFill>
              </w:rPr>
              <w:t>t/a</w:t>
            </w:r>
            <w:r>
              <w:rPr>
                <w:rFonts w:hint="eastAsia" w:ascii="Times New Roman" w:hAnsi="Times New Roman"/>
                <w:color w:val="000000" w:themeColor="text1"/>
                <w:kern w:val="52"/>
                <w:szCs w:val="24"/>
                <w14:textFill>
                  <w14:solidFill>
                    <w14:schemeClr w14:val="tx1"/>
                  </w14:solidFill>
                </w14:textFill>
              </w:rPr>
              <w:t>、</w:t>
            </w:r>
            <w:r>
              <w:rPr>
                <w:rFonts w:ascii="Times New Roman" w:hAnsi="Times New Roman"/>
                <w:color w:val="000000" w:themeColor="text1"/>
                <w:kern w:val="52"/>
                <w:szCs w:val="24"/>
                <w14:textFill>
                  <w14:solidFill>
                    <w14:schemeClr w14:val="tx1"/>
                  </w14:solidFill>
                </w14:textFill>
              </w:rPr>
              <w:t>0.</w:t>
            </w:r>
            <w:r>
              <w:rPr>
                <w:rFonts w:hint="eastAsia" w:ascii="Times New Roman" w:hAnsi="Times New Roman"/>
                <w:color w:val="000000" w:themeColor="text1"/>
                <w:kern w:val="52"/>
                <w:szCs w:val="24"/>
                <w14:textFill>
                  <w14:solidFill>
                    <w14:schemeClr w14:val="tx1"/>
                  </w14:solidFill>
                </w14:textFill>
              </w:rPr>
              <w:t>060</w:t>
            </w:r>
            <w:r>
              <w:rPr>
                <w:rFonts w:ascii="Times New Roman" w:hAnsi="Times New Roman"/>
                <w:color w:val="000000" w:themeColor="text1"/>
                <w:kern w:val="52"/>
                <w:szCs w:val="24"/>
                <w14:textFill>
                  <w14:solidFill>
                    <w14:schemeClr w14:val="tx1"/>
                  </w14:solidFill>
                </w14:textFill>
              </w:rPr>
              <w:t>t/a，</w:t>
            </w:r>
            <w:r>
              <w:rPr>
                <w:rFonts w:hint="eastAsia" w:ascii="Times New Roman" w:hAnsi="Times New Roman"/>
                <w:color w:val="000000" w:themeColor="text1"/>
                <w:kern w:val="52"/>
                <w:szCs w:val="24"/>
                <w14:textFill>
                  <w14:solidFill>
                    <w14:schemeClr w14:val="tx1"/>
                  </w14:solidFill>
                </w14:textFill>
              </w:rPr>
              <w:t>因此白酒生产线、啤酒生产线以及植物饮料生产线破碎</w:t>
            </w:r>
            <w:r>
              <w:rPr>
                <w:rFonts w:ascii="Times New Roman" w:hAnsi="Times New Roman"/>
                <w:color w:val="000000" w:themeColor="text1"/>
                <w:kern w:val="52"/>
                <w:szCs w:val="24"/>
                <w14:textFill>
                  <w14:solidFill>
                    <w14:schemeClr w14:val="tx1"/>
                  </w14:solidFill>
                </w14:textFill>
              </w:rPr>
              <w:t>过程粉尘产生</w:t>
            </w:r>
            <w:r>
              <w:rPr>
                <w:rFonts w:hint="eastAsia" w:ascii="Times New Roman" w:hAnsi="Times New Roman"/>
                <w:color w:val="000000" w:themeColor="text1"/>
                <w:kern w:val="52"/>
                <w:szCs w:val="24"/>
                <w14:textFill>
                  <w14:solidFill>
                    <w14:schemeClr w14:val="tx1"/>
                  </w14:solidFill>
                </w14:textFill>
              </w:rPr>
              <w:t>总</w:t>
            </w:r>
            <w:r>
              <w:rPr>
                <w:rFonts w:ascii="Times New Roman" w:hAnsi="Times New Roman"/>
                <w:color w:val="000000" w:themeColor="text1"/>
                <w:kern w:val="52"/>
                <w:szCs w:val="24"/>
                <w14:textFill>
                  <w14:solidFill>
                    <w14:schemeClr w14:val="tx1"/>
                  </w14:solidFill>
                </w14:textFill>
              </w:rPr>
              <w:t>量</w:t>
            </w:r>
            <w:r>
              <w:rPr>
                <w:rFonts w:hint="eastAsia" w:ascii="Times New Roman" w:hAnsi="Times New Roman"/>
                <w:color w:val="000000" w:themeColor="text1"/>
                <w:kern w:val="52"/>
                <w:szCs w:val="24"/>
                <w14:textFill>
                  <w14:solidFill>
                    <w14:schemeClr w14:val="tx1"/>
                  </w14:solidFill>
                </w14:textFill>
              </w:rPr>
              <w:t>为0.515</w:t>
            </w:r>
            <w:r>
              <w:rPr>
                <w:rFonts w:ascii="Times New Roman" w:hAnsi="Times New Roman"/>
                <w:color w:val="000000" w:themeColor="text1"/>
                <w:kern w:val="52"/>
                <w:szCs w:val="24"/>
                <w14:textFill>
                  <w14:solidFill>
                    <w14:schemeClr w14:val="tx1"/>
                  </w14:solidFill>
                </w14:textFill>
              </w:rPr>
              <w:t>t/a，产生速率为0.</w:t>
            </w:r>
            <w:r>
              <w:rPr>
                <w:rFonts w:hint="eastAsia" w:ascii="Times New Roman" w:hAnsi="Times New Roman"/>
                <w:color w:val="000000" w:themeColor="text1"/>
                <w:kern w:val="52"/>
                <w:szCs w:val="24"/>
                <w14:textFill>
                  <w14:solidFill>
                    <w14:schemeClr w14:val="tx1"/>
                  </w14:solidFill>
                </w14:textFill>
              </w:rPr>
              <w:t>792</w:t>
            </w:r>
            <w:r>
              <w:rPr>
                <w:rFonts w:ascii="Times New Roman" w:hAnsi="Times New Roman"/>
                <w:color w:val="000000" w:themeColor="text1"/>
                <w:kern w:val="52"/>
                <w:szCs w:val="24"/>
                <w14:textFill>
                  <w14:solidFill>
                    <w14:schemeClr w14:val="tx1"/>
                  </w14:solidFill>
                </w14:textFill>
              </w:rPr>
              <w:t>kg/h。</w:t>
            </w:r>
          </w:p>
          <w:p w14:paraId="475A5F68">
            <w:pPr>
              <w:adjustRightInd w:val="0"/>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3）袋泡茶生产过程粉尘</w:t>
            </w:r>
          </w:p>
          <w:p w14:paraId="22A5E329">
            <w:pPr>
              <w:adjustRightInd w:val="0"/>
              <w:snapToGrid w:val="0"/>
              <w:spacing w:line="360" w:lineRule="auto"/>
              <w:ind w:firstLine="480" w:firstLineChars="200"/>
              <w:rPr>
                <w:color w:val="000000" w:themeColor="text1"/>
                <w:kern w:val="0"/>
                <w14:textFill>
                  <w14:solidFill>
                    <w14:schemeClr w14:val="tx1"/>
                  </w14:solidFill>
                </w14:textFill>
              </w:rPr>
            </w:pPr>
            <w:r>
              <w:rPr>
                <w:rFonts w:hint="eastAsia"/>
                <w:color w:val="000000" w:themeColor="text1"/>
                <w:kern w:val="52"/>
                <w:sz w:val="24"/>
                <w14:textFill>
                  <w14:solidFill>
                    <w14:schemeClr w14:val="tx1"/>
                  </w14:solidFill>
                </w14:textFill>
              </w:rPr>
              <w:t>项目对袋泡茶原料（铁观音、野山茶、荷叶、甘草、菊花以及大枣）进行粉碎/研磨、混合、制粒以及包装工序会产生一定量的粉尘，参照《排放源统计调查产排污核算方法和系数手册》（153 精制茶制造行业系数手册）中精制茶加工的产排污系数为1.5kg/t-产品，本项目年产袋泡茶共计100t，则袋泡茶生产线生产过程粉尘产生量为0.15t/a，项目袋泡茶生产线</w:t>
            </w:r>
            <w:r>
              <w:rPr>
                <w:color w:val="000000" w:themeColor="text1"/>
                <w:kern w:val="0"/>
                <w:sz w:val="24"/>
                <w14:textFill>
                  <w14:solidFill>
                    <w14:schemeClr w14:val="tx1"/>
                  </w14:solidFill>
                </w14:textFill>
              </w:rPr>
              <w:t>年工作时间约为</w:t>
            </w:r>
            <w:r>
              <w:rPr>
                <w:rFonts w:hint="eastAsia"/>
                <w:color w:val="000000" w:themeColor="text1"/>
                <w:kern w:val="0"/>
                <w:sz w:val="24"/>
                <w14:textFill>
                  <w14:solidFill>
                    <w14:schemeClr w14:val="tx1"/>
                  </w14:solidFill>
                </w14:textFill>
              </w:rPr>
              <w:t>1000</w:t>
            </w:r>
            <w:r>
              <w:rPr>
                <w:color w:val="000000" w:themeColor="text1"/>
                <w:kern w:val="0"/>
                <w:sz w:val="24"/>
                <w14:textFill>
                  <w14:solidFill>
                    <w14:schemeClr w14:val="tx1"/>
                  </w14:solidFill>
                </w14:textFill>
              </w:rPr>
              <w:t>h，则</w:t>
            </w:r>
            <w:r>
              <w:rPr>
                <w:rFonts w:hint="eastAsia"/>
                <w:color w:val="000000" w:themeColor="text1"/>
                <w:kern w:val="52"/>
                <w:sz w:val="24"/>
                <w14:textFill>
                  <w14:solidFill>
                    <w14:schemeClr w14:val="tx1"/>
                  </w14:solidFill>
                </w14:textFill>
              </w:rPr>
              <w:t>袋泡茶生产过程</w:t>
            </w:r>
            <w:r>
              <w:rPr>
                <w:color w:val="000000" w:themeColor="text1"/>
                <w:kern w:val="0"/>
                <w:sz w:val="24"/>
                <w14:textFill>
                  <w14:solidFill>
                    <w14:schemeClr w14:val="tx1"/>
                  </w14:solidFill>
                </w14:textFill>
              </w:rPr>
              <w:t>粉尘</w:t>
            </w:r>
            <w:r>
              <w:rPr>
                <w:rFonts w:hint="eastAsia"/>
                <w:color w:val="000000" w:themeColor="text1"/>
                <w:kern w:val="0"/>
                <w:sz w:val="24"/>
                <w14:textFill>
                  <w14:solidFill>
                    <w14:schemeClr w14:val="tx1"/>
                  </w14:solidFill>
                </w14:textFill>
              </w:rPr>
              <w:t>产生</w:t>
            </w:r>
            <w:r>
              <w:rPr>
                <w:color w:val="000000" w:themeColor="text1"/>
                <w:kern w:val="0"/>
                <w:sz w:val="24"/>
                <w14:textFill>
                  <w14:solidFill>
                    <w14:schemeClr w14:val="tx1"/>
                  </w14:solidFill>
                </w14:textFill>
              </w:rPr>
              <w:t>量为0.</w:t>
            </w:r>
            <w:r>
              <w:rPr>
                <w:rFonts w:hint="eastAsia"/>
                <w:color w:val="000000" w:themeColor="text1"/>
                <w:kern w:val="0"/>
                <w:sz w:val="24"/>
                <w14:textFill>
                  <w14:solidFill>
                    <w14:schemeClr w14:val="tx1"/>
                  </w14:solidFill>
                </w14:textFill>
              </w:rPr>
              <w:t>15</w:t>
            </w:r>
            <w:r>
              <w:rPr>
                <w:color w:val="000000" w:themeColor="text1"/>
                <w:kern w:val="0"/>
                <w:sz w:val="24"/>
                <w14:textFill>
                  <w14:solidFill>
                    <w14:schemeClr w14:val="tx1"/>
                  </w14:solidFill>
                </w14:textFill>
              </w:rPr>
              <w:t>t/a，</w:t>
            </w:r>
            <w:r>
              <w:rPr>
                <w:rFonts w:hint="eastAsia"/>
                <w:color w:val="000000" w:themeColor="text1"/>
                <w:kern w:val="0"/>
                <w:sz w:val="24"/>
                <w14:textFill>
                  <w14:solidFill>
                    <w14:schemeClr w14:val="tx1"/>
                  </w14:solidFill>
                </w14:textFill>
              </w:rPr>
              <w:t>产生</w:t>
            </w:r>
            <w:r>
              <w:rPr>
                <w:color w:val="000000" w:themeColor="text1"/>
                <w:kern w:val="0"/>
                <w:sz w:val="24"/>
                <w14:textFill>
                  <w14:solidFill>
                    <w14:schemeClr w14:val="tx1"/>
                  </w14:solidFill>
                </w14:textFill>
              </w:rPr>
              <w:t>速率0.</w:t>
            </w:r>
            <w:r>
              <w:rPr>
                <w:rFonts w:hint="eastAsia"/>
                <w:color w:val="000000" w:themeColor="text1"/>
                <w:kern w:val="0"/>
                <w:sz w:val="24"/>
                <w14:textFill>
                  <w14:solidFill>
                    <w14:schemeClr w14:val="tx1"/>
                  </w14:solidFill>
                </w14:textFill>
              </w:rPr>
              <w:t>15</w:t>
            </w:r>
            <w:r>
              <w:rPr>
                <w:color w:val="000000" w:themeColor="text1"/>
                <w:kern w:val="0"/>
                <w:sz w:val="24"/>
                <w14:textFill>
                  <w14:solidFill>
                    <w14:schemeClr w14:val="tx1"/>
                  </w14:solidFill>
                </w14:textFill>
              </w:rPr>
              <w:t>kg/h。</w:t>
            </w:r>
          </w:p>
          <w:p w14:paraId="2BE17E7E">
            <w:pPr>
              <w:pStyle w:val="60"/>
              <w:snapToGrid w:val="0"/>
              <w:spacing w:line="360" w:lineRule="auto"/>
              <w:ind w:firstLine="480" w:firstLineChars="200"/>
              <w:jc w:val="both"/>
              <w:rPr>
                <w:rFonts w:ascii="Times New Roman" w:hAnsi="Times New Roman"/>
                <w:bCs/>
                <w:color w:val="000000" w:themeColor="text1"/>
                <w:spacing w:val="-10"/>
                <w14:textFill>
                  <w14:solidFill>
                    <w14:schemeClr w14:val="tx1"/>
                  </w14:solidFill>
                </w14:textFill>
              </w:rPr>
            </w:pPr>
            <w:r>
              <w:rPr>
                <w:rFonts w:hint="eastAsia" w:ascii="Times New Roman" w:hAnsi="Times New Roman"/>
                <w:color w:val="000000" w:themeColor="text1"/>
                <w:kern w:val="0"/>
                <w14:textFill>
                  <w14:solidFill>
                    <w14:schemeClr w14:val="tx1"/>
                  </w14:solidFill>
                </w14:textFill>
              </w:rPr>
              <w:t>根据《关于发布&lt;饮料酒制造业污染防治技术政策&gt;的公告》（环境保护部公告2018年第7号），“原料输送、粉碎工序产生的粉尘应采用封闭粉碎、袋式除尘或喷水降尘等方法与技术进行收集与处理”，</w:t>
            </w:r>
            <w:r>
              <w:rPr>
                <w:rFonts w:hint="eastAsia" w:ascii="Times New Roman" w:hAnsi="Times New Roman"/>
                <w:color w:val="000000" w:themeColor="text1"/>
                <w:kern w:val="52"/>
                <w14:textFill>
                  <w14:solidFill>
                    <w14:schemeClr w14:val="tx1"/>
                  </w14:solidFill>
                </w14:textFill>
              </w:rPr>
              <w:t>白酒、啤酒以及植物饮料生产线原料投料</w:t>
            </w:r>
            <w:r>
              <w:rPr>
                <w:rFonts w:hint="eastAsia" w:ascii="Times New Roman" w:hAnsi="Times New Roman"/>
                <w:color w:val="000000" w:themeColor="text1"/>
                <w:kern w:val="0"/>
                <w14:textFill>
                  <w14:solidFill>
                    <w14:schemeClr w14:val="tx1"/>
                  </w14:solidFill>
                </w14:textFill>
              </w:rPr>
              <w:t>粉尘、破碎粉尘以及</w:t>
            </w:r>
            <w:r>
              <w:rPr>
                <w:rFonts w:hint="eastAsia"/>
                <w:color w:val="000000" w:themeColor="text1"/>
                <w:kern w:val="52"/>
                <w14:textFill>
                  <w14:solidFill>
                    <w14:schemeClr w14:val="tx1"/>
                  </w14:solidFill>
                </w14:textFill>
              </w:rPr>
              <w:t>袋泡茶</w:t>
            </w:r>
            <w:r>
              <w:rPr>
                <w:rFonts w:hint="eastAsia" w:ascii="Times New Roman" w:hAnsi="Times New Roman"/>
                <w:color w:val="000000" w:themeColor="text1"/>
                <w:kern w:val="52"/>
                <w14:textFill>
                  <w14:solidFill>
                    <w14:schemeClr w14:val="tx1"/>
                  </w14:solidFill>
                </w14:textFill>
              </w:rPr>
              <w:t>生产线原料粉碎/研磨</w:t>
            </w:r>
            <w:r>
              <w:rPr>
                <w:rFonts w:hint="eastAsia" w:ascii="Times New Roman" w:hAnsi="Times New Roman"/>
                <w:color w:val="000000" w:themeColor="text1"/>
                <w:kern w:val="0"/>
                <w14:textFill>
                  <w14:solidFill>
                    <w14:schemeClr w14:val="tx1"/>
                  </w14:solidFill>
                </w14:textFill>
              </w:rPr>
              <w:t>粉尘、混合粉尘、制粒粉尘以及包装粉尘经集气罩收集引入1套覆膜袋式除尘器（TA001）处理后通过1根15m高排气筒（DA001）排放，</w:t>
            </w:r>
            <w:r>
              <w:rPr>
                <w:rFonts w:ascii="Times New Roman" w:hAnsi="Times New Roman"/>
                <w:bCs/>
                <w:color w:val="000000" w:themeColor="text1"/>
                <w:spacing w:val="-10"/>
                <w14:textFill>
                  <w14:solidFill>
                    <w14:schemeClr w14:val="tx1"/>
                  </w14:solidFill>
                </w14:textFill>
              </w:rPr>
              <w:t>根据《排风罩的分类及技术条件》（GB/T16758），</w:t>
            </w:r>
            <w:r>
              <w:rPr>
                <w:rFonts w:hint="eastAsia" w:ascii="Times New Roman" w:hAnsi="Times New Roman"/>
                <w:bCs/>
                <w:color w:val="000000" w:themeColor="text1"/>
                <w:spacing w:val="-10"/>
                <w14:textFill>
                  <w14:solidFill>
                    <w14:schemeClr w14:val="tx1"/>
                  </w14:solidFill>
                </w14:textFill>
              </w:rPr>
              <w:t>集气罩</w:t>
            </w:r>
            <w:r>
              <w:rPr>
                <w:rFonts w:ascii="Times New Roman" w:hAnsi="Times New Roman"/>
                <w:bCs/>
                <w:color w:val="000000" w:themeColor="text1"/>
                <w:spacing w:val="-10"/>
                <w14:textFill>
                  <w14:solidFill>
                    <w14:schemeClr w14:val="tx1"/>
                  </w14:solidFill>
                </w14:textFill>
              </w:rPr>
              <w:t>风量设计如下：</w:t>
            </w:r>
          </w:p>
          <w:p w14:paraId="4EE2206B">
            <w:pPr>
              <w:pStyle w:val="60"/>
              <w:snapToGrid w:val="0"/>
              <w:spacing w:line="360" w:lineRule="auto"/>
              <w:ind w:firstLine="440" w:firstLineChars="200"/>
              <w:jc w:val="both"/>
              <w:rPr>
                <w:rFonts w:ascii="Times New Roman" w:hAnsi="Times New Roman"/>
                <w:bCs/>
                <w:color w:val="000000" w:themeColor="text1"/>
                <w:spacing w:val="-10"/>
                <w14:textFill>
                  <w14:solidFill>
                    <w14:schemeClr w14:val="tx1"/>
                  </w14:solidFill>
                </w14:textFill>
              </w:rPr>
            </w:pPr>
            <w:r>
              <w:rPr>
                <w:rFonts w:ascii="Times New Roman" w:hAnsi="Times New Roman"/>
                <w:bCs/>
                <w:color w:val="000000" w:themeColor="text1"/>
                <w:spacing w:val="-10"/>
                <w14:textFill>
                  <w14:solidFill>
                    <w14:schemeClr w14:val="tx1"/>
                  </w14:solidFill>
                </w14:textFill>
              </w:rPr>
              <w:t>单个</w:t>
            </w:r>
            <w:r>
              <w:rPr>
                <w:rFonts w:hint="eastAsia" w:ascii="Times New Roman" w:hAnsi="Times New Roman"/>
                <w:bCs/>
                <w:color w:val="000000" w:themeColor="text1"/>
                <w:spacing w:val="-10"/>
                <w14:textFill>
                  <w14:solidFill>
                    <w14:schemeClr w14:val="tx1"/>
                  </w14:solidFill>
                </w14:textFill>
              </w:rPr>
              <w:t>集气罩</w:t>
            </w:r>
            <w:r>
              <w:rPr>
                <w:rFonts w:ascii="Times New Roman" w:hAnsi="Times New Roman"/>
                <w:bCs/>
                <w:color w:val="000000" w:themeColor="text1"/>
                <w:spacing w:val="-10"/>
                <w14:textFill>
                  <w14:solidFill>
                    <w14:schemeClr w14:val="tx1"/>
                  </w14:solidFill>
                </w14:textFill>
              </w:rPr>
              <w:t>风量计算公式：Q=F*v</w:t>
            </w:r>
          </w:p>
          <w:p w14:paraId="5BA90B91">
            <w:pPr>
              <w:pStyle w:val="60"/>
              <w:snapToGrid w:val="0"/>
              <w:spacing w:line="360" w:lineRule="auto"/>
              <w:ind w:firstLine="440" w:firstLineChars="200"/>
              <w:jc w:val="both"/>
              <w:rPr>
                <w:rFonts w:ascii="Times New Roman" w:hAnsi="Times New Roman"/>
                <w:bCs/>
                <w:color w:val="000000" w:themeColor="text1"/>
                <w:spacing w:val="-10"/>
                <w14:textFill>
                  <w14:solidFill>
                    <w14:schemeClr w14:val="tx1"/>
                  </w14:solidFill>
                </w14:textFill>
              </w:rPr>
            </w:pPr>
            <w:r>
              <w:rPr>
                <w:rFonts w:ascii="Times New Roman" w:hAnsi="Times New Roman"/>
                <w:bCs/>
                <w:color w:val="000000" w:themeColor="text1"/>
                <w:spacing w:val="-10"/>
                <w14:textFill>
                  <w14:solidFill>
                    <w14:schemeClr w14:val="tx1"/>
                  </w14:solidFill>
                </w14:textFill>
              </w:rPr>
              <w:t>式中：Q</w:t>
            </w:r>
            <w:r>
              <w:rPr>
                <w:rFonts w:hint="eastAsia" w:ascii="Times New Roman" w:hAnsi="Times New Roman"/>
                <w:bCs/>
                <w:color w:val="000000" w:themeColor="text1"/>
                <w:spacing w:val="-10"/>
                <w14:textFill>
                  <w14:solidFill>
                    <w14:schemeClr w14:val="tx1"/>
                  </w14:solidFill>
                </w14:textFill>
              </w:rPr>
              <w:t>—集气罩</w:t>
            </w:r>
            <w:r>
              <w:rPr>
                <w:rFonts w:ascii="Times New Roman" w:hAnsi="Times New Roman"/>
                <w:bCs/>
                <w:color w:val="000000" w:themeColor="text1"/>
                <w:spacing w:val="-10"/>
                <w14:textFill>
                  <w14:solidFill>
                    <w14:schemeClr w14:val="tx1"/>
                  </w14:solidFill>
                </w14:textFill>
              </w:rPr>
              <w:t>的排风量，单位为立方米每秒（m</w:t>
            </w:r>
            <w:r>
              <w:rPr>
                <w:rFonts w:ascii="Times New Roman" w:hAnsi="Times New Roman"/>
                <w:bCs/>
                <w:color w:val="000000" w:themeColor="text1"/>
                <w:spacing w:val="-10"/>
                <w:vertAlign w:val="superscript"/>
                <w14:textFill>
                  <w14:solidFill>
                    <w14:schemeClr w14:val="tx1"/>
                  </w14:solidFill>
                </w14:textFill>
              </w:rPr>
              <w:t>3</w:t>
            </w:r>
            <w:r>
              <w:rPr>
                <w:rFonts w:ascii="Times New Roman" w:hAnsi="Times New Roman"/>
                <w:bCs/>
                <w:color w:val="000000" w:themeColor="text1"/>
                <w:spacing w:val="-10"/>
                <w14:textFill>
                  <w14:solidFill>
                    <w14:schemeClr w14:val="tx1"/>
                  </w14:solidFill>
                </w14:textFill>
              </w:rPr>
              <w:t>/s）；</w:t>
            </w:r>
          </w:p>
          <w:p w14:paraId="68DCBF7C">
            <w:pPr>
              <w:pStyle w:val="60"/>
              <w:snapToGrid w:val="0"/>
              <w:spacing w:line="360" w:lineRule="auto"/>
              <w:ind w:firstLine="1100" w:firstLineChars="500"/>
              <w:jc w:val="both"/>
              <w:rPr>
                <w:rFonts w:ascii="Times New Roman" w:hAnsi="Times New Roman"/>
                <w:bCs/>
                <w:color w:val="000000" w:themeColor="text1"/>
                <w:spacing w:val="-10"/>
                <w14:textFill>
                  <w14:solidFill>
                    <w14:schemeClr w14:val="tx1"/>
                  </w14:solidFill>
                </w14:textFill>
              </w:rPr>
            </w:pPr>
            <w:r>
              <w:rPr>
                <w:rFonts w:ascii="Times New Roman" w:hAnsi="Times New Roman"/>
                <w:bCs/>
                <w:color w:val="000000" w:themeColor="text1"/>
                <w:spacing w:val="-10"/>
                <w14:textFill>
                  <w14:solidFill>
                    <w14:schemeClr w14:val="tx1"/>
                  </w14:solidFill>
                </w14:textFill>
              </w:rPr>
              <w:t>F</w:t>
            </w:r>
            <w:r>
              <w:rPr>
                <w:rFonts w:hint="eastAsia" w:ascii="Times New Roman" w:hAnsi="Times New Roman"/>
                <w:bCs/>
                <w:color w:val="000000" w:themeColor="text1"/>
                <w:spacing w:val="-10"/>
                <w14:textFill>
                  <w14:solidFill>
                    <w14:schemeClr w14:val="tx1"/>
                  </w14:solidFill>
                </w14:textFill>
              </w:rPr>
              <w:t>—集气罩</w:t>
            </w:r>
            <w:r>
              <w:rPr>
                <w:rFonts w:ascii="Times New Roman" w:hAnsi="Times New Roman"/>
                <w:bCs/>
                <w:color w:val="000000" w:themeColor="text1"/>
                <w:spacing w:val="-10"/>
                <w14:textFill>
                  <w14:solidFill>
                    <w14:schemeClr w14:val="tx1"/>
                  </w14:solidFill>
                </w14:textFill>
              </w:rPr>
              <w:t>罩口面积，单位为平方米（m</w:t>
            </w:r>
            <w:r>
              <w:rPr>
                <w:rFonts w:ascii="Times New Roman" w:hAnsi="Times New Roman"/>
                <w:bCs/>
                <w:color w:val="000000" w:themeColor="text1"/>
                <w:spacing w:val="-10"/>
                <w:vertAlign w:val="superscript"/>
                <w14:textFill>
                  <w14:solidFill>
                    <w14:schemeClr w14:val="tx1"/>
                  </w14:solidFill>
                </w14:textFill>
              </w:rPr>
              <w:t>2</w:t>
            </w:r>
            <w:r>
              <w:rPr>
                <w:rFonts w:ascii="Times New Roman" w:hAnsi="Times New Roman"/>
                <w:bCs/>
                <w:color w:val="000000" w:themeColor="text1"/>
                <w:spacing w:val="-10"/>
                <w14:textFill>
                  <w14:solidFill>
                    <w14:schemeClr w14:val="tx1"/>
                  </w14:solidFill>
                </w14:textFill>
              </w:rPr>
              <w:t>）；</w:t>
            </w:r>
          </w:p>
          <w:p w14:paraId="415058EB">
            <w:pPr>
              <w:pStyle w:val="60"/>
              <w:snapToGrid w:val="0"/>
              <w:spacing w:line="360" w:lineRule="auto"/>
              <w:ind w:firstLine="1100" w:firstLineChars="500"/>
              <w:jc w:val="both"/>
              <w:rPr>
                <w:rFonts w:ascii="Times New Roman" w:hAnsi="Times New Roman"/>
                <w:bCs/>
                <w:color w:val="000000" w:themeColor="text1"/>
                <w:spacing w:val="-10"/>
                <w14:textFill>
                  <w14:solidFill>
                    <w14:schemeClr w14:val="tx1"/>
                  </w14:solidFill>
                </w14:textFill>
              </w:rPr>
            </w:pPr>
            <w:r>
              <w:rPr>
                <w:rFonts w:ascii="Times New Roman" w:hAnsi="Times New Roman"/>
                <w:bCs/>
                <w:color w:val="000000" w:themeColor="text1"/>
                <w:spacing w:val="-10"/>
                <w14:textFill>
                  <w14:solidFill>
                    <w14:schemeClr w14:val="tx1"/>
                  </w14:solidFill>
                </w14:textFill>
              </w:rPr>
              <w:t>v</w:t>
            </w:r>
            <w:r>
              <w:rPr>
                <w:rFonts w:hint="eastAsia" w:ascii="Times New Roman" w:hAnsi="Times New Roman"/>
                <w:bCs/>
                <w:color w:val="000000" w:themeColor="text1"/>
                <w:spacing w:val="-10"/>
                <w14:textFill>
                  <w14:solidFill>
                    <w14:schemeClr w14:val="tx1"/>
                  </w14:solidFill>
                </w14:textFill>
              </w:rPr>
              <w:t>—集气罩</w:t>
            </w:r>
            <w:r>
              <w:rPr>
                <w:rFonts w:ascii="Times New Roman" w:hAnsi="Times New Roman"/>
                <w:bCs/>
                <w:color w:val="000000" w:themeColor="text1"/>
                <w:spacing w:val="-10"/>
                <w14:textFill>
                  <w14:solidFill>
                    <w14:schemeClr w14:val="tx1"/>
                  </w14:solidFill>
                </w14:textFill>
              </w:rPr>
              <w:t>罩口平均风速，单位为米每秒（m/s）；取0.35m/s。</w:t>
            </w:r>
          </w:p>
          <w:p w14:paraId="4B5DF608">
            <w:pPr>
              <w:spacing w:line="360" w:lineRule="auto"/>
              <w:ind w:firstLine="480" w:firstLineChars="200"/>
              <w:rPr>
                <w:bCs/>
                <w:color w:val="000000" w:themeColor="text1"/>
                <w:spacing w:val="-10"/>
                <w:sz w:val="24"/>
                <w14:textFill>
                  <w14:solidFill>
                    <w14:schemeClr w14:val="tx1"/>
                  </w14:solidFill>
                </w14:textFill>
              </w:rPr>
            </w:pPr>
            <w:r>
              <w:rPr>
                <w:rFonts w:hint="eastAsia"/>
                <w:color w:val="000000" w:themeColor="text1"/>
                <w:kern w:val="0"/>
                <w:sz w:val="24"/>
                <w14:textFill>
                  <w14:solidFill>
                    <w14:schemeClr w14:val="tx1"/>
                  </w14:solidFill>
                </w14:textFill>
              </w:rPr>
              <w:t>项目</w:t>
            </w:r>
            <w:r>
              <w:rPr>
                <w:color w:val="000000" w:themeColor="text1"/>
                <w:kern w:val="0"/>
                <w:sz w:val="24"/>
                <w14:textFill>
                  <w14:solidFill>
                    <w14:schemeClr w14:val="tx1"/>
                  </w14:solidFill>
                </w14:textFill>
              </w:rPr>
              <w:t>粉碎机上料口以及粉碎机上方集气罩尺寸按0.</w:t>
            </w:r>
            <w:r>
              <w:rPr>
                <w:rFonts w:hint="eastAsia"/>
                <w:color w:val="000000" w:themeColor="text1"/>
                <w:kern w:val="0"/>
                <w:sz w:val="24"/>
                <w14:textFill>
                  <w14:solidFill>
                    <w14:schemeClr w14:val="tx1"/>
                  </w14:solidFill>
                </w14:textFill>
              </w:rPr>
              <w:t>5</w:t>
            </w:r>
            <w:r>
              <w:rPr>
                <w:color w:val="000000" w:themeColor="text1"/>
                <w:kern w:val="0"/>
                <w:sz w:val="24"/>
                <w14:textFill>
                  <w14:solidFill>
                    <w14:schemeClr w14:val="tx1"/>
                  </w14:solidFill>
                </w14:textFill>
              </w:rPr>
              <w:t>m×0.</w:t>
            </w:r>
            <w:r>
              <w:rPr>
                <w:rFonts w:hint="eastAsia"/>
                <w:color w:val="000000" w:themeColor="text1"/>
                <w:kern w:val="0"/>
                <w:sz w:val="24"/>
                <w14:textFill>
                  <w14:solidFill>
                    <w14:schemeClr w14:val="tx1"/>
                  </w14:solidFill>
                </w14:textFill>
              </w:rPr>
              <w:t>5m</w:t>
            </w:r>
            <w:r>
              <w:rPr>
                <w:color w:val="000000" w:themeColor="text1"/>
                <w:kern w:val="0"/>
                <w:sz w:val="24"/>
                <w14:textFill>
                  <w14:solidFill>
                    <w14:schemeClr w14:val="tx1"/>
                  </w14:solidFill>
                </w14:textFill>
              </w:rPr>
              <w:t>设计，共计6个，</w:t>
            </w:r>
            <w:r>
              <w:rPr>
                <w:rFonts w:hint="eastAsia"/>
                <w:color w:val="000000" w:themeColor="text1"/>
                <w:kern w:val="52"/>
                <w:sz w:val="24"/>
                <w14:textFill>
                  <w14:solidFill>
                    <w14:schemeClr w14:val="tx1"/>
                  </w14:solidFill>
                </w14:textFill>
              </w:rPr>
              <w:t>袋泡茶</w:t>
            </w:r>
            <w:r>
              <w:rPr>
                <w:color w:val="000000" w:themeColor="text1"/>
                <w:kern w:val="0"/>
                <w:sz w:val="24"/>
                <w14:textFill>
                  <w14:solidFill>
                    <w14:schemeClr w14:val="tx1"/>
                  </w14:solidFill>
                </w14:textFill>
              </w:rPr>
              <w:t>粉碎机</w:t>
            </w:r>
            <w:r>
              <w:rPr>
                <w:rFonts w:hint="eastAsia"/>
                <w:color w:val="000000" w:themeColor="text1"/>
                <w:kern w:val="0"/>
                <w:sz w:val="24"/>
                <w14:textFill>
                  <w14:solidFill>
                    <w14:schemeClr w14:val="tx1"/>
                  </w14:solidFill>
                </w14:textFill>
              </w:rPr>
              <w:t>、研磨机、混合机、制粒机以及包装机</w:t>
            </w:r>
            <w:r>
              <w:rPr>
                <w:color w:val="000000" w:themeColor="text1"/>
                <w:kern w:val="0"/>
                <w:sz w:val="24"/>
                <w14:textFill>
                  <w14:solidFill>
                    <w14:schemeClr w14:val="tx1"/>
                  </w14:solidFill>
                </w14:textFill>
              </w:rPr>
              <w:t>上方集气罩尺寸按0.</w:t>
            </w:r>
            <w:r>
              <w:rPr>
                <w:rFonts w:hint="eastAsia"/>
                <w:color w:val="000000" w:themeColor="text1"/>
                <w:kern w:val="0"/>
                <w:sz w:val="24"/>
                <w14:textFill>
                  <w14:solidFill>
                    <w14:schemeClr w14:val="tx1"/>
                  </w14:solidFill>
                </w14:textFill>
              </w:rPr>
              <w:t>4</w:t>
            </w:r>
            <w:r>
              <w:rPr>
                <w:color w:val="000000" w:themeColor="text1"/>
                <w:kern w:val="0"/>
                <w:sz w:val="24"/>
                <w14:textFill>
                  <w14:solidFill>
                    <w14:schemeClr w14:val="tx1"/>
                  </w14:solidFill>
                </w14:textFill>
              </w:rPr>
              <w:t>m×0.</w:t>
            </w:r>
            <w:r>
              <w:rPr>
                <w:rFonts w:hint="eastAsia"/>
                <w:color w:val="000000" w:themeColor="text1"/>
                <w:kern w:val="0"/>
                <w:sz w:val="24"/>
                <w14:textFill>
                  <w14:solidFill>
                    <w14:schemeClr w14:val="tx1"/>
                  </w14:solidFill>
                </w14:textFill>
              </w:rPr>
              <w:t>4m</w:t>
            </w:r>
            <w:r>
              <w:rPr>
                <w:color w:val="000000" w:themeColor="text1"/>
                <w:kern w:val="0"/>
                <w:sz w:val="24"/>
                <w14:textFill>
                  <w14:solidFill>
                    <w14:schemeClr w14:val="tx1"/>
                  </w14:solidFill>
                </w14:textFill>
              </w:rPr>
              <w:t>设计，共计6个</w:t>
            </w:r>
            <w:r>
              <w:rPr>
                <w:rFonts w:hint="eastAsia"/>
                <w:color w:val="000000" w:themeColor="text1"/>
                <w:kern w:val="0"/>
                <w:sz w:val="24"/>
                <w14:textFill>
                  <w14:solidFill>
                    <w14:schemeClr w14:val="tx1"/>
                  </w14:solidFill>
                </w14:textFill>
              </w:rPr>
              <w:t>；</w:t>
            </w:r>
            <w:r>
              <w:rPr>
                <w:rFonts w:hint="eastAsia"/>
                <w:bCs/>
                <w:color w:val="000000" w:themeColor="text1"/>
                <w:spacing w:val="-10"/>
                <w:sz w:val="24"/>
                <w14:textFill>
                  <w14:solidFill>
                    <w14:schemeClr w14:val="tx1"/>
                  </w14:solidFill>
                </w14:textFill>
              </w:rPr>
              <w:t>综合车间内白酒、啤酒以及植物饮料生产线原料投料、破碎</w:t>
            </w:r>
            <w:r>
              <w:rPr>
                <w:bCs/>
                <w:color w:val="000000" w:themeColor="text1"/>
                <w:spacing w:val="-10"/>
                <w:sz w:val="24"/>
                <w14:textFill>
                  <w14:solidFill>
                    <w14:schemeClr w14:val="tx1"/>
                  </w14:solidFill>
                </w14:textFill>
              </w:rPr>
              <w:t>工序</w:t>
            </w:r>
            <w:r>
              <w:rPr>
                <w:rFonts w:hint="eastAsia"/>
                <w:bCs/>
                <w:color w:val="000000" w:themeColor="text1"/>
                <w:spacing w:val="-10"/>
                <w:sz w:val="24"/>
                <w14:textFill>
                  <w14:solidFill>
                    <w14:schemeClr w14:val="tx1"/>
                  </w14:solidFill>
                </w14:textFill>
              </w:rPr>
              <w:t>和</w:t>
            </w:r>
            <w:r>
              <w:rPr>
                <w:rFonts w:hint="eastAsia"/>
                <w:color w:val="000000" w:themeColor="text1"/>
                <w:kern w:val="52"/>
                <w:sz w:val="24"/>
                <w14:textFill>
                  <w14:solidFill>
                    <w14:schemeClr w14:val="tx1"/>
                  </w14:solidFill>
                </w14:textFill>
              </w:rPr>
              <w:t>袋泡茶生产过程</w:t>
            </w:r>
            <w:r>
              <w:rPr>
                <w:bCs/>
                <w:color w:val="000000" w:themeColor="text1"/>
                <w:spacing w:val="-10"/>
                <w:sz w:val="24"/>
                <w14:textFill>
                  <w14:solidFill>
                    <w14:schemeClr w14:val="tx1"/>
                  </w14:solidFill>
                </w14:textFill>
              </w:rPr>
              <w:t>所需要的集气罩总风量为Q=0.</w:t>
            </w:r>
            <w:r>
              <w:rPr>
                <w:rFonts w:hint="eastAsia"/>
                <w:bCs/>
                <w:color w:val="000000" w:themeColor="text1"/>
                <w:spacing w:val="-10"/>
                <w:sz w:val="24"/>
                <w14:textFill>
                  <w14:solidFill>
                    <w14:schemeClr w14:val="tx1"/>
                  </w14:solidFill>
                </w14:textFill>
              </w:rPr>
              <w:t>25</w:t>
            </w:r>
            <w:r>
              <w:rPr>
                <w:bCs/>
                <w:color w:val="000000" w:themeColor="text1"/>
                <w:spacing w:val="-10"/>
                <w:sz w:val="24"/>
                <w14:textFill>
                  <w14:solidFill>
                    <w14:schemeClr w14:val="tx1"/>
                  </w14:solidFill>
                </w14:textFill>
              </w:rPr>
              <w:t>×0.35×</w:t>
            </w:r>
            <w:r>
              <w:rPr>
                <w:rFonts w:hint="eastAsia"/>
                <w:bCs/>
                <w:color w:val="000000" w:themeColor="text1"/>
                <w:spacing w:val="-10"/>
                <w:sz w:val="24"/>
                <w14:textFill>
                  <w14:solidFill>
                    <w14:schemeClr w14:val="tx1"/>
                  </w14:solidFill>
                </w14:textFill>
              </w:rPr>
              <w:t>6+</w:t>
            </w:r>
            <w:r>
              <w:rPr>
                <w:bCs/>
                <w:color w:val="000000" w:themeColor="text1"/>
                <w:spacing w:val="-10"/>
                <w:sz w:val="24"/>
                <w14:textFill>
                  <w14:solidFill>
                    <w14:schemeClr w14:val="tx1"/>
                  </w14:solidFill>
                </w14:textFill>
              </w:rPr>
              <w:t>0.</w:t>
            </w:r>
            <w:r>
              <w:rPr>
                <w:rFonts w:hint="eastAsia"/>
                <w:bCs/>
                <w:color w:val="000000" w:themeColor="text1"/>
                <w:spacing w:val="-10"/>
                <w:sz w:val="24"/>
                <w14:textFill>
                  <w14:solidFill>
                    <w14:schemeClr w14:val="tx1"/>
                  </w14:solidFill>
                </w14:textFill>
              </w:rPr>
              <w:t>16</w:t>
            </w:r>
            <w:r>
              <w:rPr>
                <w:bCs/>
                <w:color w:val="000000" w:themeColor="text1"/>
                <w:spacing w:val="-10"/>
                <w:sz w:val="24"/>
                <w14:textFill>
                  <w14:solidFill>
                    <w14:schemeClr w14:val="tx1"/>
                  </w14:solidFill>
                </w14:textFill>
              </w:rPr>
              <w:t>×0.35×</w:t>
            </w:r>
            <w:r>
              <w:rPr>
                <w:rFonts w:hint="eastAsia"/>
                <w:bCs/>
                <w:color w:val="000000" w:themeColor="text1"/>
                <w:spacing w:val="-10"/>
                <w:sz w:val="24"/>
                <w14:textFill>
                  <w14:solidFill>
                    <w14:schemeClr w14:val="tx1"/>
                  </w14:solidFill>
                </w14:textFill>
              </w:rPr>
              <w:t>6</w:t>
            </w:r>
            <w:r>
              <w:rPr>
                <w:bCs/>
                <w:color w:val="000000" w:themeColor="text1"/>
                <w:spacing w:val="-10"/>
                <w:sz w:val="24"/>
                <w14:textFill>
                  <w14:solidFill>
                    <w14:schemeClr w14:val="tx1"/>
                  </w14:solidFill>
                </w14:textFill>
              </w:rPr>
              <w:t>=</w:t>
            </w:r>
            <w:r>
              <w:rPr>
                <w:rFonts w:hint="eastAsia"/>
                <w:bCs/>
                <w:color w:val="000000" w:themeColor="text1"/>
                <w:spacing w:val="-10"/>
                <w:sz w:val="24"/>
                <w14:textFill>
                  <w14:solidFill>
                    <w14:schemeClr w14:val="tx1"/>
                  </w14:solidFill>
                </w14:textFill>
              </w:rPr>
              <w:t>0.861</w:t>
            </w:r>
            <w:r>
              <w:rPr>
                <w:bCs/>
                <w:color w:val="000000" w:themeColor="text1"/>
                <w:spacing w:val="-10"/>
                <w:sz w:val="24"/>
                <w14:textFill>
                  <w14:solidFill>
                    <w14:schemeClr w14:val="tx1"/>
                  </w14:solidFill>
                </w14:textFill>
              </w:rPr>
              <w:t>m</w:t>
            </w:r>
            <w:r>
              <w:rPr>
                <w:bCs/>
                <w:color w:val="000000" w:themeColor="text1"/>
                <w:spacing w:val="-10"/>
                <w:sz w:val="24"/>
                <w:vertAlign w:val="superscript"/>
                <w14:textFill>
                  <w14:solidFill>
                    <w14:schemeClr w14:val="tx1"/>
                  </w14:solidFill>
                </w14:textFill>
              </w:rPr>
              <w:t>3</w:t>
            </w:r>
            <w:r>
              <w:rPr>
                <w:bCs/>
                <w:color w:val="000000" w:themeColor="text1"/>
                <w:spacing w:val="-10"/>
                <w:sz w:val="24"/>
                <w14:textFill>
                  <w14:solidFill>
                    <w14:schemeClr w14:val="tx1"/>
                  </w14:solidFill>
                </w14:textFill>
              </w:rPr>
              <w:t>/s=</w:t>
            </w:r>
            <w:r>
              <w:rPr>
                <w:rFonts w:hint="eastAsia"/>
                <w:bCs/>
                <w:color w:val="000000" w:themeColor="text1"/>
                <w:spacing w:val="-10"/>
                <w:sz w:val="24"/>
                <w14:textFill>
                  <w14:solidFill>
                    <w14:schemeClr w14:val="tx1"/>
                  </w14:solidFill>
                </w14:textFill>
              </w:rPr>
              <w:t>0.861</w:t>
            </w:r>
            <w:r>
              <w:rPr>
                <w:bCs/>
                <w:color w:val="000000" w:themeColor="text1"/>
                <w:spacing w:val="-10"/>
                <w:sz w:val="24"/>
                <w14:textFill>
                  <w14:solidFill>
                    <w14:schemeClr w14:val="tx1"/>
                  </w14:solidFill>
                </w14:textFill>
              </w:rPr>
              <w:t>×3600=</w:t>
            </w:r>
            <w:r>
              <w:rPr>
                <w:rFonts w:hint="eastAsia"/>
                <w:bCs/>
                <w:color w:val="000000" w:themeColor="text1"/>
                <w:spacing w:val="-10"/>
                <w:sz w:val="24"/>
                <w14:textFill>
                  <w14:solidFill>
                    <w14:schemeClr w14:val="tx1"/>
                  </w14:solidFill>
                </w14:textFill>
              </w:rPr>
              <w:t>3099.6</w:t>
            </w:r>
            <w:r>
              <w:rPr>
                <w:bCs/>
                <w:color w:val="000000" w:themeColor="text1"/>
                <w:spacing w:val="-10"/>
                <w:sz w:val="24"/>
                <w14:textFill>
                  <w14:solidFill>
                    <w14:schemeClr w14:val="tx1"/>
                  </w14:solidFill>
                </w14:textFill>
              </w:rPr>
              <w:t>m</w:t>
            </w:r>
            <w:r>
              <w:rPr>
                <w:bCs/>
                <w:color w:val="000000" w:themeColor="text1"/>
                <w:spacing w:val="-10"/>
                <w:sz w:val="24"/>
                <w:vertAlign w:val="superscript"/>
                <w14:textFill>
                  <w14:solidFill>
                    <w14:schemeClr w14:val="tx1"/>
                  </w14:solidFill>
                </w14:textFill>
              </w:rPr>
              <w:t>3</w:t>
            </w:r>
            <w:r>
              <w:rPr>
                <w:bCs/>
                <w:color w:val="000000" w:themeColor="text1"/>
                <w:spacing w:val="-10"/>
                <w:sz w:val="24"/>
                <w14:textFill>
                  <w14:solidFill>
                    <w14:schemeClr w14:val="tx1"/>
                  </w14:solidFill>
                </w14:textFill>
              </w:rPr>
              <w:t>/h，考虑管道风阻损耗，设计风量为</w:t>
            </w:r>
            <w:r>
              <w:rPr>
                <w:rFonts w:hint="eastAsia"/>
                <w:bCs/>
                <w:color w:val="000000" w:themeColor="text1"/>
                <w:spacing w:val="-10"/>
                <w:sz w:val="24"/>
                <w14:textFill>
                  <w14:solidFill>
                    <w14:schemeClr w14:val="tx1"/>
                  </w14:solidFill>
                </w14:textFill>
              </w:rPr>
              <w:t>3500</w:t>
            </w:r>
            <w:r>
              <w:rPr>
                <w:bCs/>
                <w:color w:val="000000" w:themeColor="text1"/>
                <w:spacing w:val="-10"/>
                <w:sz w:val="24"/>
                <w14:textFill>
                  <w14:solidFill>
                    <w14:schemeClr w14:val="tx1"/>
                  </w14:solidFill>
                </w14:textFill>
              </w:rPr>
              <w:t>m</w:t>
            </w:r>
            <w:r>
              <w:rPr>
                <w:bCs/>
                <w:color w:val="000000" w:themeColor="text1"/>
                <w:spacing w:val="-10"/>
                <w:sz w:val="24"/>
                <w:vertAlign w:val="superscript"/>
                <w14:textFill>
                  <w14:solidFill>
                    <w14:schemeClr w14:val="tx1"/>
                  </w14:solidFill>
                </w14:textFill>
              </w:rPr>
              <w:t>3</w:t>
            </w:r>
            <w:r>
              <w:rPr>
                <w:bCs/>
                <w:color w:val="000000" w:themeColor="text1"/>
                <w:spacing w:val="-10"/>
                <w:sz w:val="24"/>
                <w14:textFill>
                  <w14:solidFill>
                    <w14:schemeClr w14:val="tx1"/>
                  </w14:solidFill>
                </w14:textFill>
              </w:rPr>
              <w:t>/h。</w:t>
            </w:r>
          </w:p>
          <w:p w14:paraId="3C603924">
            <w:pPr>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综上所述，</w:t>
            </w:r>
            <w:r>
              <w:rPr>
                <w:rFonts w:hint="eastAsia"/>
                <w:bCs/>
                <w:color w:val="000000" w:themeColor="text1"/>
                <w:spacing w:val="-10"/>
                <w:sz w:val="24"/>
                <w14:textFill>
                  <w14:solidFill>
                    <w14:schemeClr w14:val="tx1"/>
                  </w14:solidFill>
                </w14:textFill>
              </w:rPr>
              <w:t>白酒、啤酒以及植物饮料生产线原料投料、破碎</w:t>
            </w:r>
            <w:r>
              <w:rPr>
                <w:bCs/>
                <w:color w:val="000000" w:themeColor="text1"/>
                <w:spacing w:val="-10"/>
                <w:sz w:val="24"/>
                <w14:textFill>
                  <w14:solidFill>
                    <w14:schemeClr w14:val="tx1"/>
                  </w14:solidFill>
                </w14:textFill>
              </w:rPr>
              <w:t>工序</w:t>
            </w:r>
            <w:r>
              <w:rPr>
                <w:rFonts w:hint="eastAsia"/>
                <w:bCs/>
                <w:color w:val="000000" w:themeColor="text1"/>
                <w:spacing w:val="-10"/>
                <w:sz w:val="24"/>
                <w14:textFill>
                  <w14:solidFill>
                    <w14:schemeClr w14:val="tx1"/>
                  </w14:solidFill>
                </w14:textFill>
              </w:rPr>
              <w:t>和</w:t>
            </w:r>
            <w:r>
              <w:rPr>
                <w:rFonts w:hint="eastAsia"/>
                <w:color w:val="000000" w:themeColor="text1"/>
                <w:kern w:val="52"/>
                <w:sz w:val="24"/>
                <w14:textFill>
                  <w14:solidFill>
                    <w14:schemeClr w14:val="tx1"/>
                  </w14:solidFill>
                </w14:textFill>
              </w:rPr>
              <w:t>袋泡茶生产过程</w:t>
            </w:r>
            <w:r>
              <w:rPr>
                <w:rFonts w:hint="eastAsia"/>
                <w:bCs/>
                <w:color w:val="000000" w:themeColor="text1"/>
                <w:spacing w:val="-10"/>
                <w:sz w:val="24"/>
                <w14:textFill>
                  <w14:solidFill>
                    <w14:schemeClr w14:val="tx1"/>
                  </w14:solidFill>
                </w14:textFill>
              </w:rPr>
              <w:t>粉尘产生总量为0.696</w:t>
            </w:r>
            <w:r>
              <w:rPr>
                <w:color w:val="000000" w:themeColor="text1"/>
                <w:kern w:val="0"/>
                <w:sz w:val="24"/>
                <w14:textFill>
                  <w14:solidFill>
                    <w14:schemeClr w14:val="tx1"/>
                  </w14:solidFill>
                </w14:textFill>
              </w:rPr>
              <w:t>t/a，集气罩粉尘收集效率以90%计，覆膜袋式除尘器除尘效率</w:t>
            </w:r>
            <w:r>
              <w:rPr>
                <w:rFonts w:hint="eastAsia"/>
                <w:color w:val="000000" w:themeColor="text1"/>
                <w:kern w:val="0"/>
                <w:sz w:val="24"/>
                <w14:textFill>
                  <w14:solidFill>
                    <w14:schemeClr w14:val="tx1"/>
                  </w14:solidFill>
                </w14:textFill>
              </w:rPr>
              <w:t>按</w:t>
            </w:r>
            <w:r>
              <w:rPr>
                <w:color w:val="000000" w:themeColor="text1"/>
                <w:kern w:val="0"/>
                <w:sz w:val="24"/>
                <w14:textFill>
                  <w14:solidFill>
                    <w14:schemeClr w14:val="tx1"/>
                  </w14:solidFill>
                </w14:textFill>
              </w:rPr>
              <w:t>99%计。</w:t>
            </w:r>
            <w:r>
              <w:rPr>
                <w:rFonts w:hint="eastAsia"/>
                <w:color w:val="000000" w:themeColor="text1"/>
                <w:kern w:val="0"/>
                <w:sz w:val="24"/>
                <w14:textFill>
                  <w14:solidFill>
                    <w14:schemeClr w14:val="tx1"/>
                  </w14:solidFill>
                </w14:textFill>
              </w:rPr>
              <w:t>则有组织收集量为0.626t/a，收集</w:t>
            </w:r>
            <w:r>
              <w:rPr>
                <w:color w:val="000000" w:themeColor="text1"/>
                <w:kern w:val="0"/>
                <w:sz w:val="24"/>
                <w14:textFill>
                  <w14:solidFill>
                    <w14:schemeClr w14:val="tx1"/>
                  </w14:solidFill>
                </w14:textFill>
              </w:rPr>
              <w:t>速率0.</w:t>
            </w:r>
            <w:r>
              <w:rPr>
                <w:rFonts w:hint="eastAsia"/>
                <w:color w:val="000000" w:themeColor="text1"/>
                <w:kern w:val="0"/>
                <w:sz w:val="24"/>
                <w14:textFill>
                  <w14:solidFill>
                    <w14:schemeClr w14:val="tx1"/>
                  </w14:solidFill>
                </w14:textFill>
              </w:rPr>
              <w:t>941</w:t>
            </w:r>
            <w:r>
              <w:rPr>
                <w:color w:val="000000" w:themeColor="text1"/>
                <w:kern w:val="0"/>
                <w:sz w:val="24"/>
                <w14:textFill>
                  <w14:solidFill>
                    <w14:schemeClr w14:val="tx1"/>
                  </w14:solidFill>
                </w14:textFill>
              </w:rPr>
              <w:t>kg/h，</w:t>
            </w:r>
            <w:r>
              <w:rPr>
                <w:rFonts w:hint="eastAsia"/>
                <w:color w:val="000000" w:themeColor="text1"/>
                <w:kern w:val="0"/>
                <w:sz w:val="24"/>
                <w14:textFill>
                  <w14:solidFill>
                    <w14:schemeClr w14:val="tx1"/>
                  </w14:solidFill>
                </w14:textFill>
              </w:rPr>
              <w:t>收集</w:t>
            </w:r>
            <w:r>
              <w:rPr>
                <w:color w:val="000000" w:themeColor="text1"/>
                <w:kern w:val="0"/>
                <w:sz w:val="24"/>
                <w14:textFill>
                  <w14:solidFill>
                    <w14:schemeClr w14:val="tx1"/>
                  </w14:solidFill>
                </w14:textFill>
              </w:rPr>
              <w:t>浓度为</w:t>
            </w:r>
            <w:r>
              <w:rPr>
                <w:rFonts w:hint="eastAsia"/>
                <w:color w:val="000000" w:themeColor="text1"/>
                <w:kern w:val="0"/>
                <w:sz w:val="24"/>
                <w14:textFill>
                  <w14:solidFill>
                    <w14:schemeClr w14:val="tx1"/>
                  </w14:solidFill>
                </w14:textFill>
              </w:rPr>
              <w:t>268.879</w:t>
            </w:r>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rFonts w:hint="eastAsia"/>
                <w:color w:val="000000" w:themeColor="text1"/>
                <w:kern w:val="0"/>
                <w:sz w:val="24"/>
                <w14:textFill>
                  <w14:solidFill>
                    <w14:schemeClr w14:val="tx1"/>
                  </w14:solidFill>
                </w14:textFill>
              </w:rPr>
              <w:t>；经除尘器处理后</w:t>
            </w:r>
            <w:r>
              <w:rPr>
                <w:color w:val="000000" w:themeColor="text1"/>
                <w:kern w:val="0"/>
                <w:sz w:val="24"/>
                <w14:textFill>
                  <w14:solidFill>
                    <w14:schemeClr w14:val="tx1"/>
                  </w14:solidFill>
                </w14:textFill>
              </w:rPr>
              <w:t>有组织排放量为0.00</w:t>
            </w:r>
            <w:r>
              <w:rPr>
                <w:rFonts w:hint="eastAsia"/>
                <w:color w:val="000000" w:themeColor="text1"/>
                <w:kern w:val="0"/>
                <w:sz w:val="24"/>
                <w14:textFill>
                  <w14:solidFill>
                    <w14:schemeClr w14:val="tx1"/>
                  </w14:solidFill>
                </w14:textFill>
              </w:rPr>
              <w:t>6</w:t>
            </w:r>
            <w:r>
              <w:rPr>
                <w:color w:val="000000" w:themeColor="text1"/>
                <w:kern w:val="0"/>
                <w:sz w:val="24"/>
                <w14:textFill>
                  <w14:solidFill>
                    <w14:schemeClr w14:val="tx1"/>
                  </w14:solidFill>
                </w14:textFill>
              </w:rPr>
              <w:t>t/a，排放速率0.00</w:t>
            </w:r>
            <w:r>
              <w:rPr>
                <w:rFonts w:hint="eastAsia"/>
                <w:color w:val="000000" w:themeColor="text1"/>
                <w:kern w:val="0"/>
                <w:sz w:val="24"/>
                <w14:textFill>
                  <w14:solidFill>
                    <w14:schemeClr w14:val="tx1"/>
                  </w14:solidFill>
                </w14:textFill>
              </w:rPr>
              <w:t>9</w:t>
            </w:r>
            <w:r>
              <w:rPr>
                <w:color w:val="000000" w:themeColor="text1"/>
                <w:kern w:val="0"/>
                <w:sz w:val="24"/>
                <w14:textFill>
                  <w14:solidFill>
                    <w14:schemeClr w14:val="tx1"/>
                  </w14:solidFill>
                </w14:textFill>
              </w:rPr>
              <w:t>kg/h，排放浓度为</w:t>
            </w:r>
            <w:r>
              <w:rPr>
                <w:rFonts w:hint="eastAsia"/>
                <w:color w:val="000000" w:themeColor="text1"/>
                <w:kern w:val="0"/>
                <w:sz w:val="24"/>
                <w14:textFill>
                  <w14:solidFill>
                    <w14:schemeClr w14:val="tx1"/>
                  </w14:solidFill>
                </w14:textFill>
              </w:rPr>
              <w:t>2.689</w:t>
            </w:r>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p>
          <w:p w14:paraId="41F5D134">
            <w:pPr>
              <w:spacing w:line="360" w:lineRule="auto"/>
              <w:ind w:firstLine="440" w:firstLineChars="200"/>
              <w:rPr>
                <w:color w:val="000000" w:themeColor="text1"/>
                <w:sz w:val="24"/>
                <w14:textFill>
                  <w14:solidFill>
                    <w14:schemeClr w14:val="tx1"/>
                  </w14:solidFill>
                </w14:textFill>
              </w:rPr>
            </w:pPr>
            <w:r>
              <w:rPr>
                <w:rFonts w:hint="eastAsia"/>
                <w:bCs/>
                <w:color w:val="000000" w:themeColor="text1"/>
                <w:spacing w:val="-10"/>
                <w:sz w:val="24"/>
                <w14:textFill>
                  <w14:solidFill>
                    <w14:schemeClr w14:val="tx1"/>
                  </w14:solidFill>
                </w14:textFill>
              </w:rPr>
              <w:t>白酒、啤酒以及植物饮料生产线原料投料、破碎</w:t>
            </w:r>
            <w:r>
              <w:rPr>
                <w:bCs/>
                <w:color w:val="000000" w:themeColor="text1"/>
                <w:spacing w:val="-10"/>
                <w:sz w:val="24"/>
                <w14:textFill>
                  <w14:solidFill>
                    <w14:schemeClr w14:val="tx1"/>
                  </w14:solidFill>
                </w14:textFill>
              </w:rPr>
              <w:t>工序</w:t>
            </w:r>
            <w:r>
              <w:rPr>
                <w:rFonts w:hint="eastAsia"/>
                <w:bCs/>
                <w:color w:val="000000" w:themeColor="text1"/>
                <w:spacing w:val="-10"/>
                <w:sz w:val="24"/>
                <w14:textFill>
                  <w14:solidFill>
                    <w14:schemeClr w14:val="tx1"/>
                  </w14:solidFill>
                </w14:textFill>
              </w:rPr>
              <w:t>和植</w:t>
            </w:r>
            <w:r>
              <w:rPr>
                <w:rFonts w:hint="eastAsia"/>
                <w:color w:val="000000" w:themeColor="text1"/>
                <w:kern w:val="52"/>
                <w:sz w:val="24"/>
                <w14:textFill>
                  <w14:solidFill>
                    <w14:schemeClr w14:val="tx1"/>
                  </w14:solidFill>
                </w14:textFill>
              </w:rPr>
              <w:t>袋泡茶生产过程</w:t>
            </w:r>
            <w:r>
              <w:rPr>
                <w:rFonts w:hint="eastAsia"/>
                <w:color w:val="000000" w:themeColor="text1"/>
                <w:sz w:val="24"/>
                <w14:textFill>
                  <w14:solidFill>
                    <w14:schemeClr w14:val="tx1"/>
                  </w14:solidFill>
                </w14:textFill>
              </w:rPr>
              <w:t>无组织颗粒物排放</w:t>
            </w:r>
            <w:r>
              <w:rPr>
                <w:color w:val="000000" w:themeColor="text1"/>
                <w:sz w:val="24"/>
                <w14:textFill>
                  <w14:solidFill>
                    <w14:schemeClr w14:val="tx1"/>
                  </w14:solidFill>
                </w14:textFill>
              </w:rPr>
              <w:t>量为</w:t>
            </w:r>
            <w:r>
              <w:rPr>
                <w:rFonts w:hint="eastAsia"/>
                <w:color w:val="000000" w:themeColor="text1"/>
                <w:sz w:val="24"/>
                <w14:textFill>
                  <w14:solidFill>
                    <w14:schemeClr w14:val="tx1"/>
                  </w14:solidFill>
                </w14:textFill>
              </w:rPr>
              <w:t>0.070</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，排放速率为0.105</w:t>
            </w:r>
            <w:r>
              <w:rPr>
                <w:color w:val="000000" w:themeColor="text1"/>
                <w:sz w:val="24"/>
                <w14:textFill>
                  <w14:solidFill>
                    <w14:schemeClr w14:val="tx1"/>
                  </w14:solidFill>
                </w14:textFill>
              </w:rPr>
              <w:t>kg/h。</w:t>
            </w:r>
          </w:p>
          <w:p w14:paraId="4A6044F5">
            <w:pPr>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（2）发酵工序废气</w:t>
            </w:r>
          </w:p>
          <w:p w14:paraId="70C2FB6C">
            <w:pPr>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1）白酒生产线发酵废气</w:t>
            </w:r>
          </w:p>
          <w:p w14:paraId="4E68B0A3">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本项目发酵废气主要来源</w:t>
            </w:r>
            <w:r>
              <w:rPr>
                <w:rFonts w:hint="eastAsia"/>
                <w:color w:val="000000" w:themeColor="text1"/>
                <w:sz w:val="24"/>
                <w14:textFill>
                  <w14:solidFill>
                    <w14:schemeClr w14:val="tx1"/>
                  </w14:solidFill>
                </w14:textFill>
              </w:rPr>
              <w:t>于</w:t>
            </w:r>
            <w:r>
              <w:rPr>
                <w:color w:val="000000" w:themeColor="text1"/>
                <w:sz w:val="24"/>
                <w14:textFill>
                  <w14:solidFill>
                    <w14:schemeClr w14:val="tx1"/>
                  </w14:solidFill>
                </w14:textFill>
              </w:rPr>
              <w:t>发酵工序，其中主要污染物为CO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、VOCs（少量的酒精、乙酸、酯和其他芳香类物质）。根据酒精生产方程式（C</w:t>
            </w:r>
            <w:r>
              <w:rPr>
                <w:color w:val="000000" w:themeColor="text1"/>
                <w:sz w:val="24"/>
                <w:vertAlign w:val="subscript"/>
                <w14:textFill>
                  <w14:solidFill>
                    <w14:schemeClr w14:val="tx1"/>
                  </w14:solidFill>
                </w14:textFill>
              </w:rPr>
              <w:t>6</w:t>
            </w:r>
            <w:r>
              <w:rPr>
                <w:color w:val="000000" w:themeColor="text1"/>
                <w:sz w:val="24"/>
                <w14:textFill>
                  <w14:solidFill>
                    <w14:schemeClr w14:val="tx1"/>
                  </w14:solidFill>
                </w14:textFill>
              </w:rPr>
              <w:t>H</w:t>
            </w:r>
            <w:r>
              <w:rPr>
                <w:color w:val="000000" w:themeColor="text1"/>
                <w:sz w:val="24"/>
                <w:vertAlign w:val="subscript"/>
                <w14:textFill>
                  <w14:solidFill>
                    <w14:schemeClr w14:val="tx1"/>
                  </w14:solidFill>
                </w14:textFill>
              </w:rPr>
              <w:t>12</w:t>
            </w:r>
            <w:r>
              <w:rPr>
                <w:color w:val="000000" w:themeColor="text1"/>
                <w:sz w:val="24"/>
                <w14:textFill>
                  <w14:solidFill>
                    <w14:schemeClr w14:val="tx1"/>
                  </w14:solidFill>
                </w14:textFill>
              </w:rPr>
              <w:t>O</w:t>
            </w:r>
            <w:r>
              <w:rPr>
                <w:color w:val="000000" w:themeColor="text1"/>
                <w:sz w:val="24"/>
                <w:vertAlign w:val="subscript"/>
                <w14:textFill>
                  <w14:solidFill>
                    <w14:schemeClr w14:val="tx1"/>
                  </w14:solidFill>
                </w14:textFill>
              </w:rPr>
              <w:t>6</w:t>
            </w:r>
            <w:r>
              <w:rPr>
                <w:color w:val="000000" w:themeColor="text1"/>
                <w:sz w:val="24"/>
                <w14:textFill>
                  <w14:solidFill>
                    <w14:schemeClr w14:val="tx1"/>
                  </w14:solidFill>
                </w14:textFill>
              </w:rPr>
              <w:t>+酶→2C</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H</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OH+2CO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），每产生46g纯酒精的同时产生44g二氧化碳</w:t>
            </w:r>
            <w:r>
              <w:rPr>
                <w:rFonts w:hint="eastAsia"/>
                <w:color w:val="000000" w:themeColor="text1"/>
                <w:sz w:val="24"/>
                <w14:textFill>
                  <w14:solidFill>
                    <w14:schemeClr w14:val="tx1"/>
                  </w14:solidFill>
                </w14:textFill>
              </w:rPr>
              <w:t>。本项目产生的白酒基酒年产量为77.532t，度数为65度，经勾调后，白酒年产量为100t，度数为52度；</w:t>
            </w:r>
            <w:r>
              <w:rPr>
                <w:color w:val="000000" w:themeColor="text1"/>
                <w:sz w:val="24"/>
                <w14:textFill>
                  <w14:solidFill>
                    <w14:schemeClr w14:val="tx1"/>
                  </w14:solidFill>
                </w14:textFill>
              </w:rPr>
              <w:t>计算可得纯酒精含量为</w:t>
            </w:r>
            <w:r>
              <w:rPr>
                <w:rFonts w:hint="eastAsia"/>
                <w:color w:val="000000" w:themeColor="text1"/>
                <w:kern w:val="0"/>
                <w:sz w:val="24"/>
                <w14:textFill>
                  <w14:solidFill>
                    <w14:schemeClr w14:val="tx1"/>
                  </w14:solidFill>
                </w14:textFill>
              </w:rPr>
              <w:t>44.312t/a</w:t>
            </w:r>
            <w:r>
              <w:rPr>
                <w:color w:val="000000" w:themeColor="text1"/>
                <w:sz w:val="24"/>
                <w14:textFill>
                  <w14:solidFill>
                    <w14:schemeClr w14:val="tx1"/>
                  </w14:solidFill>
                </w14:textFill>
              </w:rPr>
              <w:t>，则二氧化碳产生量约为</w:t>
            </w:r>
            <w:r>
              <w:rPr>
                <w:rFonts w:hint="eastAsia"/>
                <w:color w:val="000000" w:themeColor="text1"/>
                <w:sz w:val="24"/>
                <w14:textFill>
                  <w14:solidFill>
                    <w14:schemeClr w14:val="tx1"/>
                  </w14:solidFill>
                </w14:textFill>
              </w:rPr>
              <w:t>42.385</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w:t>
            </w:r>
          </w:p>
          <w:p w14:paraId="53F52714">
            <w:pPr>
              <w:pStyle w:val="48"/>
              <w:snapToGrid w:val="0"/>
              <w:spacing w:line="360" w:lineRule="auto"/>
              <w:ind w:firstLine="480" w:firstLineChars="200"/>
              <w:jc w:val="both"/>
              <w:rPr>
                <w:rFonts w:ascii="Times New Roman" w:hAnsi="Times New Roman"/>
                <w:color w:val="000000" w:themeColor="text1"/>
                <w:szCs w:val="28"/>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2）</w:t>
            </w:r>
            <w:r>
              <w:rPr>
                <w:rFonts w:ascii="Times New Roman" w:hAnsi="Times New Roman"/>
                <w:color w:val="000000" w:themeColor="text1"/>
                <w:szCs w:val="28"/>
                <w14:textFill>
                  <w14:solidFill>
                    <w14:schemeClr w14:val="tx1"/>
                  </w14:solidFill>
                </w14:textFill>
              </w:rPr>
              <w:t>啤酒生产线</w:t>
            </w:r>
          </w:p>
          <w:p w14:paraId="6C5CC990">
            <w:pPr>
              <w:pStyle w:val="48"/>
              <w:snapToGrid w:val="0"/>
              <w:spacing w:line="360" w:lineRule="auto"/>
              <w:ind w:firstLine="480" w:firstLineChars="200"/>
              <w:jc w:val="both"/>
              <w:rPr>
                <w:rFonts w:ascii="Times New Roman" w:hAnsi="Times New Roman"/>
                <w:color w:val="000000" w:themeColor="text1"/>
                <w:szCs w:val="28"/>
                <w14:textFill>
                  <w14:solidFill>
                    <w14:schemeClr w14:val="tx1"/>
                  </w14:solidFill>
                </w14:textFill>
              </w:rPr>
            </w:pPr>
            <w:r>
              <w:rPr>
                <w:rFonts w:ascii="Times New Roman" w:hAnsi="Times New Roman"/>
                <w:color w:val="000000" w:themeColor="text1"/>
                <w:szCs w:val="28"/>
                <w14:textFill>
                  <w14:solidFill>
                    <w14:schemeClr w14:val="tx1"/>
                  </w14:solidFill>
                </w14:textFill>
              </w:rPr>
              <w:t>本项目发酵废气主要来源于发酵工序，其中主要污染物为CO</w:t>
            </w:r>
            <w:r>
              <w:rPr>
                <w:rFonts w:ascii="Times New Roman" w:hAnsi="Times New Roman"/>
                <w:color w:val="000000" w:themeColor="text1"/>
                <w:szCs w:val="28"/>
                <w:vertAlign w:val="subscript"/>
                <w14:textFill>
                  <w14:solidFill>
                    <w14:schemeClr w14:val="tx1"/>
                  </w14:solidFill>
                </w14:textFill>
              </w:rPr>
              <w:t>2</w:t>
            </w:r>
            <w:r>
              <w:rPr>
                <w:rFonts w:ascii="Times New Roman" w:hAnsi="Times New Roman"/>
                <w:color w:val="000000" w:themeColor="text1"/>
                <w:szCs w:val="28"/>
                <w14:textFill>
                  <w14:solidFill>
                    <w14:schemeClr w14:val="tx1"/>
                  </w14:solidFill>
                </w14:textFill>
              </w:rPr>
              <w:t>、VOCs（少量的酒精、乙酸、酯和其他芳香类物质）。根据酒精生产方程式（C</w:t>
            </w:r>
            <w:r>
              <w:rPr>
                <w:rFonts w:ascii="Times New Roman" w:hAnsi="Times New Roman"/>
                <w:color w:val="000000" w:themeColor="text1"/>
                <w:szCs w:val="28"/>
                <w:vertAlign w:val="subscript"/>
                <w14:textFill>
                  <w14:solidFill>
                    <w14:schemeClr w14:val="tx1"/>
                  </w14:solidFill>
                </w14:textFill>
              </w:rPr>
              <w:t>6</w:t>
            </w:r>
            <w:r>
              <w:rPr>
                <w:rFonts w:ascii="Times New Roman" w:hAnsi="Times New Roman"/>
                <w:color w:val="000000" w:themeColor="text1"/>
                <w:szCs w:val="28"/>
                <w14:textFill>
                  <w14:solidFill>
                    <w14:schemeClr w14:val="tx1"/>
                  </w14:solidFill>
                </w14:textFill>
              </w:rPr>
              <w:t>H</w:t>
            </w:r>
            <w:r>
              <w:rPr>
                <w:rFonts w:ascii="Times New Roman" w:hAnsi="Times New Roman"/>
                <w:color w:val="000000" w:themeColor="text1"/>
                <w:szCs w:val="28"/>
                <w:vertAlign w:val="subscript"/>
                <w14:textFill>
                  <w14:solidFill>
                    <w14:schemeClr w14:val="tx1"/>
                  </w14:solidFill>
                </w14:textFill>
              </w:rPr>
              <w:t>12</w:t>
            </w:r>
            <w:r>
              <w:rPr>
                <w:rFonts w:ascii="Times New Roman" w:hAnsi="Times New Roman"/>
                <w:color w:val="000000" w:themeColor="text1"/>
                <w:szCs w:val="28"/>
                <w14:textFill>
                  <w14:solidFill>
                    <w14:schemeClr w14:val="tx1"/>
                  </w14:solidFill>
                </w14:textFill>
              </w:rPr>
              <w:t>O</w:t>
            </w:r>
            <w:r>
              <w:rPr>
                <w:rFonts w:ascii="Times New Roman" w:hAnsi="Times New Roman"/>
                <w:color w:val="000000" w:themeColor="text1"/>
                <w:szCs w:val="28"/>
                <w:vertAlign w:val="subscript"/>
                <w14:textFill>
                  <w14:solidFill>
                    <w14:schemeClr w14:val="tx1"/>
                  </w14:solidFill>
                </w14:textFill>
              </w:rPr>
              <w:t>6</w:t>
            </w:r>
            <w:r>
              <w:rPr>
                <w:rFonts w:ascii="Times New Roman" w:hAnsi="Times New Roman"/>
                <w:color w:val="000000" w:themeColor="text1"/>
                <w:szCs w:val="28"/>
                <w14:textFill>
                  <w14:solidFill>
                    <w14:schemeClr w14:val="tx1"/>
                  </w14:solidFill>
                </w14:textFill>
              </w:rPr>
              <w:t>+酶→2C</w:t>
            </w:r>
            <w:r>
              <w:rPr>
                <w:rFonts w:ascii="Times New Roman" w:hAnsi="Times New Roman"/>
                <w:color w:val="000000" w:themeColor="text1"/>
                <w:szCs w:val="28"/>
                <w:vertAlign w:val="subscript"/>
                <w14:textFill>
                  <w14:solidFill>
                    <w14:schemeClr w14:val="tx1"/>
                  </w14:solidFill>
                </w14:textFill>
              </w:rPr>
              <w:t>2</w:t>
            </w:r>
            <w:r>
              <w:rPr>
                <w:rFonts w:ascii="Times New Roman" w:hAnsi="Times New Roman"/>
                <w:color w:val="000000" w:themeColor="text1"/>
                <w:szCs w:val="28"/>
                <w14:textFill>
                  <w14:solidFill>
                    <w14:schemeClr w14:val="tx1"/>
                  </w14:solidFill>
                </w14:textFill>
              </w:rPr>
              <w:t>H</w:t>
            </w:r>
            <w:r>
              <w:rPr>
                <w:rFonts w:ascii="Times New Roman" w:hAnsi="Times New Roman"/>
                <w:color w:val="000000" w:themeColor="text1"/>
                <w:szCs w:val="28"/>
                <w:vertAlign w:val="subscript"/>
                <w14:textFill>
                  <w14:solidFill>
                    <w14:schemeClr w14:val="tx1"/>
                  </w14:solidFill>
                </w14:textFill>
              </w:rPr>
              <w:t>5</w:t>
            </w:r>
            <w:r>
              <w:rPr>
                <w:rFonts w:ascii="Times New Roman" w:hAnsi="Times New Roman"/>
                <w:color w:val="000000" w:themeColor="text1"/>
                <w:szCs w:val="28"/>
                <w14:textFill>
                  <w14:solidFill>
                    <w14:schemeClr w14:val="tx1"/>
                  </w14:solidFill>
                </w14:textFill>
              </w:rPr>
              <w:t>OH+2CO</w:t>
            </w:r>
            <w:r>
              <w:rPr>
                <w:rFonts w:ascii="Times New Roman" w:hAnsi="Times New Roman"/>
                <w:color w:val="000000" w:themeColor="text1"/>
                <w:szCs w:val="28"/>
                <w:vertAlign w:val="subscript"/>
                <w14:textFill>
                  <w14:solidFill>
                    <w14:schemeClr w14:val="tx1"/>
                  </w14:solidFill>
                </w14:textFill>
              </w:rPr>
              <w:t>2</w:t>
            </w:r>
            <w:r>
              <w:rPr>
                <w:rFonts w:ascii="Times New Roman" w:hAnsi="Times New Roman"/>
                <w:color w:val="000000" w:themeColor="text1"/>
                <w:szCs w:val="28"/>
                <w14:textFill>
                  <w14:solidFill>
                    <w14:schemeClr w14:val="tx1"/>
                  </w14:solidFill>
                </w14:textFill>
              </w:rPr>
              <w:t>），每产生46g纯酒精的同时产生44g二氧化碳。本项目产生的啤酒年产量为</w:t>
            </w:r>
            <w:r>
              <w:rPr>
                <w:rFonts w:ascii="Times New Roman" w:hAnsi="Times New Roman"/>
                <w:color w:val="000000" w:themeColor="text1"/>
                <w:kern w:val="0"/>
                <w14:textFill>
                  <w14:solidFill>
                    <w14:schemeClr w14:val="tx1"/>
                  </w14:solidFill>
                </w14:textFill>
              </w:rPr>
              <w:t>200</w:t>
            </w:r>
            <w:r>
              <w:rPr>
                <w:rFonts w:ascii="Times New Roman" w:hAnsi="Times New Roman"/>
                <w:color w:val="000000" w:themeColor="text1"/>
                <w:szCs w:val="28"/>
                <w14:textFill>
                  <w14:solidFill>
                    <w14:schemeClr w14:val="tx1"/>
                  </w14:solidFill>
                </w14:textFill>
              </w:rPr>
              <w:t>t，度数为2.5度；计算可得纯酒精含量为</w:t>
            </w:r>
            <w:r>
              <w:rPr>
                <w:rFonts w:hint="eastAsia" w:ascii="Times New Roman" w:hAnsi="Times New Roman"/>
                <w:color w:val="000000" w:themeColor="text1"/>
                <w:kern w:val="0"/>
                <w14:textFill>
                  <w14:solidFill>
                    <w14:schemeClr w14:val="tx1"/>
                  </w14:solidFill>
                </w14:textFill>
              </w:rPr>
              <w:t>3.968</w:t>
            </w:r>
            <w:r>
              <w:rPr>
                <w:rFonts w:ascii="Times New Roman" w:hAnsi="Times New Roman"/>
                <w:color w:val="000000" w:themeColor="text1"/>
                <w:kern w:val="0"/>
                <w14:textFill>
                  <w14:solidFill>
                    <w14:schemeClr w14:val="tx1"/>
                  </w14:solidFill>
                </w14:textFill>
              </w:rPr>
              <w:t>t/a</w:t>
            </w:r>
            <w:r>
              <w:rPr>
                <w:rFonts w:ascii="Times New Roman" w:hAnsi="Times New Roman"/>
                <w:color w:val="000000" w:themeColor="text1"/>
                <w:szCs w:val="28"/>
                <w14:textFill>
                  <w14:solidFill>
                    <w14:schemeClr w14:val="tx1"/>
                  </w14:solidFill>
                </w14:textFill>
              </w:rPr>
              <w:t>，则二氧化碳产生量约为</w:t>
            </w:r>
            <w:r>
              <w:rPr>
                <w:rFonts w:hint="eastAsia" w:ascii="Times New Roman" w:hAnsi="Times New Roman"/>
                <w:color w:val="000000" w:themeColor="text1"/>
                <w:szCs w:val="28"/>
                <w14:textFill>
                  <w14:solidFill>
                    <w14:schemeClr w14:val="tx1"/>
                  </w14:solidFill>
                </w14:textFill>
              </w:rPr>
              <w:t>3.795</w:t>
            </w:r>
            <w:r>
              <w:rPr>
                <w:rFonts w:ascii="Times New Roman" w:hAnsi="Times New Roman"/>
                <w:color w:val="000000" w:themeColor="text1"/>
                <w:szCs w:val="28"/>
                <w14:textFill>
                  <w14:solidFill>
                    <w14:schemeClr w14:val="tx1"/>
                  </w14:solidFill>
                </w14:textFill>
              </w:rPr>
              <w:t>t/a。</w:t>
            </w:r>
          </w:p>
          <w:p w14:paraId="696A43DB">
            <w:pPr>
              <w:pStyle w:val="48"/>
              <w:snapToGrid w:val="0"/>
              <w:spacing w:line="360" w:lineRule="auto"/>
              <w:ind w:firstLine="480" w:firstLineChars="200"/>
              <w:jc w:val="both"/>
              <w:rPr>
                <w:rFonts w:ascii="Times New Roman" w:hAnsi="Times New Roman"/>
                <w:color w:val="000000" w:themeColor="text1"/>
                <w14:textFill>
                  <w14:solidFill>
                    <w14:schemeClr w14:val="tx1"/>
                  </w14:solidFill>
                </w14:textFill>
              </w:rPr>
            </w:pPr>
            <w:r>
              <w:rPr>
                <w:rFonts w:ascii="Times New Roman" w:hAnsi="Times New Roman"/>
                <w:color w:val="000000" w:themeColor="text1"/>
                <w:szCs w:val="28"/>
                <w14:textFill>
                  <w14:solidFill>
                    <w14:schemeClr w14:val="tx1"/>
                  </w14:solidFill>
                </w14:textFill>
              </w:rPr>
              <w:t>3）</w:t>
            </w:r>
            <w:r>
              <w:rPr>
                <w:rFonts w:ascii="Times New Roman" w:hAnsi="Times New Roman"/>
                <w:color w:val="000000" w:themeColor="text1"/>
                <w14:textFill>
                  <w14:solidFill>
                    <w14:schemeClr w14:val="tx1"/>
                  </w14:solidFill>
                </w14:textFill>
              </w:rPr>
              <w:t>果酒生产线</w:t>
            </w:r>
          </w:p>
          <w:p w14:paraId="4C8834D0">
            <w:pPr>
              <w:pStyle w:val="48"/>
              <w:snapToGrid w:val="0"/>
              <w:spacing w:line="360" w:lineRule="auto"/>
              <w:ind w:firstLine="480" w:firstLineChars="200"/>
              <w:jc w:val="both"/>
              <w:rPr>
                <w:rFonts w:ascii="Times New Roman" w:hAnsi="Times New Roman"/>
                <w:color w:val="000000" w:themeColor="text1"/>
                <w:szCs w:val="28"/>
                <w14:textFill>
                  <w14:solidFill>
                    <w14:schemeClr w14:val="tx1"/>
                  </w14:solidFill>
                </w14:textFill>
              </w:rPr>
            </w:pPr>
            <w:r>
              <w:rPr>
                <w:rFonts w:ascii="Times New Roman" w:hAnsi="Times New Roman"/>
                <w:color w:val="000000" w:themeColor="text1"/>
                <w:szCs w:val="28"/>
                <w14:textFill>
                  <w14:solidFill>
                    <w14:schemeClr w14:val="tx1"/>
                  </w14:solidFill>
                </w14:textFill>
              </w:rPr>
              <w:t>本项目发酵废气主要来源果酒发酵工序，其中主要污染物为CO</w:t>
            </w:r>
            <w:r>
              <w:rPr>
                <w:rFonts w:ascii="Times New Roman" w:hAnsi="Times New Roman"/>
                <w:color w:val="000000" w:themeColor="text1"/>
                <w:szCs w:val="28"/>
                <w:vertAlign w:val="subscript"/>
                <w14:textFill>
                  <w14:solidFill>
                    <w14:schemeClr w14:val="tx1"/>
                  </w14:solidFill>
                </w14:textFill>
              </w:rPr>
              <w:t>2</w:t>
            </w:r>
            <w:r>
              <w:rPr>
                <w:rFonts w:ascii="Times New Roman" w:hAnsi="Times New Roman"/>
                <w:color w:val="000000" w:themeColor="text1"/>
                <w:szCs w:val="28"/>
                <w14:textFill>
                  <w14:solidFill>
                    <w14:schemeClr w14:val="tx1"/>
                  </w14:solidFill>
                </w14:textFill>
              </w:rPr>
              <w:t>、VOCs（少量的酒精、乙酸、酯和其他芳香类物质）。根据酒精生产方程式（C</w:t>
            </w:r>
            <w:r>
              <w:rPr>
                <w:rFonts w:ascii="Times New Roman" w:hAnsi="Times New Roman"/>
                <w:color w:val="000000" w:themeColor="text1"/>
                <w:szCs w:val="28"/>
                <w:vertAlign w:val="subscript"/>
                <w14:textFill>
                  <w14:solidFill>
                    <w14:schemeClr w14:val="tx1"/>
                  </w14:solidFill>
                </w14:textFill>
              </w:rPr>
              <w:t>6</w:t>
            </w:r>
            <w:r>
              <w:rPr>
                <w:rFonts w:ascii="Times New Roman" w:hAnsi="Times New Roman"/>
                <w:color w:val="000000" w:themeColor="text1"/>
                <w:szCs w:val="28"/>
                <w14:textFill>
                  <w14:solidFill>
                    <w14:schemeClr w14:val="tx1"/>
                  </w14:solidFill>
                </w14:textFill>
              </w:rPr>
              <w:t>H</w:t>
            </w:r>
            <w:r>
              <w:rPr>
                <w:rFonts w:ascii="Times New Roman" w:hAnsi="Times New Roman"/>
                <w:color w:val="000000" w:themeColor="text1"/>
                <w:szCs w:val="28"/>
                <w:vertAlign w:val="subscript"/>
                <w14:textFill>
                  <w14:solidFill>
                    <w14:schemeClr w14:val="tx1"/>
                  </w14:solidFill>
                </w14:textFill>
              </w:rPr>
              <w:t>12</w:t>
            </w:r>
            <w:r>
              <w:rPr>
                <w:rFonts w:ascii="Times New Roman" w:hAnsi="Times New Roman"/>
                <w:color w:val="000000" w:themeColor="text1"/>
                <w:szCs w:val="28"/>
                <w14:textFill>
                  <w14:solidFill>
                    <w14:schemeClr w14:val="tx1"/>
                  </w14:solidFill>
                </w14:textFill>
              </w:rPr>
              <w:t>O</w:t>
            </w:r>
            <w:r>
              <w:rPr>
                <w:rFonts w:ascii="Times New Roman" w:hAnsi="Times New Roman"/>
                <w:color w:val="000000" w:themeColor="text1"/>
                <w:szCs w:val="28"/>
                <w:vertAlign w:val="subscript"/>
                <w14:textFill>
                  <w14:solidFill>
                    <w14:schemeClr w14:val="tx1"/>
                  </w14:solidFill>
                </w14:textFill>
              </w:rPr>
              <w:t>6</w:t>
            </w:r>
            <w:r>
              <w:rPr>
                <w:rFonts w:ascii="Times New Roman" w:hAnsi="Times New Roman"/>
                <w:color w:val="000000" w:themeColor="text1"/>
                <w:szCs w:val="28"/>
                <w14:textFill>
                  <w14:solidFill>
                    <w14:schemeClr w14:val="tx1"/>
                  </w14:solidFill>
                </w14:textFill>
              </w:rPr>
              <w:t>+酶→2C</w:t>
            </w:r>
            <w:r>
              <w:rPr>
                <w:rFonts w:ascii="Times New Roman" w:hAnsi="Times New Roman"/>
                <w:color w:val="000000" w:themeColor="text1"/>
                <w:szCs w:val="28"/>
                <w:vertAlign w:val="subscript"/>
                <w14:textFill>
                  <w14:solidFill>
                    <w14:schemeClr w14:val="tx1"/>
                  </w14:solidFill>
                </w14:textFill>
              </w:rPr>
              <w:t>2</w:t>
            </w:r>
            <w:r>
              <w:rPr>
                <w:rFonts w:ascii="Times New Roman" w:hAnsi="Times New Roman"/>
                <w:color w:val="000000" w:themeColor="text1"/>
                <w:szCs w:val="28"/>
                <w14:textFill>
                  <w14:solidFill>
                    <w14:schemeClr w14:val="tx1"/>
                  </w14:solidFill>
                </w14:textFill>
              </w:rPr>
              <w:t>H</w:t>
            </w:r>
            <w:r>
              <w:rPr>
                <w:rFonts w:ascii="Times New Roman" w:hAnsi="Times New Roman"/>
                <w:color w:val="000000" w:themeColor="text1"/>
                <w:szCs w:val="28"/>
                <w:vertAlign w:val="subscript"/>
                <w14:textFill>
                  <w14:solidFill>
                    <w14:schemeClr w14:val="tx1"/>
                  </w14:solidFill>
                </w14:textFill>
              </w:rPr>
              <w:t>5</w:t>
            </w:r>
            <w:r>
              <w:rPr>
                <w:rFonts w:ascii="Times New Roman" w:hAnsi="Times New Roman"/>
                <w:color w:val="000000" w:themeColor="text1"/>
                <w:szCs w:val="28"/>
                <w14:textFill>
                  <w14:solidFill>
                    <w14:schemeClr w14:val="tx1"/>
                  </w14:solidFill>
                </w14:textFill>
              </w:rPr>
              <w:t>OH+2CO</w:t>
            </w:r>
            <w:r>
              <w:rPr>
                <w:rFonts w:ascii="Times New Roman" w:hAnsi="Times New Roman"/>
                <w:color w:val="000000" w:themeColor="text1"/>
                <w:szCs w:val="28"/>
                <w:vertAlign w:val="subscript"/>
                <w14:textFill>
                  <w14:solidFill>
                    <w14:schemeClr w14:val="tx1"/>
                  </w14:solidFill>
                </w14:textFill>
              </w:rPr>
              <w:t>2</w:t>
            </w:r>
            <w:r>
              <w:rPr>
                <w:rFonts w:ascii="Times New Roman" w:hAnsi="Times New Roman"/>
                <w:color w:val="000000" w:themeColor="text1"/>
                <w:szCs w:val="28"/>
                <w14:textFill>
                  <w14:solidFill>
                    <w14:schemeClr w14:val="tx1"/>
                  </w14:solidFill>
                </w14:textFill>
              </w:rPr>
              <w:t>），每产生46g纯酒精的同时产生44g二氧化碳。本项目产生的果酒年产量为200t，度数为6度；计算可得纯酒精含量为9.570t/a，则二氧化碳产生量约为9.154t/a。</w:t>
            </w:r>
          </w:p>
          <w:p w14:paraId="36B85094">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0"/>
                <w:szCs w:val="24"/>
                <w14:textFill>
                  <w14:solidFill>
                    <w14:schemeClr w14:val="tx1"/>
                  </w14:solidFill>
                </w14:textFill>
              </w:rPr>
              <w:t>（3）</w:t>
            </w:r>
            <w:r>
              <w:rPr>
                <w:rFonts w:ascii="Times New Roman" w:hAnsi="Times New Roman"/>
                <w:color w:val="000000" w:themeColor="text1"/>
                <w:kern w:val="52"/>
                <w:szCs w:val="24"/>
                <w14:textFill>
                  <w14:solidFill>
                    <w14:schemeClr w14:val="tx1"/>
                  </w14:solidFill>
                </w14:textFill>
              </w:rPr>
              <w:t>其他工序废气</w:t>
            </w:r>
          </w:p>
          <w:p w14:paraId="50FBD3EB">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1）白酒</w:t>
            </w:r>
            <w:r>
              <w:rPr>
                <w:rFonts w:ascii="Times New Roman" w:hAnsi="Times New Roman"/>
                <w:color w:val="000000" w:themeColor="text1"/>
                <w:szCs w:val="24"/>
                <w14:textFill>
                  <w14:solidFill>
                    <w14:schemeClr w14:val="tx1"/>
                  </w14:solidFill>
                </w14:textFill>
              </w:rPr>
              <w:t>储存过程</w:t>
            </w:r>
            <w:r>
              <w:rPr>
                <w:rFonts w:ascii="Times New Roman" w:hAnsi="Times New Roman"/>
                <w:color w:val="000000" w:themeColor="text1"/>
                <w:kern w:val="52"/>
                <w:szCs w:val="24"/>
                <w14:textFill>
                  <w14:solidFill>
                    <w14:schemeClr w14:val="tx1"/>
                  </w14:solidFill>
                </w14:textFill>
              </w:rPr>
              <w:t>产生的废气</w:t>
            </w:r>
          </w:p>
          <w:p w14:paraId="6D9BAF18">
            <w:pPr>
              <w:pStyle w:val="48"/>
              <w:snapToGrid w:val="0"/>
              <w:spacing w:line="360" w:lineRule="auto"/>
              <w:ind w:firstLine="480" w:firstLineChars="200"/>
              <w:jc w:val="both"/>
              <w:rPr>
                <w:rFonts w:ascii="Times New Roman" w:hAnsi="Times New Roman"/>
                <w:color w:val="000000" w:themeColor="text1"/>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本项目</w:t>
            </w:r>
            <w:r>
              <w:rPr>
                <w:rFonts w:hint="eastAsia" w:ascii="Times New Roman" w:hAnsi="Times New Roman"/>
                <w:color w:val="000000" w:themeColor="text1"/>
                <w:szCs w:val="24"/>
                <w14:textFill>
                  <w14:solidFill>
                    <w14:schemeClr w14:val="tx1"/>
                  </w14:solidFill>
                </w14:textFill>
              </w:rPr>
              <w:t>白酒生产线</w:t>
            </w:r>
            <w:r>
              <w:rPr>
                <w:rFonts w:ascii="Times New Roman" w:hAnsi="Times New Roman"/>
                <w:color w:val="000000" w:themeColor="text1"/>
                <w:szCs w:val="24"/>
                <w14:textFill>
                  <w14:solidFill>
                    <w14:schemeClr w14:val="tx1"/>
                  </w14:solidFill>
                </w14:textFill>
              </w:rPr>
              <w:t>设置有</w:t>
            </w:r>
            <w:r>
              <w:rPr>
                <w:rFonts w:hint="eastAsia" w:ascii="Times New Roman" w:hAnsi="Times New Roman"/>
                <w:color w:val="000000" w:themeColor="text1"/>
                <w:szCs w:val="24"/>
                <w14:textFill>
                  <w14:solidFill>
                    <w14:schemeClr w14:val="tx1"/>
                  </w14:solidFill>
                </w14:textFill>
              </w:rPr>
              <w:t>20T</w:t>
            </w:r>
            <w:r>
              <w:rPr>
                <w:rFonts w:ascii="Times New Roman" w:hAnsi="Times New Roman"/>
                <w:color w:val="000000" w:themeColor="text1"/>
                <w:szCs w:val="24"/>
                <w14:textFill>
                  <w14:solidFill>
                    <w14:schemeClr w14:val="tx1"/>
                  </w14:solidFill>
                </w14:textFill>
              </w:rPr>
              <w:t>储罐</w:t>
            </w:r>
            <w:r>
              <w:rPr>
                <w:rFonts w:hint="eastAsia" w:ascii="Times New Roman" w:hAnsi="Times New Roman"/>
                <w:color w:val="000000" w:themeColor="text1"/>
                <w:szCs w:val="24"/>
                <w14:textFill>
                  <w14:solidFill>
                    <w14:schemeClr w14:val="tx1"/>
                  </w14:solidFill>
                </w14:textFill>
              </w:rPr>
              <w:t>6</w:t>
            </w:r>
            <w:r>
              <w:rPr>
                <w:rFonts w:ascii="Times New Roman" w:hAnsi="Times New Roman"/>
                <w:color w:val="000000" w:themeColor="text1"/>
                <w:szCs w:val="24"/>
                <w14:textFill>
                  <w14:solidFill>
                    <w14:schemeClr w14:val="tx1"/>
                  </w14:solidFill>
                </w14:textFill>
              </w:rPr>
              <w:t>个，罐区总储量为</w:t>
            </w:r>
            <w:r>
              <w:rPr>
                <w:rFonts w:hint="eastAsia" w:ascii="Times New Roman" w:hAnsi="Times New Roman"/>
                <w:color w:val="000000" w:themeColor="text1"/>
                <w:szCs w:val="24"/>
                <w14:textFill>
                  <w14:solidFill>
                    <w14:schemeClr w14:val="tx1"/>
                  </w14:solidFill>
                </w14:textFill>
              </w:rPr>
              <w:t>120</w:t>
            </w:r>
            <w:r>
              <w:rPr>
                <w:rFonts w:ascii="Times New Roman" w:hAnsi="Times New Roman"/>
                <w:color w:val="000000" w:themeColor="text1"/>
                <w:szCs w:val="24"/>
                <w14:textFill>
                  <w14:solidFill>
                    <w14:schemeClr w14:val="tx1"/>
                  </w14:solidFill>
                </w14:textFill>
              </w:rPr>
              <w:t>t。不锈钢储罐内的有机液体因受温度、压力的影响而产生小呼吸排气，小呼吸作用产生的无组织排放量与储存量、储罐形式、储存介质、蒸汽压力、温度、储罐内径、高度、环境平均昼夜温差等因素有关；在装卸作业过程中，储罐内液面升降而产生的大呼吸排气，其量除与罐型有关外，也与装卸方式、周转量有关。</w:t>
            </w:r>
          </w:p>
          <w:p w14:paraId="09ACD11C">
            <w:pPr>
              <w:pStyle w:val="48"/>
              <w:snapToGrid w:val="0"/>
              <w:spacing w:line="360" w:lineRule="auto"/>
              <w:ind w:firstLine="480" w:firstLineChars="200"/>
              <w:jc w:val="both"/>
              <w:rPr>
                <w:rStyle w:val="30"/>
                <w:rFonts w:ascii="Times New Roman" w:hAnsi="Times New Roman"/>
                <w:color w:val="000000" w:themeColor="text1"/>
                <w:sz w:val="24"/>
                <w:szCs w:val="24"/>
                <w14:textFill>
                  <w14:solidFill>
                    <w14:schemeClr w14:val="tx1"/>
                  </w14:solidFill>
                </w14:textFill>
              </w:rPr>
            </w:pPr>
            <w:r>
              <w:rPr>
                <w:rFonts w:ascii="Times New Roman" w:hAnsi="Times New Roman"/>
                <w:color w:val="000000" w:themeColor="text1"/>
                <w:szCs w:val="24"/>
                <w14:textFill>
                  <w14:solidFill>
                    <w14:schemeClr w14:val="tx1"/>
                  </w14:solidFill>
                </w14:textFill>
              </w:rPr>
              <w:t>储罐大小呼吸参照中国石油化工系统经验公式计算大小呼吸。</w:t>
            </w:r>
          </w:p>
          <w:p w14:paraId="224547BF">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A.大呼吸</w:t>
            </w:r>
          </w:p>
          <w:p w14:paraId="66C14091">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大呼吸为装卸产生的大呼吸损耗，可按下式计算：</w:t>
            </w:r>
          </w:p>
          <w:p w14:paraId="558DFC5E">
            <w:pPr>
              <w:spacing w:line="360" w:lineRule="auto"/>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L</w:t>
            </w:r>
            <w:r>
              <w:rPr>
                <w:color w:val="000000" w:themeColor="text1"/>
                <w:sz w:val="24"/>
                <w:vertAlign w:val="subscript"/>
                <w14:textFill>
                  <w14:solidFill>
                    <w14:schemeClr w14:val="tx1"/>
                  </w14:solidFill>
                </w14:textFill>
              </w:rPr>
              <w:t>W</w:t>
            </w:r>
            <w:r>
              <w:rPr>
                <w:color w:val="000000" w:themeColor="text1"/>
                <w:sz w:val="24"/>
                <w14:textFill>
                  <w14:solidFill>
                    <w14:schemeClr w14:val="tx1"/>
                  </w14:solidFill>
                </w14:textFill>
              </w:rPr>
              <w:t>=4.188×10</w:t>
            </w:r>
            <w:r>
              <w:rPr>
                <w:color w:val="000000" w:themeColor="text1"/>
                <w:sz w:val="24"/>
                <w:vertAlign w:val="superscript"/>
                <w14:textFill>
                  <w14:solidFill>
                    <w14:schemeClr w14:val="tx1"/>
                  </w14:solidFill>
                </w14:textFill>
              </w:rPr>
              <w:t>-7</w:t>
            </w:r>
            <w:r>
              <w:rPr>
                <w:color w:val="000000" w:themeColor="text1"/>
                <w:sz w:val="24"/>
                <w14:textFill>
                  <w14:solidFill>
                    <w14:schemeClr w14:val="tx1"/>
                  </w14:solidFill>
                </w14:textFill>
              </w:rPr>
              <w:t>×M×P×K</w:t>
            </w:r>
            <w:r>
              <w:rPr>
                <w:color w:val="000000" w:themeColor="text1"/>
                <w:sz w:val="24"/>
                <w:vertAlign w:val="subscript"/>
                <w14:textFill>
                  <w14:solidFill>
                    <w14:schemeClr w14:val="tx1"/>
                  </w14:solidFill>
                </w14:textFill>
              </w:rPr>
              <w:t>N</w:t>
            </w:r>
            <w:r>
              <w:rPr>
                <w:color w:val="000000" w:themeColor="text1"/>
                <w:sz w:val="24"/>
                <w14:textFill>
                  <w14:solidFill>
                    <w14:schemeClr w14:val="tx1"/>
                  </w14:solidFill>
                </w14:textFill>
              </w:rPr>
              <w:t>×Kc</w:t>
            </w:r>
          </w:p>
          <w:p w14:paraId="0693E66C">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式中：L</w:t>
            </w:r>
            <w:r>
              <w:rPr>
                <w:color w:val="000000" w:themeColor="text1"/>
                <w:sz w:val="24"/>
                <w:vertAlign w:val="subscript"/>
                <w14:textFill>
                  <w14:solidFill>
                    <w14:schemeClr w14:val="tx1"/>
                  </w14:solidFill>
                </w14:textFill>
              </w:rPr>
              <w:t>W</w:t>
            </w:r>
            <w:r>
              <w:rPr>
                <w:color w:val="000000" w:themeColor="text1"/>
                <w:sz w:val="24"/>
                <w14:textFill>
                  <w14:solidFill>
                    <w14:schemeClr w14:val="tx1"/>
                  </w14:solidFill>
                </w14:textFill>
              </w:rPr>
              <w:t>——固定顶罐的工作损失（kg/m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投入量）</w:t>
            </w:r>
          </w:p>
          <w:p w14:paraId="3CE5C6E1">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M——储罐内蒸汽的分子量；（46）</w:t>
            </w:r>
          </w:p>
          <w:p w14:paraId="27710089">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P——在大量液体状态下，真实的蒸气压力（Pa）（取7.427kPa）</w:t>
            </w:r>
          </w:p>
          <w:p w14:paraId="0DA0AC5E">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K</w:t>
            </w:r>
            <w:r>
              <w:rPr>
                <w:color w:val="000000" w:themeColor="text1"/>
                <w:sz w:val="24"/>
                <w:vertAlign w:val="subscript"/>
                <w14:textFill>
                  <w14:solidFill>
                    <w14:schemeClr w14:val="tx1"/>
                  </w14:solidFill>
                </w14:textFill>
              </w:rPr>
              <w:t>N</w:t>
            </w:r>
            <w:r>
              <w:rPr>
                <w:color w:val="000000" w:themeColor="text1"/>
                <w:sz w:val="24"/>
                <w14:textFill>
                  <w14:solidFill>
                    <w14:schemeClr w14:val="tx1"/>
                  </w14:solidFill>
                </w14:textFill>
              </w:rPr>
              <w:t>——周转因子（无量纲），取值按年周转次数确定；（取1。K≤36，KN=1；36&lt;K≤220，KN=11.467×K-0.7026；K&gt;220，KN=0.26）</w:t>
            </w:r>
          </w:p>
          <w:p w14:paraId="23E5F0DC">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Kc——产品因子（石油原油Kc取0.65，其他的液体取1.0）</w:t>
            </w:r>
          </w:p>
          <w:p w14:paraId="38726B04">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计算得知：L</w:t>
            </w:r>
            <w:r>
              <w:rPr>
                <w:color w:val="000000" w:themeColor="text1"/>
                <w:sz w:val="24"/>
                <w:vertAlign w:val="subscript"/>
                <w14:textFill>
                  <w14:solidFill>
                    <w14:schemeClr w14:val="tx1"/>
                  </w14:solidFill>
                </w14:textFill>
              </w:rPr>
              <w:t>W</w:t>
            </w:r>
            <w:r>
              <w:rPr>
                <w:color w:val="000000" w:themeColor="text1"/>
                <w:sz w:val="24"/>
                <w14:textFill>
                  <w14:solidFill>
                    <w14:schemeClr w14:val="tx1"/>
                  </w14:solidFill>
                </w14:textFill>
              </w:rPr>
              <w:t>=0.143kg/m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。本项目不锈钢储罐储存酒量有约</w:t>
            </w:r>
            <w:r>
              <w:rPr>
                <w:rFonts w:hint="eastAsia"/>
                <w:color w:val="000000" w:themeColor="text1"/>
                <w:sz w:val="24"/>
                <w14:textFill>
                  <w14:solidFill>
                    <w14:schemeClr w14:val="tx1"/>
                  </w14:solidFill>
                </w14:textFill>
              </w:rPr>
              <w:t>133</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，本项目不锈钢储罐平均储存基酒时间约为</w:t>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年，本项目不锈钢储罐的年最大中转量为</w:t>
            </w:r>
            <w:r>
              <w:rPr>
                <w:rFonts w:hint="eastAsia"/>
                <w:color w:val="000000" w:themeColor="text1"/>
                <w:sz w:val="24"/>
                <w14:textFill>
                  <w14:solidFill>
                    <w14:schemeClr w14:val="tx1"/>
                  </w14:solidFill>
                </w14:textFill>
              </w:rPr>
              <w:t>66.842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，因此，本项目储罐大呼吸约产生有机废气</w:t>
            </w:r>
            <w:r>
              <w:rPr>
                <w:rFonts w:hint="eastAsia"/>
                <w:color w:val="000000" w:themeColor="text1"/>
                <w:sz w:val="24"/>
                <w14:textFill>
                  <w14:solidFill>
                    <w14:schemeClr w14:val="tx1"/>
                  </w14:solidFill>
                </w14:textFill>
              </w:rPr>
              <w:t>0.010</w:t>
            </w:r>
            <w:r>
              <w:rPr>
                <w:color w:val="000000" w:themeColor="text1"/>
                <w:sz w:val="24"/>
                <w14:textFill>
                  <w14:solidFill>
                    <w14:schemeClr w14:val="tx1"/>
                  </w14:solidFill>
                </w14:textFill>
              </w:rPr>
              <w:t>t/a。</w:t>
            </w:r>
          </w:p>
          <w:p w14:paraId="5323BE40">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B.小呼吸</w:t>
            </w:r>
          </w:p>
          <w:p w14:paraId="66BAD63E">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小呼吸损耗可按下式计算：</w:t>
            </w:r>
          </w:p>
          <w:p w14:paraId="6535246E">
            <w:pPr>
              <w:spacing w:line="360" w:lineRule="auto"/>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t>L</w:t>
            </w:r>
            <w:r>
              <w:rPr>
                <w:color w:val="000000" w:themeColor="text1"/>
                <w:sz w:val="24"/>
                <w:vertAlign w:val="subscript"/>
                <w14:textFill>
                  <w14:solidFill>
                    <w14:schemeClr w14:val="tx1"/>
                  </w14:solidFill>
                </w14:textFill>
              </w:rPr>
              <w:t>B</w:t>
            </w:r>
            <w:r>
              <w:rPr>
                <w:color w:val="000000" w:themeColor="text1"/>
                <w:sz w:val="24"/>
                <w14:textFill>
                  <w14:solidFill>
                    <w14:schemeClr w14:val="tx1"/>
                  </w14:solidFill>
                </w14:textFill>
              </w:rPr>
              <w:t>=0.191×M（P/（100910-P））</w:t>
            </w:r>
            <w:r>
              <w:rPr>
                <w:color w:val="000000" w:themeColor="text1"/>
                <w:sz w:val="24"/>
                <w:vertAlign w:val="superscript"/>
                <w14:textFill>
                  <w14:solidFill>
                    <w14:schemeClr w14:val="tx1"/>
                  </w14:solidFill>
                </w14:textFill>
              </w:rPr>
              <w:t>0.68</w:t>
            </w:r>
            <w:r>
              <w:rPr>
                <w:color w:val="000000" w:themeColor="text1"/>
                <w:sz w:val="24"/>
                <w14:textFill>
                  <w14:solidFill>
                    <w14:schemeClr w14:val="tx1"/>
                  </w14:solidFill>
                </w14:textFill>
              </w:rPr>
              <w:t>×D</w:t>
            </w:r>
            <w:r>
              <w:rPr>
                <w:color w:val="000000" w:themeColor="text1"/>
                <w:sz w:val="24"/>
                <w:vertAlign w:val="superscript"/>
                <w14:textFill>
                  <w14:solidFill>
                    <w14:schemeClr w14:val="tx1"/>
                  </w14:solidFill>
                </w14:textFill>
              </w:rPr>
              <w:t>1.73</w:t>
            </w:r>
            <w:r>
              <w:rPr>
                <w:color w:val="000000" w:themeColor="text1"/>
                <w:sz w:val="24"/>
                <w14:textFill>
                  <w14:solidFill>
                    <w14:schemeClr w14:val="tx1"/>
                  </w14:solidFill>
                </w14:textFill>
              </w:rPr>
              <w:t>×H</w:t>
            </w:r>
            <w:r>
              <w:rPr>
                <w:color w:val="000000" w:themeColor="text1"/>
                <w:sz w:val="24"/>
                <w:vertAlign w:val="superscript"/>
                <w14:textFill>
                  <w14:solidFill>
                    <w14:schemeClr w14:val="tx1"/>
                  </w14:solidFill>
                </w14:textFill>
              </w:rPr>
              <w:t>0.51</w:t>
            </w:r>
            <w:r>
              <w:rPr>
                <w:color w:val="000000" w:themeColor="text1"/>
                <w:sz w:val="24"/>
                <w14:textFill>
                  <w14:solidFill>
                    <w14:schemeClr w14:val="tx1"/>
                  </w14:solidFill>
                </w14:textFill>
              </w:rPr>
              <w:t>×△T</w:t>
            </w:r>
            <w:r>
              <w:rPr>
                <w:color w:val="000000" w:themeColor="text1"/>
                <w:sz w:val="24"/>
                <w:vertAlign w:val="superscript"/>
                <w14:textFill>
                  <w14:solidFill>
                    <w14:schemeClr w14:val="tx1"/>
                  </w14:solidFill>
                </w14:textFill>
              </w:rPr>
              <w:t>0.45</w:t>
            </w:r>
            <w:r>
              <w:rPr>
                <w:color w:val="000000" w:themeColor="text1"/>
                <w:sz w:val="24"/>
                <w14:textFill>
                  <w14:solidFill>
                    <w14:schemeClr w14:val="tx1"/>
                  </w14:solidFill>
                </w14:textFill>
              </w:rPr>
              <w:t>×F</w:t>
            </w:r>
            <w:r>
              <w:rPr>
                <w:color w:val="000000" w:themeColor="text1"/>
                <w:sz w:val="24"/>
                <w:vertAlign w:val="subscript"/>
                <w14:textFill>
                  <w14:solidFill>
                    <w14:schemeClr w14:val="tx1"/>
                  </w14:solidFill>
                </w14:textFill>
              </w:rPr>
              <w:t>P</w:t>
            </w:r>
            <w:r>
              <w:rPr>
                <w:color w:val="000000" w:themeColor="text1"/>
                <w:sz w:val="24"/>
                <w14:textFill>
                  <w14:solidFill>
                    <w14:schemeClr w14:val="tx1"/>
                  </w14:solidFill>
                </w14:textFill>
              </w:rPr>
              <w:t>×C×Kc</w:t>
            </w:r>
          </w:p>
          <w:p w14:paraId="2FFDAA9D">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式中：L</w:t>
            </w:r>
            <w:r>
              <w:rPr>
                <w:color w:val="000000" w:themeColor="text1"/>
                <w:sz w:val="24"/>
                <w:vertAlign w:val="subscript"/>
                <w14:textFill>
                  <w14:solidFill>
                    <w14:schemeClr w14:val="tx1"/>
                  </w14:solidFill>
                </w14:textFill>
              </w:rPr>
              <w:t>B</w:t>
            </w:r>
            <w:r>
              <w:rPr>
                <w:color w:val="000000" w:themeColor="text1"/>
                <w:sz w:val="24"/>
                <w14:textFill>
                  <w14:solidFill>
                    <w14:schemeClr w14:val="tx1"/>
                  </w14:solidFill>
                </w14:textFill>
              </w:rPr>
              <w:t>—固定顶罐的呼吸排放量（kg/a）；</w:t>
            </w:r>
          </w:p>
          <w:p w14:paraId="26FAB0E9">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M—储罐内蒸气的分子量；</w:t>
            </w:r>
          </w:p>
          <w:p w14:paraId="52938AF1">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P—在大量液体状态下，真实的蒸气压力（Pa）；</w:t>
            </w:r>
          </w:p>
          <w:p w14:paraId="5629738B">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D—罐的直径（m）；</w:t>
            </w:r>
          </w:p>
          <w:p w14:paraId="3F3C6B0A">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H—平均蒸气空间高度（m），平均按储罐高度的20%考虑；</w:t>
            </w:r>
          </w:p>
          <w:p w14:paraId="1BBA4760">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△T—一天之内的平均温度差（℃），根据</w:t>
            </w:r>
            <w:r>
              <w:rPr>
                <w:rFonts w:hint="eastAsia"/>
                <w:color w:val="000000" w:themeColor="text1"/>
                <w:sz w:val="24"/>
                <w14:textFill>
                  <w14:solidFill>
                    <w14:schemeClr w14:val="tx1"/>
                  </w14:solidFill>
                </w14:textFill>
              </w:rPr>
              <w:t>南阳</w:t>
            </w:r>
            <w:r>
              <w:rPr>
                <w:color w:val="000000" w:themeColor="text1"/>
                <w:sz w:val="24"/>
                <w14:textFill>
                  <w14:solidFill>
                    <w14:schemeClr w14:val="tx1"/>
                  </w14:solidFill>
                </w14:textFill>
              </w:rPr>
              <w:t>市各季节温差情况，全年平均每天温差为8℃；</w:t>
            </w:r>
          </w:p>
          <w:p w14:paraId="50240CB4">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F</w:t>
            </w:r>
            <w:r>
              <w:rPr>
                <w:color w:val="000000" w:themeColor="text1"/>
                <w:sz w:val="24"/>
                <w:vertAlign w:val="subscript"/>
                <w14:textFill>
                  <w14:solidFill>
                    <w14:schemeClr w14:val="tx1"/>
                  </w14:solidFill>
                </w14:textFill>
              </w:rPr>
              <w:t>P</w:t>
            </w:r>
            <w:r>
              <w:rPr>
                <w:color w:val="000000" w:themeColor="text1"/>
                <w:sz w:val="24"/>
                <w14:textFill>
                  <w14:solidFill>
                    <w14:schemeClr w14:val="tx1"/>
                  </w14:solidFill>
                </w14:textFill>
              </w:rPr>
              <w:t>—涂层因子（无量纲），根据油漆状况8取值在1-1.5之间，取1.25；</w:t>
            </w:r>
          </w:p>
          <w:p w14:paraId="73357E34">
            <w:pPr>
              <w:spacing w:line="360" w:lineRule="auto"/>
              <w:ind w:firstLine="1200" w:firstLineChars="500"/>
              <w:rPr>
                <w:color w:val="000000" w:themeColor="text1"/>
                <w:sz w:val="24"/>
                <w14:textFill>
                  <w14:solidFill>
                    <w14:schemeClr w14:val="tx1"/>
                  </w14:solidFill>
                </w14:textFill>
              </w:rPr>
            </w:pPr>
            <w:r>
              <w:rPr>
                <w:color w:val="000000" w:themeColor="text1"/>
                <w:sz w:val="24"/>
                <w14:textFill>
                  <w14:solidFill>
                    <w14:schemeClr w14:val="tx1"/>
                  </w14:solidFill>
                </w14:textFill>
              </w:rPr>
              <w:t>C—用于小直径罐的调节因子（无量纲）；直径在0-9m之间的罐体，C=1-0.0123（D-9）</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w:t>
            </w:r>
          </w:p>
          <w:p w14:paraId="7B85C8DF">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计算得到：单个</w:t>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0m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储罐小呼吸量为LB</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9.89</w:t>
            </w:r>
            <w:r>
              <w:rPr>
                <w:color w:val="000000" w:themeColor="text1"/>
                <w:sz w:val="24"/>
                <w14:textFill>
                  <w14:solidFill>
                    <w14:schemeClr w14:val="tx1"/>
                  </w14:solidFill>
                </w14:textFill>
              </w:rPr>
              <w:t>kg/a，</w:t>
            </w:r>
            <w:r>
              <w:rPr>
                <w:rFonts w:hint="eastAsia"/>
                <w:color w:val="000000" w:themeColor="text1"/>
                <w:sz w:val="24"/>
                <w14:textFill>
                  <w14:solidFill>
                    <w14:schemeClr w14:val="tx1"/>
                  </w14:solidFill>
                </w14:textFill>
              </w:rPr>
              <w:t>6</w:t>
            </w:r>
            <w:r>
              <w:rPr>
                <w:color w:val="000000" w:themeColor="text1"/>
                <w:sz w:val="24"/>
                <w14:textFill>
                  <w14:solidFill>
                    <w14:schemeClr w14:val="tx1"/>
                  </w14:solidFill>
                </w14:textFill>
              </w:rPr>
              <w:t>个</w:t>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0m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储罐；</w:t>
            </w:r>
          </w:p>
          <w:p w14:paraId="29088C24">
            <w:pPr>
              <w:widowControl/>
              <w:spacing w:line="360" w:lineRule="auto"/>
              <w:ind w:firstLine="480" w:firstLineChars="200"/>
              <w:jc w:val="both"/>
              <w:rPr>
                <w:rStyle w:val="30"/>
                <w:color w:val="000000" w:themeColor="text1"/>
                <w:sz w:val="24"/>
                <w:szCs w:val="24"/>
                <w14:textFill>
                  <w14:solidFill>
                    <w14:schemeClr w14:val="tx1"/>
                  </w14:solidFill>
                </w14:textFill>
              </w:rPr>
            </w:pPr>
            <w:r>
              <w:rPr>
                <w:rFonts w:hint="eastAsia"/>
                <w:color w:val="000000" w:themeColor="text1"/>
                <w:sz w:val="24"/>
                <w14:textFill>
                  <w14:solidFill>
                    <w14:schemeClr w14:val="tx1"/>
                  </w14:solidFill>
                </w14:textFill>
              </w:rPr>
              <w:t>综上所述，</w:t>
            </w:r>
            <w:r>
              <w:rPr>
                <w:color w:val="000000" w:themeColor="text1"/>
                <w:sz w:val="24"/>
                <w14:textFill>
                  <w14:solidFill>
                    <w14:schemeClr w14:val="tx1"/>
                  </w14:solidFill>
                </w14:textFill>
              </w:rPr>
              <w:t>本项目储罐产生的有机废气</w:t>
            </w:r>
            <w:r>
              <w:rPr>
                <w:rFonts w:hint="eastAsia"/>
                <w:color w:val="000000" w:themeColor="text1"/>
                <w:sz w:val="24"/>
                <w14:textFill>
                  <w14:solidFill>
                    <w14:schemeClr w14:val="tx1"/>
                  </w14:solidFill>
                </w14:textFill>
              </w:rPr>
              <w:t>0.069</w:t>
            </w:r>
            <w:r>
              <w:rPr>
                <w:color w:val="000000" w:themeColor="text1"/>
                <w:sz w:val="24"/>
                <w14:textFill>
                  <w14:solidFill>
                    <w14:schemeClr w14:val="tx1"/>
                  </w14:solidFill>
                </w14:textFill>
              </w:rPr>
              <w:t>t/a，产生速率约</w:t>
            </w:r>
            <w:r>
              <w:rPr>
                <w:rFonts w:hint="eastAsia"/>
                <w:color w:val="000000" w:themeColor="text1"/>
                <w:sz w:val="24"/>
                <w14:textFill>
                  <w14:solidFill>
                    <w14:schemeClr w14:val="tx1"/>
                  </w14:solidFill>
                </w14:textFill>
              </w:rPr>
              <w:t>0.008</w:t>
            </w:r>
            <w:r>
              <w:rPr>
                <w:color w:val="000000" w:themeColor="text1"/>
                <w:sz w:val="24"/>
                <w14:textFill>
                  <w14:solidFill>
                    <w14:schemeClr w14:val="tx1"/>
                  </w14:solidFill>
                </w14:textFill>
              </w:rPr>
              <w:t>kg/h，其主要污染物以乙醇计</w:t>
            </w:r>
            <w:r>
              <w:rPr>
                <w:rFonts w:hint="eastAsia"/>
                <w:color w:val="000000" w:themeColor="text1"/>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在车间内以无组织形式排放</w:t>
            </w:r>
            <w:r>
              <w:rPr>
                <w:color w:val="000000" w:themeColor="text1"/>
                <w:sz w:val="24"/>
                <w14:textFill>
                  <w14:solidFill>
                    <w14:schemeClr w14:val="tx1"/>
                  </w14:solidFill>
                </w14:textFill>
              </w:rPr>
              <w:t>。</w:t>
            </w:r>
            <w:r>
              <w:rPr>
                <w:rStyle w:val="30"/>
                <w:rFonts w:hint="eastAsia"/>
                <w:color w:val="000000" w:themeColor="text1"/>
                <w:sz w:val="24"/>
                <w:szCs w:val="24"/>
                <w14:textFill>
                  <w14:solidFill>
                    <w14:schemeClr w14:val="tx1"/>
                  </w14:solidFill>
                </w14:textFill>
              </w:rPr>
              <w:t>白酒</w:t>
            </w:r>
            <w:r>
              <w:rPr>
                <w:rStyle w:val="30"/>
                <w:color w:val="000000" w:themeColor="text1"/>
                <w:sz w:val="24"/>
                <w:szCs w:val="24"/>
                <w14:textFill>
                  <w14:solidFill>
                    <w14:schemeClr w14:val="tx1"/>
                  </w14:solidFill>
                </w14:textFill>
              </w:rPr>
              <w:t>储存过程</w:t>
            </w:r>
            <w:r>
              <w:rPr>
                <w:rFonts w:hint="eastAsia"/>
                <w:color w:val="000000" w:themeColor="text1"/>
                <w:kern w:val="52"/>
                <w:sz w:val="24"/>
                <w:szCs w:val="24"/>
                <w:lang w:val="en-US" w:eastAsia="zh-CN"/>
                <w14:textFill>
                  <w14:solidFill>
                    <w14:schemeClr w14:val="tx1"/>
                  </w14:solidFill>
                </w14:textFill>
              </w:rPr>
              <w:t>罐区基酒转运采取集中自动酒泵泵房转运方式，储罐及酒泵与管道处采取密闭软连接措施，减少人工转运过程因操作失误导致的基酒跑冒滴漏导致的VOCs排放量增加；</w:t>
            </w:r>
            <w:r>
              <w:rPr>
                <w:rFonts w:hint="eastAsia"/>
                <w:color w:val="000000" w:themeColor="text1"/>
                <w:kern w:val="52"/>
                <w:sz w:val="24"/>
                <w:szCs w:val="24"/>
                <w14:textFill>
                  <w14:solidFill>
                    <w14:schemeClr w14:val="tx1"/>
                  </w14:solidFill>
                </w14:textFill>
              </w:rPr>
              <w:t>以此减少车间内废气向外部转移</w:t>
            </w:r>
            <w:r>
              <w:rPr>
                <w:color w:val="000000" w:themeColor="text1"/>
                <w:kern w:val="52"/>
                <w:sz w:val="24"/>
                <w:szCs w:val="24"/>
                <w14:textFill>
                  <w14:solidFill>
                    <w14:schemeClr w14:val="tx1"/>
                  </w14:solidFill>
                </w14:textFill>
              </w:rPr>
              <w:t>。同时要求规范操作，加强管理。</w:t>
            </w:r>
          </w:p>
          <w:p w14:paraId="51D40BF4">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2）综合车间白酒、黄酒、啤酒及果酒</w:t>
            </w:r>
            <w:r>
              <w:rPr>
                <w:color w:val="000000" w:themeColor="text1"/>
                <w:sz w:val="24"/>
                <w14:textFill>
                  <w14:solidFill>
                    <w14:schemeClr w14:val="tx1"/>
                  </w14:solidFill>
                </w14:textFill>
              </w:rPr>
              <w:t>过滤、勾调、杀菌、灌装等过程</w:t>
            </w:r>
            <w:r>
              <w:rPr>
                <w:color w:val="000000" w:themeColor="text1"/>
                <w:kern w:val="52"/>
                <w:sz w:val="24"/>
                <w14:textFill>
                  <w14:solidFill>
                    <w14:schemeClr w14:val="tx1"/>
                  </w14:solidFill>
                </w14:textFill>
              </w:rPr>
              <w:t>产生的废气</w:t>
            </w:r>
          </w:p>
          <w:p w14:paraId="72B96C3A">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过滤、勾调、杀菌、灌装等工序</w:t>
            </w:r>
            <w:r>
              <w:rPr>
                <w:color w:val="000000" w:themeColor="text1"/>
                <w:sz w:val="24"/>
                <w14:textFill>
                  <w14:solidFill>
                    <w14:schemeClr w14:val="tx1"/>
                  </w14:solidFill>
                </w14:textFill>
              </w:rPr>
              <w:t>采用机械全自动操作，</w:t>
            </w:r>
            <w:r>
              <w:rPr>
                <w:rFonts w:hint="eastAsia"/>
                <w:color w:val="000000" w:themeColor="text1"/>
                <w:sz w:val="24"/>
                <w14:textFill>
                  <w14:solidFill>
                    <w14:schemeClr w14:val="tx1"/>
                  </w14:solidFill>
                </w14:textFill>
              </w:rPr>
              <w:t>过滤</w:t>
            </w:r>
            <w:r>
              <w:rPr>
                <w:color w:val="000000" w:themeColor="text1"/>
                <w:sz w:val="24"/>
                <w14:textFill>
                  <w14:solidFill>
                    <w14:schemeClr w14:val="tx1"/>
                  </w14:solidFill>
                </w14:textFill>
              </w:rPr>
              <w:t>勾调灌装效率高，各类盛装酒液的容器密封性较好，灌装过程酒气产生量较小，可忽略不计。</w:t>
            </w:r>
          </w:p>
          <w:p w14:paraId="46709020">
            <w:pPr>
              <w:widowControl/>
              <w:spacing w:line="360" w:lineRule="auto"/>
              <w:ind w:firstLine="480" w:firstLineChars="200"/>
              <w:jc w:val="left"/>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（4）综合车间1t/h蒸汽发生器废气</w:t>
            </w:r>
          </w:p>
          <w:p w14:paraId="48830F84">
            <w:pPr>
              <w:widowControl/>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项目综合车间生产过程中配套1台</w:t>
            </w:r>
            <w:r>
              <w:rPr>
                <w:rFonts w:hint="eastAsia"/>
                <w:color w:val="000000" w:themeColor="text1"/>
                <w:kern w:val="0"/>
                <w:sz w:val="24"/>
                <w14:textFill>
                  <w14:solidFill>
                    <w14:schemeClr w14:val="tx1"/>
                  </w14:solidFill>
                </w14:textFill>
              </w:rPr>
              <w:t>1t/h</w:t>
            </w:r>
            <w:r>
              <w:rPr>
                <w:rFonts w:hint="eastAsia"/>
                <w:color w:val="000000" w:themeColor="text1"/>
                <w:sz w:val="24"/>
                <w14:textFill>
                  <w14:solidFill>
                    <w14:schemeClr w14:val="tx1"/>
                  </w14:solidFill>
                </w14:textFill>
              </w:rPr>
              <w:t>的</w:t>
            </w:r>
            <w:r>
              <w:rPr>
                <w:rFonts w:hint="eastAsia"/>
                <w:color w:val="000000" w:themeColor="text1"/>
                <w:kern w:val="0"/>
                <w:sz w:val="24"/>
                <w14:textFill>
                  <w14:solidFill>
                    <w14:schemeClr w14:val="tx1"/>
                  </w14:solidFill>
                </w14:textFill>
              </w:rPr>
              <w:t>蒸汽发生器</w:t>
            </w:r>
            <w:r>
              <w:rPr>
                <w:rFonts w:hint="eastAsia"/>
                <w:color w:val="000000" w:themeColor="text1"/>
                <w:sz w:val="24"/>
                <w14:textFill>
                  <w14:solidFill>
                    <w14:schemeClr w14:val="tx1"/>
                  </w14:solidFill>
                </w14:textFill>
              </w:rPr>
              <w:t>为本项目提供蒸汽，</w:t>
            </w:r>
            <w:r>
              <w:rPr>
                <w:rFonts w:hint="eastAsia"/>
                <w:color w:val="000000" w:themeColor="text1"/>
                <w:kern w:val="0"/>
                <w:sz w:val="24"/>
                <w14:textFill>
                  <w14:solidFill>
                    <w14:schemeClr w14:val="tx1"/>
                  </w14:solidFill>
                </w14:textFill>
              </w:rPr>
              <w:t>蒸汽发生器</w:t>
            </w:r>
            <w:r>
              <w:rPr>
                <w:rFonts w:hint="eastAsia"/>
                <w:color w:val="000000" w:themeColor="text1"/>
                <w:sz w:val="24"/>
                <w14:textFill>
                  <w14:solidFill>
                    <w14:schemeClr w14:val="tx1"/>
                  </w14:solidFill>
                </w14:textFill>
              </w:rPr>
              <w:t>以天然气为燃料，天然气燃烧过程会产生烟尘、</w:t>
            </w:r>
            <w:r>
              <w:rPr>
                <w:color w:val="000000" w:themeColor="text1"/>
                <w:sz w:val="24"/>
                <w14:textFill>
                  <w14:solidFill>
                    <w14:schemeClr w14:val="tx1"/>
                  </w14:solidFill>
                </w14:textFill>
              </w:rPr>
              <w:t>SO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、NO</w:t>
            </w:r>
            <w:r>
              <w:rPr>
                <w:color w:val="000000" w:themeColor="text1"/>
                <w:sz w:val="24"/>
                <w:vertAlign w:val="subscript"/>
                <w14:textFill>
                  <w14:solidFill>
                    <w14:schemeClr w14:val="tx1"/>
                  </w14:solidFill>
                </w14:textFill>
              </w:rPr>
              <w:t>X</w:t>
            </w:r>
            <w:r>
              <w:rPr>
                <w:rFonts w:hint="eastAsia"/>
                <w:color w:val="000000" w:themeColor="text1"/>
                <w:sz w:val="24"/>
                <w14:textFill>
                  <w14:solidFill>
                    <w14:schemeClr w14:val="tx1"/>
                  </w14:solidFill>
                </w14:textFill>
              </w:rPr>
              <w:t>。根据企业提供资料，项目综合车间</w:t>
            </w:r>
            <w:r>
              <w:rPr>
                <w:rFonts w:hint="eastAsia"/>
                <w:color w:val="000000" w:themeColor="text1"/>
                <w:kern w:val="0"/>
                <w:sz w:val="24"/>
                <w14:textFill>
                  <w14:solidFill>
                    <w14:schemeClr w14:val="tx1"/>
                  </w14:solidFill>
                </w14:textFill>
              </w:rPr>
              <w:t>蒸汽发生器</w:t>
            </w:r>
            <w:r>
              <w:rPr>
                <w:rFonts w:hint="eastAsia"/>
                <w:color w:val="000000" w:themeColor="text1"/>
                <w:sz w:val="24"/>
                <w14:textFill>
                  <w14:solidFill>
                    <w14:schemeClr w14:val="tx1"/>
                  </w14:solidFill>
                </w14:textFill>
              </w:rPr>
              <w:t>每天运行6h，年运行时间约为228d/a，其中1t/h</w:t>
            </w:r>
            <w:r>
              <w:rPr>
                <w:rFonts w:hint="eastAsia"/>
                <w:color w:val="000000" w:themeColor="text1"/>
                <w:kern w:val="0"/>
                <w:sz w:val="24"/>
                <w14:textFill>
                  <w14:solidFill>
                    <w14:schemeClr w14:val="tx1"/>
                  </w14:solidFill>
                </w14:textFill>
              </w:rPr>
              <w:t>蒸汽发生器</w:t>
            </w:r>
            <w:r>
              <w:rPr>
                <w:rFonts w:hint="eastAsia"/>
                <w:color w:val="000000" w:themeColor="text1"/>
                <w:sz w:val="24"/>
                <w14:textFill>
                  <w14:solidFill>
                    <w14:schemeClr w14:val="tx1"/>
                  </w14:solidFill>
                </w14:textFill>
              </w:rPr>
              <w:t>燃料为天然气用量为73.947</w:t>
            </w:r>
            <w:r>
              <w:rPr>
                <w:color w:val="000000" w:themeColor="text1"/>
                <w:sz w:val="24"/>
                <w14:textFill>
                  <w14:solidFill>
                    <w14:schemeClr w14:val="tx1"/>
                  </w14:solidFill>
                </w14:textFill>
              </w:rPr>
              <w:t>t/a（气态天然气密度为0.7kg/m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，约</w:t>
            </w:r>
            <w:r>
              <w:rPr>
                <w:rFonts w:hint="eastAsia"/>
                <w:color w:val="000000" w:themeColor="text1"/>
                <w:sz w:val="24"/>
                <w14:textFill>
                  <w14:solidFill>
                    <w14:schemeClr w14:val="tx1"/>
                  </w14:solidFill>
                </w14:textFill>
              </w:rPr>
              <w:t>105638.328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w:t>
            </w:r>
          </w:p>
          <w:p w14:paraId="3AC36DB2">
            <w:pPr>
              <w:widowControl/>
              <w:spacing w:line="360" w:lineRule="auto"/>
              <w:ind w:firstLine="480" w:firstLineChars="200"/>
              <w:jc w:val="left"/>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w:t>
            </w:r>
            <w:r>
              <w:rPr>
                <w:color w:val="000000" w:themeColor="text1"/>
                <w:sz w:val="24"/>
                <w14:textFill>
                  <w14:solidFill>
                    <w14:schemeClr w14:val="tx1"/>
                  </w14:solidFill>
                </w14:textFill>
              </w:rPr>
              <w:t>据《排污许可证申请与核发技术规范 锅炉》HJ953-2018表F.3燃气工业锅炉废气产排污系数可知，二氧化硫产生系数为0.02Skg/万立方米-燃料（S为天然气含硫量），项目所用天然气符合国家标准《天然气》（GB17820-2018）中的1类天然气，含硫量小于20毫克/立方米，本项目按照最不利性影响计算，取20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经计算二氧化硫的产污系数为0.4千克/万立方米-燃料。根据《工业源产排污核算方法和系数手册》中D4430锅炉产排污量核算系数手册—燃气工业锅炉废气产排污系数手册中采用低氮燃烧技术后氮氧化物产污系数为3.03kg万立方米-燃料。根据《社会区域类环境影响评价》（环评工程师培训教材），天然气燃烧产生的烟尘产污系数为0.5kg/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-原料。</w:t>
            </w:r>
          </w:p>
          <w:p w14:paraId="05EEC6FA">
            <w:pPr>
              <w:widowControl/>
              <w:spacing w:line="360" w:lineRule="auto"/>
              <w:ind w:firstLine="480" w:firstLineChars="200"/>
              <w:jc w:val="left"/>
              <w:rPr>
                <w:color w:val="000000" w:themeColor="text1"/>
                <w:sz w:val="24"/>
                <w14:textFill>
                  <w14:solidFill>
                    <w14:schemeClr w14:val="tx1"/>
                  </w14:solidFill>
                </w14:textFill>
              </w:rPr>
            </w:pPr>
            <w:r>
              <w:rPr>
                <w:bCs/>
                <w:color w:val="000000" w:themeColor="text1"/>
                <w:sz w:val="24"/>
                <w14:textFill>
                  <w14:solidFill>
                    <w14:schemeClr w14:val="tx1"/>
                  </w14:solidFill>
                </w14:textFill>
              </w:rPr>
              <w:t>环评建议，项目</w:t>
            </w:r>
            <w:r>
              <w:rPr>
                <w:rFonts w:hint="eastAsia"/>
                <w:bCs/>
                <w:color w:val="000000" w:themeColor="text1"/>
                <w:sz w:val="24"/>
                <w14:textFill>
                  <w14:solidFill>
                    <w14:schemeClr w14:val="tx1"/>
                  </w14:solidFill>
                </w14:textFill>
              </w:rPr>
              <w:t>综合车间</w:t>
            </w:r>
            <w:r>
              <w:rPr>
                <w:rFonts w:hint="eastAsia"/>
                <w:color w:val="000000" w:themeColor="text1"/>
                <w:kern w:val="0"/>
                <w:sz w:val="24"/>
                <w14:textFill>
                  <w14:solidFill>
                    <w14:schemeClr w14:val="tx1"/>
                  </w14:solidFill>
                </w14:textFill>
              </w:rPr>
              <w:t>1t/h蒸汽发生器</w:t>
            </w:r>
            <w:r>
              <w:rPr>
                <w:bCs/>
                <w:color w:val="000000" w:themeColor="text1"/>
                <w:sz w:val="24"/>
                <w14:textFill>
                  <w14:solidFill>
                    <w14:schemeClr w14:val="tx1"/>
                  </w14:solidFill>
                </w14:textFill>
              </w:rPr>
              <w:t>天然气燃烧废气经1套低氮燃烧+烟气循环系统</w:t>
            </w:r>
            <w:r>
              <w:rPr>
                <w:rFonts w:hint="eastAsia"/>
                <w:color w:val="000000" w:themeColor="text1"/>
                <w:kern w:val="0"/>
                <w:sz w:val="24"/>
                <w14:textFill>
                  <w14:solidFill>
                    <w14:schemeClr w14:val="tx1"/>
                  </w14:solidFill>
                </w14:textFill>
              </w:rPr>
              <w:t>（TA002）</w:t>
            </w:r>
            <w:r>
              <w:rPr>
                <w:bCs/>
                <w:color w:val="000000" w:themeColor="text1"/>
                <w:sz w:val="24"/>
                <w14:textFill>
                  <w14:solidFill>
                    <w14:schemeClr w14:val="tx1"/>
                  </w14:solidFill>
                </w14:textFill>
              </w:rPr>
              <w:t>处理后</w:t>
            </w:r>
            <w:r>
              <w:rPr>
                <w:rFonts w:hint="eastAsia"/>
                <w:bCs/>
                <w:color w:val="000000" w:themeColor="text1"/>
                <w:sz w:val="24"/>
                <w14:textFill>
                  <w14:solidFill>
                    <w14:schemeClr w14:val="tx1"/>
                  </w14:solidFill>
                </w14:textFill>
              </w:rPr>
              <w:t>分别</w:t>
            </w:r>
            <w:r>
              <w:rPr>
                <w:bCs/>
                <w:color w:val="000000" w:themeColor="text1"/>
                <w:sz w:val="24"/>
                <w14:textFill>
                  <w14:solidFill>
                    <w14:schemeClr w14:val="tx1"/>
                  </w14:solidFill>
                </w14:textFill>
              </w:rPr>
              <w:t>通过1根</w:t>
            </w:r>
            <w:r>
              <w:rPr>
                <w:rFonts w:hint="eastAsia"/>
                <w:bCs/>
                <w:color w:val="000000" w:themeColor="text1"/>
                <w:sz w:val="24"/>
                <w14:textFill>
                  <w14:solidFill>
                    <w14:schemeClr w14:val="tx1"/>
                  </w14:solidFill>
                </w14:textFill>
              </w:rPr>
              <w:t>15</w:t>
            </w:r>
            <w:r>
              <w:rPr>
                <w:bCs/>
                <w:color w:val="000000" w:themeColor="text1"/>
                <w:sz w:val="24"/>
                <w14:textFill>
                  <w14:solidFill>
                    <w14:schemeClr w14:val="tx1"/>
                  </w14:solidFill>
                </w14:textFill>
              </w:rPr>
              <w:t>m高排气筒</w:t>
            </w:r>
            <w:r>
              <w:rPr>
                <w:rFonts w:hint="eastAsia"/>
                <w:color w:val="000000" w:themeColor="text1"/>
                <w:kern w:val="0"/>
                <w:sz w:val="24"/>
                <w14:textFill>
                  <w14:solidFill>
                    <w14:schemeClr w14:val="tx1"/>
                  </w14:solidFill>
                </w14:textFill>
              </w:rPr>
              <w:t>（DA002）</w:t>
            </w:r>
            <w:r>
              <w:rPr>
                <w:bCs/>
                <w:color w:val="000000" w:themeColor="text1"/>
                <w:sz w:val="24"/>
                <w14:textFill>
                  <w14:solidFill>
                    <w14:schemeClr w14:val="tx1"/>
                  </w14:solidFill>
                </w14:textFill>
              </w:rPr>
              <w:t>排放。</w:t>
            </w:r>
            <w:r>
              <w:rPr>
                <w:rFonts w:hint="eastAsia"/>
                <w:color w:val="000000" w:themeColor="text1"/>
                <w:sz w:val="24"/>
                <w14:textFill>
                  <w14:solidFill>
                    <w14:schemeClr w14:val="tx1"/>
                  </w14:solidFill>
                </w14:textFill>
              </w:rPr>
              <w:t>项目</w:t>
            </w:r>
            <w:r>
              <w:rPr>
                <w:rFonts w:hint="eastAsia"/>
                <w:color w:val="000000" w:themeColor="text1"/>
                <w:kern w:val="0"/>
                <w:sz w:val="24"/>
                <w14:textFill>
                  <w14:solidFill>
                    <w14:schemeClr w14:val="tx1"/>
                  </w14:solidFill>
                </w14:textFill>
              </w:rPr>
              <w:t>1t/h蒸汽发生器</w:t>
            </w:r>
            <w:r>
              <w:rPr>
                <w:color w:val="000000" w:themeColor="text1"/>
                <w:sz w:val="24"/>
                <w14:textFill>
                  <w14:solidFill>
                    <w14:schemeClr w14:val="tx1"/>
                  </w14:solidFill>
                </w14:textFill>
              </w:rPr>
              <w:t>天然气用量为</w:t>
            </w:r>
            <w:r>
              <w:rPr>
                <w:rFonts w:hint="eastAsia"/>
                <w:color w:val="000000" w:themeColor="text1"/>
                <w:sz w:val="24"/>
                <w14:textFill>
                  <w14:solidFill>
                    <w14:schemeClr w14:val="tx1"/>
                  </w14:solidFill>
                </w14:textFill>
              </w:rPr>
              <w:t>105638.328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/a。经计算</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烟尘</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量为0.0</w:t>
            </w:r>
            <w:r>
              <w:rPr>
                <w:rFonts w:hint="eastAsia"/>
                <w:color w:val="000000" w:themeColor="text1"/>
                <w:sz w:val="24"/>
                <w14:textFill>
                  <w14:solidFill>
                    <w14:schemeClr w14:val="tx1"/>
                  </w14:solidFill>
                </w14:textFill>
              </w:rPr>
              <w:t>05</w:t>
            </w:r>
            <w:r>
              <w:rPr>
                <w:color w:val="000000" w:themeColor="text1"/>
                <w:sz w:val="24"/>
                <w14:textFill>
                  <w14:solidFill>
                    <w14:schemeClr w14:val="tx1"/>
                  </w14:solidFill>
                </w14:textFill>
              </w:rPr>
              <w:t>t/a（0.0</w:t>
            </w:r>
            <w:r>
              <w:rPr>
                <w:rFonts w:hint="eastAsia"/>
                <w:color w:val="000000" w:themeColor="text1"/>
                <w:sz w:val="24"/>
                <w14:textFill>
                  <w14:solidFill>
                    <w14:schemeClr w14:val="tx1"/>
                  </w14:solidFill>
                </w14:textFill>
              </w:rPr>
              <w:t>04</w:t>
            </w:r>
            <w:r>
              <w:rPr>
                <w:color w:val="000000" w:themeColor="text1"/>
                <w:sz w:val="24"/>
                <w14:textFill>
                  <w14:solidFill>
                    <w14:schemeClr w14:val="tx1"/>
                  </w14:solidFill>
                </w14:textFill>
              </w:rPr>
              <w:t>kg/h），二氧化硫</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量为0.0</w:t>
            </w:r>
            <w:r>
              <w:rPr>
                <w:rFonts w:hint="eastAsia"/>
                <w:color w:val="000000" w:themeColor="text1"/>
                <w:sz w:val="24"/>
                <w14:textFill>
                  <w14:solidFill>
                    <w14:schemeClr w14:val="tx1"/>
                  </w14:solidFill>
                </w14:textFill>
              </w:rPr>
              <w:t>04</w:t>
            </w:r>
            <w:r>
              <w:rPr>
                <w:color w:val="000000" w:themeColor="text1"/>
                <w:sz w:val="24"/>
                <w14:textFill>
                  <w14:solidFill>
                    <w14:schemeClr w14:val="tx1"/>
                  </w14:solidFill>
                </w14:textFill>
              </w:rPr>
              <w:t>t/a（0.0</w:t>
            </w:r>
            <w:r>
              <w:rPr>
                <w:rFonts w:hint="eastAsia"/>
                <w:color w:val="000000" w:themeColor="text1"/>
                <w:sz w:val="24"/>
                <w14:textFill>
                  <w14:solidFill>
                    <w14:schemeClr w14:val="tx1"/>
                  </w14:solidFill>
                </w14:textFill>
              </w:rPr>
              <w:t>03</w:t>
            </w:r>
            <w:r>
              <w:rPr>
                <w:color w:val="000000" w:themeColor="text1"/>
                <w:sz w:val="24"/>
                <w14:textFill>
                  <w14:solidFill>
                    <w14:schemeClr w14:val="tx1"/>
                  </w14:solidFill>
                </w14:textFill>
              </w:rPr>
              <w:t>kg/h），氮氧化物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量为</w:t>
            </w:r>
            <w:r>
              <w:rPr>
                <w:rFonts w:hint="eastAsia"/>
                <w:color w:val="000000" w:themeColor="text1"/>
                <w:sz w:val="24"/>
                <w14:textFill>
                  <w14:solidFill>
                    <w14:schemeClr w14:val="tx1"/>
                  </w14:solidFill>
                </w14:textFill>
              </w:rPr>
              <w:t>0.032</w:t>
            </w:r>
            <w:r>
              <w:rPr>
                <w:color w:val="000000" w:themeColor="text1"/>
                <w:sz w:val="24"/>
                <w14:textFill>
                  <w14:solidFill>
                    <w14:schemeClr w14:val="tx1"/>
                  </w14:solidFill>
                </w14:textFill>
              </w:rPr>
              <w:t>t/a（0.</w:t>
            </w:r>
            <w:r>
              <w:rPr>
                <w:rFonts w:hint="eastAsia"/>
                <w:color w:val="000000" w:themeColor="text1"/>
                <w:sz w:val="24"/>
                <w14:textFill>
                  <w14:solidFill>
                    <w14:schemeClr w14:val="tx1"/>
                  </w14:solidFill>
                </w14:textFill>
              </w:rPr>
              <w:t>023</w:t>
            </w:r>
            <w:r>
              <w:rPr>
                <w:color w:val="000000" w:themeColor="text1"/>
                <w:sz w:val="24"/>
                <w14:textFill>
                  <w14:solidFill>
                    <w14:schemeClr w14:val="tx1"/>
                  </w14:solidFill>
                </w14:textFill>
              </w:rPr>
              <w:t>kg/h）。根据《工业源产排污核算方法和系数手册》（D4430锅炉产排污量核算系数手册—燃气工业锅炉废气产排污系数可知，每燃烧1万立方米天然气产生的烟气量为107753Nm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，项目用天然气</w:t>
            </w:r>
            <w:r>
              <w:rPr>
                <w:rFonts w:hint="eastAsia"/>
                <w:color w:val="000000" w:themeColor="text1"/>
                <w:sz w:val="24"/>
                <w14:textFill>
                  <w14:solidFill>
                    <w14:schemeClr w14:val="tx1"/>
                  </w14:solidFill>
                </w14:textFill>
              </w:rPr>
              <w:t>105638.328</w:t>
            </w:r>
            <w:r>
              <w:rPr>
                <w:color w:val="000000" w:themeColor="text1"/>
                <w:sz w:val="24"/>
                <w14:textFill>
                  <w14:solidFill>
                    <w14:schemeClr w14:val="tx1"/>
                  </w14:solidFill>
                </w14:textFill>
              </w:rPr>
              <w:t>立方米，则天然气燃烧废气量为</w:t>
            </w:r>
            <w:r>
              <w:rPr>
                <w:rFonts w:hint="eastAsia"/>
                <w:color w:val="000000" w:themeColor="text1"/>
                <w:sz w:val="24"/>
                <w14:textFill>
                  <w14:solidFill>
                    <w14:schemeClr w14:val="tx1"/>
                  </w14:solidFill>
                </w14:textFill>
              </w:rPr>
              <w:t>113.828</w:t>
            </w:r>
            <w:r>
              <w:rPr>
                <w:color w:val="000000" w:themeColor="text1"/>
                <w:sz w:val="24"/>
                <w14:textFill>
                  <w14:solidFill>
                    <w14:schemeClr w14:val="tx1"/>
                  </w14:solidFill>
                </w14:textFill>
              </w:rPr>
              <w:t>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832.079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/h）。经计算天然气燃烧废气：颗粒物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4.640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，二氧化硫</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浓度为3.</w:t>
            </w:r>
            <w:r>
              <w:rPr>
                <w:rFonts w:hint="eastAsia"/>
                <w:color w:val="000000" w:themeColor="text1"/>
                <w:sz w:val="24"/>
                <w14:textFill>
                  <w14:solidFill>
                    <w14:schemeClr w14:val="tx1"/>
                  </w14:solidFill>
                </w14:textFill>
              </w:rPr>
              <w:t>712</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，氮氧化物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28.120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p>
          <w:p w14:paraId="0C05A457">
            <w:pPr>
              <w:widowControl/>
              <w:spacing w:line="360" w:lineRule="auto"/>
              <w:ind w:firstLine="480" w:firstLineChars="200"/>
              <w:jc w:val="left"/>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1.1.2、黄酒车间废气</w:t>
            </w:r>
          </w:p>
          <w:p w14:paraId="05D65339">
            <w:pPr>
              <w:widowControl/>
              <w:spacing w:line="360" w:lineRule="auto"/>
              <w:ind w:firstLine="480" w:firstLineChars="200"/>
              <w:jc w:val="left"/>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项目黄酒车间内设置有1条年产200t黄酒生产线。</w:t>
            </w:r>
          </w:p>
          <w:p w14:paraId="462FB5C3">
            <w:pPr>
              <w:widowControl/>
              <w:spacing w:line="360" w:lineRule="auto"/>
              <w:ind w:firstLine="480" w:firstLineChars="200"/>
              <w:jc w:val="left"/>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（1）原料投料工序粉尘</w:t>
            </w:r>
          </w:p>
          <w:p w14:paraId="77E57DD5">
            <w:pPr>
              <w:widowControl/>
              <w:spacing w:line="360" w:lineRule="auto"/>
              <w:ind w:firstLine="480" w:firstLineChars="200"/>
              <w:jc w:val="left"/>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本项目黄酒生产线原料需要拆袋投入浸米缸中、酒曲需要拆袋投入晾床上。</w:t>
            </w:r>
            <w:r>
              <w:rPr>
                <w:color w:val="000000" w:themeColor="text1"/>
                <w:kern w:val="52"/>
                <w:sz w:val="24"/>
                <w14:textFill>
                  <w14:solidFill>
                    <w14:schemeClr w14:val="tx1"/>
                  </w14:solidFill>
                </w14:textFill>
              </w:rPr>
              <w:t>投料过程废气产生量参考《逸散性工业粉尘控制技术》（中国环境科学出版社）中类似行业粉料投料产污系数，颗粒料上料工序粉尘产生系数取0.1kg/t—原料</w:t>
            </w:r>
            <w:r>
              <w:rPr>
                <w:rFonts w:hint="eastAsia"/>
                <w:color w:val="000000" w:themeColor="text1"/>
                <w:kern w:val="52"/>
                <w:sz w:val="24"/>
                <w14:textFill>
                  <w14:solidFill>
                    <w14:schemeClr w14:val="tx1"/>
                  </w14:solidFill>
                </w14:textFill>
              </w:rPr>
              <w:t>。</w:t>
            </w:r>
          </w:p>
          <w:p w14:paraId="51AFC8C7">
            <w:pPr>
              <w:widowControl/>
              <w:spacing w:line="360" w:lineRule="auto"/>
              <w:ind w:firstLine="480" w:firstLineChars="200"/>
              <w:jc w:val="left"/>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黄酒生产线糯米、小米需要拆袋投入浸米缸中、酒曲需要拆袋投入晾床上；黄酒生产线糯米、小米以及酒曲总用量为7.615t/a，</w:t>
            </w:r>
            <w:r>
              <w:rPr>
                <w:color w:val="000000" w:themeColor="text1"/>
                <w:kern w:val="52"/>
                <w:sz w:val="24"/>
                <w14:textFill>
                  <w14:solidFill>
                    <w14:schemeClr w14:val="tx1"/>
                  </w14:solidFill>
                </w14:textFill>
              </w:rPr>
              <w:t>则</w:t>
            </w:r>
            <w:r>
              <w:rPr>
                <w:rFonts w:hint="eastAsia"/>
                <w:color w:val="000000" w:themeColor="text1"/>
                <w:kern w:val="52"/>
                <w:sz w:val="24"/>
                <w14:textFill>
                  <w14:solidFill>
                    <w14:schemeClr w14:val="tx1"/>
                  </w14:solidFill>
                </w14:textFill>
              </w:rPr>
              <w:t>黄酒生产线糯米、小米以及酒曲</w:t>
            </w:r>
            <w:r>
              <w:rPr>
                <w:color w:val="000000" w:themeColor="text1"/>
                <w:kern w:val="52"/>
                <w:sz w:val="24"/>
                <w14:textFill>
                  <w14:solidFill>
                    <w14:schemeClr w14:val="tx1"/>
                  </w14:solidFill>
                </w14:textFill>
              </w:rPr>
              <w:t>投料过程粉尘产生</w:t>
            </w:r>
            <w:r>
              <w:rPr>
                <w:rFonts w:hint="eastAsia"/>
                <w:color w:val="000000" w:themeColor="text1"/>
                <w:kern w:val="52"/>
                <w:sz w:val="24"/>
                <w14:textFill>
                  <w14:solidFill>
                    <w14:schemeClr w14:val="tx1"/>
                  </w14:solidFill>
                </w14:textFill>
              </w:rPr>
              <w:t>总</w:t>
            </w:r>
            <w:r>
              <w:rPr>
                <w:color w:val="000000" w:themeColor="text1"/>
                <w:kern w:val="52"/>
                <w:sz w:val="24"/>
                <w14:textFill>
                  <w14:solidFill>
                    <w14:schemeClr w14:val="tx1"/>
                  </w14:solidFill>
                </w14:textFill>
              </w:rPr>
              <w:t>量</w:t>
            </w:r>
            <w:r>
              <w:rPr>
                <w:rFonts w:hint="eastAsia"/>
                <w:color w:val="000000" w:themeColor="text1"/>
                <w:kern w:val="52"/>
                <w:sz w:val="24"/>
                <w14:textFill>
                  <w14:solidFill>
                    <w14:schemeClr w14:val="tx1"/>
                  </w14:solidFill>
                </w14:textFill>
              </w:rPr>
              <w:t>为0.008</w:t>
            </w:r>
            <w:r>
              <w:rPr>
                <w:color w:val="000000" w:themeColor="text1"/>
                <w:kern w:val="52"/>
                <w:sz w:val="24"/>
                <w14:textFill>
                  <w14:solidFill>
                    <w14:schemeClr w14:val="tx1"/>
                  </w14:solidFill>
                </w14:textFill>
              </w:rPr>
              <w:t>t/a，投料过程年工作时间</w:t>
            </w:r>
            <w:r>
              <w:rPr>
                <w:rFonts w:hint="eastAsia"/>
                <w:color w:val="000000" w:themeColor="text1"/>
                <w:kern w:val="52"/>
                <w:sz w:val="24"/>
                <w14:textFill>
                  <w14:solidFill>
                    <w14:schemeClr w14:val="tx1"/>
                  </w14:solidFill>
                </w14:textFill>
              </w:rPr>
              <w:t>300</w:t>
            </w:r>
            <w:r>
              <w:rPr>
                <w:color w:val="000000" w:themeColor="text1"/>
                <w:kern w:val="52"/>
                <w:sz w:val="24"/>
                <w14:textFill>
                  <w14:solidFill>
                    <w14:schemeClr w14:val="tx1"/>
                  </w14:solidFill>
                </w14:textFill>
              </w:rPr>
              <w:t>h，则废气产生速率为0.</w:t>
            </w:r>
            <w:r>
              <w:rPr>
                <w:rFonts w:hint="eastAsia"/>
                <w:color w:val="000000" w:themeColor="text1"/>
                <w:kern w:val="52"/>
                <w:sz w:val="24"/>
                <w14:textFill>
                  <w14:solidFill>
                    <w14:schemeClr w14:val="tx1"/>
                  </w14:solidFill>
                </w14:textFill>
              </w:rPr>
              <w:t>027</w:t>
            </w:r>
            <w:r>
              <w:rPr>
                <w:color w:val="000000" w:themeColor="text1"/>
                <w:kern w:val="52"/>
                <w:sz w:val="24"/>
                <w14:textFill>
                  <w14:solidFill>
                    <w14:schemeClr w14:val="tx1"/>
                  </w14:solidFill>
                </w14:textFill>
              </w:rPr>
              <w:t>kg/h</w:t>
            </w:r>
            <w:r>
              <w:rPr>
                <w:rFonts w:hint="eastAsia"/>
                <w:color w:val="000000" w:themeColor="text1"/>
                <w:kern w:val="52"/>
                <w:sz w:val="24"/>
                <w14:textFill>
                  <w14:solidFill>
                    <w14:schemeClr w14:val="tx1"/>
                  </w14:solidFill>
                </w14:textFill>
              </w:rPr>
              <w:t>；</w:t>
            </w:r>
          </w:p>
          <w:p w14:paraId="238AA97A">
            <w:pPr>
              <w:widowControl/>
              <w:spacing w:line="360" w:lineRule="auto"/>
              <w:ind w:firstLine="480" w:firstLineChars="200"/>
              <w:jc w:val="left"/>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综上，黄酒生产线原辅料投料粉尘产生总量为0.008t/a，</w:t>
            </w:r>
            <w:r>
              <w:rPr>
                <w:color w:val="000000" w:themeColor="text1"/>
                <w:kern w:val="52"/>
                <w:sz w:val="24"/>
                <w14:textFill>
                  <w14:solidFill>
                    <w14:schemeClr w14:val="tx1"/>
                  </w14:solidFill>
                </w14:textFill>
              </w:rPr>
              <w:t>因工艺生产需要，</w:t>
            </w:r>
            <w:r>
              <w:rPr>
                <w:rFonts w:hint="eastAsia"/>
                <w:color w:val="000000" w:themeColor="text1"/>
                <w:kern w:val="52"/>
                <w:sz w:val="24"/>
                <w14:textFill>
                  <w14:solidFill>
                    <w14:schemeClr w14:val="tx1"/>
                  </w14:solidFill>
                </w14:textFill>
              </w:rPr>
              <w:t>黄酒生产线原辅料</w:t>
            </w:r>
            <w:r>
              <w:rPr>
                <w:color w:val="000000" w:themeColor="text1"/>
                <w:kern w:val="52"/>
                <w:sz w:val="24"/>
                <w14:textFill>
                  <w14:solidFill>
                    <w14:schemeClr w14:val="tx1"/>
                  </w14:solidFill>
                </w14:textFill>
              </w:rPr>
              <w:t>投料过程各产尘点较分散，很难将各产尘点产生的含尘废气集中至一处进行处理、排放，</w:t>
            </w:r>
            <w:r>
              <w:rPr>
                <w:rFonts w:hint="eastAsia"/>
                <w:color w:val="000000" w:themeColor="text1"/>
                <w:kern w:val="52"/>
                <w:sz w:val="24"/>
                <w14:textFill>
                  <w14:solidFill>
                    <w14:schemeClr w14:val="tx1"/>
                  </w14:solidFill>
                </w14:textFill>
              </w:rPr>
              <w:t>又</w:t>
            </w:r>
            <w:r>
              <w:rPr>
                <w:color w:val="000000" w:themeColor="text1"/>
                <w:kern w:val="52"/>
                <w:sz w:val="24"/>
                <w14:textFill>
                  <w14:solidFill>
                    <w14:schemeClr w14:val="tx1"/>
                  </w14:solidFill>
                </w14:textFill>
              </w:rPr>
              <w:t>由于本项目</w:t>
            </w:r>
            <w:r>
              <w:rPr>
                <w:rFonts w:hint="eastAsia"/>
                <w:color w:val="000000" w:themeColor="text1"/>
                <w:kern w:val="52"/>
                <w:sz w:val="24"/>
                <w14:textFill>
                  <w14:solidFill>
                    <w14:schemeClr w14:val="tx1"/>
                  </w14:solidFill>
                </w14:textFill>
              </w:rPr>
              <w:t>黄酒车间</w:t>
            </w:r>
            <w:r>
              <w:rPr>
                <w:color w:val="000000" w:themeColor="text1"/>
                <w:kern w:val="52"/>
                <w:sz w:val="24"/>
                <w14:textFill>
                  <w14:solidFill>
                    <w14:schemeClr w14:val="tx1"/>
                  </w14:solidFill>
                </w14:textFill>
              </w:rPr>
              <w:t>粉尘产生量较小，因此不设置废气收集措施，直接车间内无组织排放。无组织废气要求</w:t>
            </w:r>
            <w:r>
              <w:rPr>
                <w:rFonts w:hint="eastAsia"/>
                <w:color w:val="000000" w:themeColor="text1"/>
                <w:kern w:val="52"/>
                <w:sz w:val="24"/>
                <w14:textFill>
                  <w14:solidFill>
                    <w14:schemeClr w14:val="tx1"/>
                  </w14:solidFill>
                </w14:textFill>
              </w:rPr>
              <w:t>车间进行全密闭处理（车间四周换气窗全部密闭），仅保留人员出入口，不设置通风换气口，以此减少车间内废气向外部转移</w:t>
            </w:r>
            <w:r>
              <w:rPr>
                <w:color w:val="000000" w:themeColor="text1"/>
                <w:kern w:val="52"/>
                <w:sz w:val="24"/>
                <w14:textFill>
                  <w14:solidFill>
                    <w14:schemeClr w14:val="tx1"/>
                  </w14:solidFill>
                </w14:textFill>
              </w:rPr>
              <w:t>。同时要求规范操作，加强管理。</w:t>
            </w:r>
          </w:p>
          <w:p w14:paraId="54A9A655">
            <w:pPr>
              <w:widowControl/>
              <w:spacing w:line="360" w:lineRule="auto"/>
              <w:ind w:firstLine="480" w:firstLineChars="200"/>
              <w:jc w:val="left"/>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（2）黄酒</w:t>
            </w:r>
            <w:r>
              <w:rPr>
                <w:color w:val="000000" w:themeColor="text1"/>
                <w:kern w:val="0"/>
                <w:sz w:val="24"/>
                <w14:textFill>
                  <w14:solidFill>
                    <w14:schemeClr w14:val="tx1"/>
                  </w14:solidFill>
                </w14:textFill>
              </w:rPr>
              <w:t>车间</w:t>
            </w:r>
            <w:r>
              <w:rPr>
                <w:rFonts w:hint="eastAsia"/>
                <w:color w:val="000000" w:themeColor="text1"/>
                <w:kern w:val="0"/>
                <w:sz w:val="24"/>
                <w14:textFill>
                  <w14:solidFill>
                    <w14:schemeClr w14:val="tx1"/>
                  </w14:solidFill>
                </w14:textFill>
              </w:rPr>
              <w:t>0.3t</w:t>
            </w:r>
            <w:r>
              <w:rPr>
                <w:color w:val="000000" w:themeColor="text1"/>
                <w:kern w:val="0"/>
                <w:sz w:val="24"/>
                <w14:textFill>
                  <w14:solidFill>
                    <w14:schemeClr w14:val="tx1"/>
                  </w14:solidFill>
                </w14:textFill>
              </w:rPr>
              <w:t>/h蒸汽发生器废气</w:t>
            </w:r>
          </w:p>
          <w:p w14:paraId="45FB1A9D">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项目</w:t>
            </w:r>
            <w:r>
              <w:rPr>
                <w:rFonts w:hint="eastAsia"/>
                <w:color w:val="000000" w:themeColor="text1"/>
                <w:kern w:val="0"/>
                <w:sz w:val="24"/>
                <w14:textFill>
                  <w14:solidFill>
                    <w14:schemeClr w14:val="tx1"/>
                  </w14:solidFill>
                </w14:textFill>
              </w:rPr>
              <w:t>黄酒</w:t>
            </w:r>
            <w:r>
              <w:rPr>
                <w:color w:val="000000" w:themeColor="text1"/>
                <w:sz w:val="24"/>
                <w14:textFill>
                  <w14:solidFill>
                    <w14:schemeClr w14:val="tx1"/>
                  </w14:solidFill>
                </w14:textFill>
              </w:rPr>
              <w:t>车间生产过程中配套1台</w:t>
            </w:r>
            <w:r>
              <w:rPr>
                <w:rFonts w:hint="eastAsia"/>
                <w:color w:val="000000" w:themeColor="text1"/>
                <w:kern w:val="0"/>
                <w:sz w:val="24"/>
                <w14:textFill>
                  <w14:solidFill>
                    <w14:schemeClr w14:val="tx1"/>
                  </w14:solidFill>
                </w14:textFill>
              </w:rPr>
              <w:t>0.3</w:t>
            </w:r>
            <w:r>
              <w:rPr>
                <w:color w:val="000000" w:themeColor="text1"/>
                <w:kern w:val="0"/>
                <w:sz w:val="24"/>
                <w14:textFill>
                  <w14:solidFill>
                    <w14:schemeClr w14:val="tx1"/>
                  </w14:solidFill>
                </w14:textFill>
              </w:rPr>
              <w:t>t/h</w:t>
            </w:r>
            <w:r>
              <w:rPr>
                <w:color w:val="000000" w:themeColor="text1"/>
                <w:sz w:val="24"/>
                <w14:textFill>
                  <w14:solidFill>
                    <w14:schemeClr w14:val="tx1"/>
                  </w14:solidFill>
                </w14:textFill>
              </w:rPr>
              <w:t>的</w:t>
            </w:r>
            <w:r>
              <w:rPr>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为本项目</w:t>
            </w:r>
            <w:r>
              <w:rPr>
                <w:rFonts w:hint="eastAsia"/>
                <w:color w:val="000000" w:themeColor="text1"/>
                <w:sz w:val="24"/>
                <w14:textFill>
                  <w14:solidFill>
                    <w14:schemeClr w14:val="tx1"/>
                  </w14:solidFill>
                </w14:textFill>
              </w:rPr>
              <w:t>杀菌工序</w:t>
            </w:r>
            <w:r>
              <w:rPr>
                <w:color w:val="000000" w:themeColor="text1"/>
                <w:sz w:val="24"/>
                <w14:textFill>
                  <w14:solidFill>
                    <w14:schemeClr w14:val="tx1"/>
                  </w14:solidFill>
                </w14:textFill>
              </w:rPr>
              <w:t>提供蒸汽，</w:t>
            </w:r>
            <w:r>
              <w:rPr>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以天然气为燃料，天然气燃烧过程会产生烟尘、SO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、NO</w:t>
            </w:r>
            <w:r>
              <w:rPr>
                <w:color w:val="000000" w:themeColor="text1"/>
                <w:sz w:val="24"/>
                <w:vertAlign w:val="subscript"/>
                <w14:textFill>
                  <w14:solidFill>
                    <w14:schemeClr w14:val="tx1"/>
                  </w14:solidFill>
                </w14:textFill>
              </w:rPr>
              <w:t>X</w:t>
            </w:r>
            <w:r>
              <w:rPr>
                <w:color w:val="000000" w:themeColor="text1"/>
                <w:sz w:val="24"/>
                <w14:textFill>
                  <w14:solidFill>
                    <w14:schemeClr w14:val="tx1"/>
                  </w14:solidFill>
                </w14:textFill>
              </w:rPr>
              <w:t>。根据企业提供资料，项目</w:t>
            </w:r>
            <w:r>
              <w:rPr>
                <w:rFonts w:hint="eastAsia"/>
                <w:color w:val="000000" w:themeColor="text1"/>
                <w:kern w:val="0"/>
                <w:sz w:val="24"/>
                <w14:textFill>
                  <w14:solidFill>
                    <w14:schemeClr w14:val="tx1"/>
                  </w14:solidFill>
                </w14:textFill>
              </w:rPr>
              <w:t>黄酒</w:t>
            </w:r>
            <w:r>
              <w:rPr>
                <w:color w:val="000000" w:themeColor="text1"/>
                <w:sz w:val="24"/>
                <w14:textFill>
                  <w14:solidFill>
                    <w14:schemeClr w14:val="tx1"/>
                  </w14:solidFill>
                </w14:textFill>
              </w:rPr>
              <w:t>车间</w:t>
            </w:r>
            <w:r>
              <w:rPr>
                <w:color w:val="000000" w:themeColor="text1"/>
                <w:kern w:val="0"/>
                <w:sz w:val="24"/>
                <w14:textFill>
                  <w14:solidFill>
                    <w14:schemeClr w14:val="tx1"/>
                  </w14:solidFill>
                </w14:textFill>
              </w:rPr>
              <w:t>蒸汽发生器</w:t>
            </w:r>
            <w:r>
              <w:rPr>
                <w:rFonts w:hint="eastAsia"/>
                <w:color w:val="000000" w:themeColor="text1"/>
                <w:sz w:val="24"/>
                <w14:textFill>
                  <w14:solidFill>
                    <w14:schemeClr w14:val="tx1"/>
                  </w14:solidFill>
                </w14:textFill>
              </w:rPr>
              <w:t>每天运行4h，年运行时间约为228d/a</w:t>
            </w:r>
            <w:r>
              <w:rPr>
                <w:color w:val="000000" w:themeColor="text1"/>
                <w:sz w:val="24"/>
                <w14:textFill>
                  <w14:solidFill>
                    <w14:schemeClr w14:val="tx1"/>
                  </w14:solidFill>
                </w14:textFill>
              </w:rPr>
              <w:t>，其中</w:t>
            </w:r>
            <w:r>
              <w:rPr>
                <w:rFonts w:hint="eastAsia"/>
                <w:color w:val="000000" w:themeColor="text1"/>
                <w:kern w:val="0"/>
                <w:sz w:val="24"/>
                <w14:textFill>
                  <w14:solidFill>
                    <w14:schemeClr w14:val="tx1"/>
                  </w14:solidFill>
                </w14:textFill>
              </w:rPr>
              <w:t>0.3</w:t>
            </w:r>
            <w:r>
              <w:rPr>
                <w:color w:val="000000" w:themeColor="text1"/>
                <w:kern w:val="0"/>
                <w:sz w:val="24"/>
                <w14:textFill>
                  <w14:solidFill>
                    <w14:schemeClr w14:val="tx1"/>
                  </w14:solidFill>
                </w14:textFill>
              </w:rPr>
              <w:t>t/h蒸汽发生器</w:t>
            </w:r>
            <w:r>
              <w:rPr>
                <w:color w:val="000000" w:themeColor="text1"/>
                <w:sz w:val="24"/>
                <w14:textFill>
                  <w14:solidFill>
                    <w14:schemeClr w14:val="tx1"/>
                  </w14:solidFill>
                </w14:textFill>
              </w:rPr>
              <w:t>燃料为天然气用量为</w:t>
            </w:r>
            <w:r>
              <w:rPr>
                <w:rFonts w:hint="eastAsia"/>
                <w:color w:val="000000" w:themeColor="text1"/>
                <w:sz w:val="24"/>
                <w14:textFill>
                  <w14:solidFill>
                    <w14:schemeClr w14:val="tx1"/>
                  </w14:solidFill>
                </w14:textFill>
              </w:rPr>
              <w:t>14.789</w:t>
            </w:r>
            <w:r>
              <w:rPr>
                <w:color w:val="000000" w:themeColor="text1"/>
                <w:sz w:val="24"/>
                <w14:textFill>
                  <w14:solidFill>
                    <w14:schemeClr w14:val="tx1"/>
                  </w14:solidFill>
                </w14:textFill>
              </w:rPr>
              <w:t>t/a（气态天然气密度为0.7kg/m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，约</w:t>
            </w:r>
            <w:r>
              <w:rPr>
                <w:rFonts w:hint="eastAsia"/>
                <w:color w:val="000000" w:themeColor="text1"/>
                <w:sz w:val="24"/>
                <w14:textFill>
                  <w14:solidFill>
                    <w14:schemeClr w14:val="tx1"/>
                  </w14:solidFill>
                </w14:textFill>
              </w:rPr>
              <w:t>21127.392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p>
          <w:p w14:paraId="6A81374E">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根据《排污许可证申请与核发技术规范 锅炉》HJ953-2018表F.3燃气工业锅炉废气产排污系数可知，二氧化硫产生系数为0.02Skg/万立方米-燃料（S为天然气含硫量），项目所用天然气符合国家标准《天然气》（GB17820-2018）中的1类天然气，含硫量小于20毫克/立方米，本项目按照最不利性影响计算，取20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经计算二氧化硫的产污系数为0.4千克/万立方米-燃料。根据《工业源产排污核算方法和系数手册》中D4430锅炉产排污量核算系数手册—燃气工业锅炉废气产排污系数手册中采用低氮燃烧技术后氮氧化物产污系数为3.03kg万立方米-燃料。根据《社会区域类环境影响评价》（环评工程师培训教材），天然气燃烧产生的烟尘产污系数为0.5kg/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-原料。</w:t>
            </w:r>
          </w:p>
          <w:p w14:paraId="552C3A79">
            <w:pPr>
              <w:widowControl/>
              <w:spacing w:line="360" w:lineRule="auto"/>
              <w:ind w:firstLine="480" w:firstLineChars="200"/>
              <w:jc w:val="left"/>
              <w:rPr>
                <w:color w:val="000000" w:themeColor="text1"/>
                <w:sz w:val="24"/>
                <w14:textFill>
                  <w14:solidFill>
                    <w14:schemeClr w14:val="tx1"/>
                  </w14:solidFill>
                </w14:textFill>
              </w:rPr>
            </w:pPr>
            <w:r>
              <w:rPr>
                <w:bCs/>
                <w:color w:val="000000" w:themeColor="text1"/>
                <w:sz w:val="24"/>
                <w14:textFill>
                  <w14:solidFill>
                    <w14:schemeClr w14:val="tx1"/>
                  </w14:solidFill>
                </w14:textFill>
              </w:rPr>
              <w:t>环评建议，项目</w:t>
            </w:r>
            <w:r>
              <w:rPr>
                <w:rFonts w:hint="eastAsia"/>
                <w:bCs/>
                <w:color w:val="000000" w:themeColor="text1"/>
                <w:sz w:val="24"/>
                <w14:textFill>
                  <w14:solidFill>
                    <w14:schemeClr w14:val="tx1"/>
                  </w14:solidFill>
                </w14:textFill>
              </w:rPr>
              <w:t>综合车间</w:t>
            </w:r>
            <w:r>
              <w:rPr>
                <w:rFonts w:hint="eastAsia"/>
                <w:color w:val="000000" w:themeColor="text1"/>
                <w:kern w:val="0"/>
                <w:sz w:val="24"/>
                <w14:textFill>
                  <w14:solidFill>
                    <w14:schemeClr w14:val="tx1"/>
                  </w14:solidFill>
                </w14:textFill>
              </w:rPr>
              <w:t>0.3</w:t>
            </w:r>
            <w:r>
              <w:rPr>
                <w:color w:val="000000" w:themeColor="text1"/>
                <w:kern w:val="0"/>
                <w:sz w:val="24"/>
                <w14:textFill>
                  <w14:solidFill>
                    <w14:schemeClr w14:val="tx1"/>
                  </w14:solidFill>
                </w14:textFill>
              </w:rPr>
              <w:t>t/h</w:t>
            </w:r>
            <w:r>
              <w:rPr>
                <w:rFonts w:hint="eastAsia"/>
                <w:color w:val="000000" w:themeColor="text1"/>
                <w:kern w:val="0"/>
                <w:sz w:val="24"/>
                <w14:textFill>
                  <w14:solidFill>
                    <w14:schemeClr w14:val="tx1"/>
                  </w14:solidFill>
                </w14:textFill>
              </w:rPr>
              <w:t>蒸汽发生器</w:t>
            </w:r>
            <w:r>
              <w:rPr>
                <w:bCs/>
                <w:color w:val="000000" w:themeColor="text1"/>
                <w:sz w:val="24"/>
                <w14:textFill>
                  <w14:solidFill>
                    <w14:schemeClr w14:val="tx1"/>
                  </w14:solidFill>
                </w14:textFill>
              </w:rPr>
              <w:t>天然气燃烧废气经1套低氮燃烧+烟气循环系统</w:t>
            </w:r>
            <w:r>
              <w:rPr>
                <w:rFonts w:hint="eastAsia"/>
                <w:color w:val="000000" w:themeColor="text1"/>
                <w:kern w:val="0"/>
                <w:sz w:val="24"/>
                <w14:textFill>
                  <w14:solidFill>
                    <w14:schemeClr w14:val="tx1"/>
                  </w14:solidFill>
                </w14:textFill>
              </w:rPr>
              <w:t>（TA003）</w:t>
            </w:r>
            <w:r>
              <w:rPr>
                <w:bCs/>
                <w:color w:val="000000" w:themeColor="text1"/>
                <w:sz w:val="24"/>
                <w14:textFill>
                  <w14:solidFill>
                    <w14:schemeClr w14:val="tx1"/>
                  </w14:solidFill>
                </w14:textFill>
              </w:rPr>
              <w:t>处理后</w:t>
            </w:r>
            <w:r>
              <w:rPr>
                <w:rFonts w:hint="eastAsia"/>
                <w:bCs/>
                <w:color w:val="000000" w:themeColor="text1"/>
                <w:sz w:val="24"/>
                <w14:textFill>
                  <w14:solidFill>
                    <w14:schemeClr w14:val="tx1"/>
                  </w14:solidFill>
                </w14:textFill>
              </w:rPr>
              <w:t>分别</w:t>
            </w:r>
            <w:r>
              <w:rPr>
                <w:bCs/>
                <w:color w:val="000000" w:themeColor="text1"/>
                <w:sz w:val="24"/>
                <w14:textFill>
                  <w14:solidFill>
                    <w14:schemeClr w14:val="tx1"/>
                  </w14:solidFill>
                </w14:textFill>
              </w:rPr>
              <w:t>通过1根</w:t>
            </w:r>
            <w:r>
              <w:rPr>
                <w:rFonts w:hint="eastAsia"/>
                <w:bCs/>
                <w:color w:val="000000" w:themeColor="text1"/>
                <w:sz w:val="24"/>
                <w14:textFill>
                  <w14:solidFill>
                    <w14:schemeClr w14:val="tx1"/>
                  </w14:solidFill>
                </w14:textFill>
              </w:rPr>
              <w:t>15</w:t>
            </w:r>
            <w:r>
              <w:rPr>
                <w:bCs/>
                <w:color w:val="000000" w:themeColor="text1"/>
                <w:sz w:val="24"/>
                <w14:textFill>
                  <w14:solidFill>
                    <w14:schemeClr w14:val="tx1"/>
                  </w14:solidFill>
                </w14:textFill>
              </w:rPr>
              <w:t>m高排气筒</w:t>
            </w:r>
            <w:r>
              <w:rPr>
                <w:rFonts w:hint="eastAsia"/>
                <w:color w:val="000000" w:themeColor="text1"/>
                <w:kern w:val="0"/>
                <w:sz w:val="24"/>
                <w14:textFill>
                  <w14:solidFill>
                    <w14:schemeClr w14:val="tx1"/>
                  </w14:solidFill>
                </w14:textFill>
              </w:rPr>
              <w:t>（DA003）</w:t>
            </w:r>
            <w:r>
              <w:rPr>
                <w:bCs/>
                <w:color w:val="000000" w:themeColor="text1"/>
                <w:sz w:val="24"/>
                <w14:textFill>
                  <w14:solidFill>
                    <w14:schemeClr w14:val="tx1"/>
                  </w14:solidFill>
                </w14:textFill>
              </w:rPr>
              <w:t>排放。</w:t>
            </w:r>
            <w:r>
              <w:rPr>
                <w:rFonts w:hint="eastAsia"/>
                <w:color w:val="000000" w:themeColor="text1"/>
                <w:sz w:val="24"/>
                <w14:textFill>
                  <w14:solidFill>
                    <w14:schemeClr w14:val="tx1"/>
                  </w14:solidFill>
                </w14:textFill>
              </w:rPr>
              <w:t>项目</w:t>
            </w:r>
            <w:r>
              <w:rPr>
                <w:rFonts w:hint="eastAsia"/>
                <w:color w:val="000000" w:themeColor="text1"/>
                <w:kern w:val="0"/>
                <w:sz w:val="24"/>
                <w14:textFill>
                  <w14:solidFill>
                    <w14:schemeClr w14:val="tx1"/>
                  </w14:solidFill>
                </w14:textFill>
              </w:rPr>
              <w:t>0.3</w:t>
            </w:r>
            <w:r>
              <w:rPr>
                <w:color w:val="000000" w:themeColor="text1"/>
                <w:kern w:val="0"/>
                <w:sz w:val="24"/>
                <w14:textFill>
                  <w14:solidFill>
                    <w14:schemeClr w14:val="tx1"/>
                  </w14:solidFill>
                </w14:textFill>
              </w:rPr>
              <w:t>t/h</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天然气用量为</w:t>
            </w:r>
            <w:r>
              <w:rPr>
                <w:rFonts w:hint="eastAsia"/>
                <w:color w:val="000000" w:themeColor="text1"/>
                <w:sz w:val="24"/>
                <w14:textFill>
                  <w14:solidFill>
                    <w14:schemeClr w14:val="tx1"/>
                  </w14:solidFill>
                </w14:textFill>
              </w:rPr>
              <w:t>21127.392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/a。经计算</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烟尘</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量为0.001t/a（0.0</w:t>
            </w:r>
            <w:r>
              <w:rPr>
                <w:rFonts w:hint="eastAsia"/>
                <w:color w:val="000000" w:themeColor="text1"/>
                <w:sz w:val="24"/>
                <w14:textFill>
                  <w14:solidFill>
                    <w14:schemeClr w14:val="tx1"/>
                  </w14:solidFill>
                </w14:textFill>
              </w:rPr>
              <w:t>01</w:t>
            </w:r>
            <w:r>
              <w:rPr>
                <w:color w:val="000000" w:themeColor="text1"/>
                <w:sz w:val="24"/>
                <w14:textFill>
                  <w14:solidFill>
                    <w14:schemeClr w14:val="tx1"/>
                  </w14:solidFill>
                </w14:textFill>
              </w:rPr>
              <w:t>kg/h），二氧化硫</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量为0.001t/a（0.0</w:t>
            </w:r>
            <w:r>
              <w:rPr>
                <w:rFonts w:hint="eastAsia"/>
                <w:color w:val="000000" w:themeColor="text1"/>
                <w:sz w:val="24"/>
                <w14:textFill>
                  <w14:solidFill>
                    <w14:schemeClr w14:val="tx1"/>
                  </w14:solidFill>
                </w14:textFill>
              </w:rPr>
              <w:t>01</w:t>
            </w:r>
            <w:r>
              <w:rPr>
                <w:color w:val="000000" w:themeColor="text1"/>
                <w:sz w:val="24"/>
                <w14:textFill>
                  <w14:solidFill>
                    <w14:schemeClr w14:val="tx1"/>
                  </w14:solidFill>
                </w14:textFill>
              </w:rPr>
              <w:t>kg/h），氮氧化物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量为</w:t>
            </w:r>
            <w:r>
              <w:rPr>
                <w:rFonts w:hint="eastAsia"/>
                <w:color w:val="000000" w:themeColor="text1"/>
                <w:sz w:val="24"/>
                <w14:textFill>
                  <w14:solidFill>
                    <w14:schemeClr w14:val="tx1"/>
                  </w14:solidFill>
                </w14:textFill>
              </w:rPr>
              <w:t>0.006</w:t>
            </w:r>
            <w:r>
              <w:rPr>
                <w:color w:val="000000" w:themeColor="text1"/>
                <w:sz w:val="24"/>
                <w14:textFill>
                  <w14:solidFill>
                    <w14:schemeClr w14:val="tx1"/>
                  </w14:solidFill>
                </w14:textFill>
              </w:rPr>
              <w:t>t/a（0.</w:t>
            </w:r>
            <w:r>
              <w:rPr>
                <w:rFonts w:hint="eastAsia"/>
                <w:color w:val="000000" w:themeColor="text1"/>
                <w:sz w:val="24"/>
                <w14:textFill>
                  <w14:solidFill>
                    <w14:schemeClr w14:val="tx1"/>
                  </w14:solidFill>
                </w14:textFill>
              </w:rPr>
              <w:t>007</w:t>
            </w:r>
            <w:r>
              <w:rPr>
                <w:color w:val="000000" w:themeColor="text1"/>
                <w:sz w:val="24"/>
                <w14:textFill>
                  <w14:solidFill>
                    <w14:schemeClr w14:val="tx1"/>
                  </w14:solidFill>
                </w14:textFill>
              </w:rPr>
              <w:t>kg/h）。根据《工业源产排污核算方法和系数手册》（D4430锅炉产排污量核算系数手册—燃气工业锅炉废气产排污系数可知，每燃烧1万立方米天然气产生的烟气量为107753Nm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，项目用天然气</w:t>
            </w:r>
            <w:r>
              <w:rPr>
                <w:rFonts w:hint="eastAsia"/>
                <w:color w:val="000000" w:themeColor="text1"/>
                <w:sz w:val="24"/>
                <w14:textFill>
                  <w14:solidFill>
                    <w14:schemeClr w14:val="tx1"/>
                  </w14:solidFill>
                </w14:textFill>
              </w:rPr>
              <w:t>21127.392</w:t>
            </w:r>
            <w:r>
              <w:rPr>
                <w:color w:val="000000" w:themeColor="text1"/>
                <w:sz w:val="24"/>
                <w14:textFill>
                  <w14:solidFill>
                    <w14:schemeClr w14:val="tx1"/>
                  </w14:solidFill>
                </w14:textFill>
              </w:rPr>
              <w:t>立方米，则天然气燃烧废气量为</w:t>
            </w:r>
            <w:r>
              <w:rPr>
                <w:rFonts w:hint="eastAsia"/>
                <w:color w:val="000000" w:themeColor="text1"/>
                <w:sz w:val="24"/>
                <w14:textFill>
                  <w14:solidFill>
                    <w14:schemeClr w14:val="tx1"/>
                  </w14:solidFill>
                </w14:textFill>
              </w:rPr>
              <w:t>22.765</w:t>
            </w:r>
            <w:r>
              <w:rPr>
                <w:color w:val="000000" w:themeColor="text1"/>
                <w:sz w:val="24"/>
                <w14:textFill>
                  <w14:solidFill>
                    <w14:schemeClr w14:val="tx1"/>
                  </w14:solidFill>
                </w14:textFill>
              </w:rPr>
              <w:t>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249.621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/h）。经计算天然气燃烧废气：颗粒物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4.640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，二氧化硫</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浓度为3.</w:t>
            </w:r>
            <w:r>
              <w:rPr>
                <w:rFonts w:hint="eastAsia"/>
                <w:color w:val="000000" w:themeColor="text1"/>
                <w:sz w:val="24"/>
                <w14:textFill>
                  <w14:solidFill>
                    <w14:schemeClr w14:val="tx1"/>
                  </w14:solidFill>
                </w14:textFill>
              </w:rPr>
              <w:t>712</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，氮氧化物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28.120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p>
          <w:p w14:paraId="09880FF1">
            <w:pPr>
              <w:widowControl/>
              <w:spacing w:line="360" w:lineRule="auto"/>
              <w:ind w:firstLine="480" w:firstLineChars="200"/>
              <w:jc w:val="left"/>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（3）黄酒</w:t>
            </w:r>
            <w:r>
              <w:rPr>
                <w:color w:val="000000" w:themeColor="text1"/>
                <w:kern w:val="0"/>
                <w:sz w:val="24"/>
                <w14:textFill>
                  <w14:solidFill>
                    <w14:schemeClr w14:val="tx1"/>
                  </w14:solidFill>
                </w14:textFill>
              </w:rPr>
              <w:t>车间</w:t>
            </w:r>
            <w:r>
              <w:rPr>
                <w:rFonts w:hint="eastAsia"/>
                <w:color w:val="000000" w:themeColor="text1"/>
                <w:kern w:val="0"/>
                <w:sz w:val="24"/>
                <w14:textFill>
                  <w14:solidFill>
                    <w14:schemeClr w14:val="tx1"/>
                  </w14:solidFill>
                </w14:textFill>
              </w:rPr>
              <w:t>0.5t</w:t>
            </w:r>
            <w:r>
              <w:rPr>
                <w:color w:val="000000" w:themeColor="text1"/>
                <w:kern w:val="0"/>
                <w:sz w:val="24"/>
                <w14:textFill>
                  <w14:solidFill>
                    <w14:schemeClr w14:val="tx1"/>
                  </w14:solidFill>
                </w14:textFill>
              </w:rPr>
              <w:t>/h蒸汽发生器废气</w:t>
            </w:r>
          </w:p>
          <w:p w14:paraId="31589BF6">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项目</w:t>
            </w:r>
            <w:r>
              <w:rPr>
                <w:rFonts w:hint="eastAsia"/>
                <w:color w:val="000000" w:themeColor="text1"/>
                <w:kern w:val="0"/>
                <w:sz w:val="24"/>
                <w14:textFill>
                  <w14:solidFill>
                    <w14:schemeClr w14:val="tx1"/>
                  </w14:solidFill>
                </w14:textFill>
              </w:rPr>
              <w:t>黄酒</w:t>
            </w:r>
            <w:r>
              <w:rPr>
                <w:color w:val="000000" w:themeColor="text1"/>
                <w:sz w:val="24"/>
                <w14:textFill>
                  <w14:solidFill>
                    <w14:schemeClr w14:val="tx1"/>
                  </w14:solidFill>
                </w14:textFill>
              </w:rPr>
              <w:t>车间生产过程中配套1台</w:t>
            </w:r>
            <w:r>
              <w:rPr>
                <w:rFonts w:hint="eastAsia"/>
                <w:color w:val="000000" w:themeColor="text1"/>
                <w:sz w:val="24"/>
                <w14:textFill>
                  <w14:solidFill>
                    <w14:schemeClr w14:val="tx1"/>
                  </w14:solidFill>
                </w14:textFill>
              </w:rPr>
              <w:t>0.5t</w:t>
            </w:r>
            <w:r>
              <w:rPr>
                <w:color w:val="000000" w:themeColor="text1"/>
                <w:sz w:val="24"/>
                <w14:textFill>
                  <w14:solidFill>
                    <w14:schemeClr w14:val="tx1"/>
                  </w14:solidFill>
                </w14:textFill>
              </w:rPr>
              <w:t>/h的</w:t>
            </w:r>
            <w:r>
              <w:rPr>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为本项目</w:t>
            </w:r>
            <w:r>
              <w:rPr>
                <w:rFonts w:hint="eastAsia"/>
                <w:color w:val="000000" w:themeColor="text1"/>
                <w:sz w:val="24"/>
                <w14:textFill>
                  <w14:solidFill>
                    <w14:schemeClr w14:val="tx1"/>
                  </w14:solidFill>
                </w14:textFill>
              </w:rPr>
              <w:t>杀菌工序</w:t>
            </w:r>
            <w:r>
              <w:rPr>
                <w:color w:val="000000" w:themeColor="text1"/>
                <w:sz w:val="24"/>
                <w14:textFill>
                  <w14:solidFill>
                    <w14:schemeClr w14:val="tx1"/>
                  </w14:solidFill>
                </w14:textFill>
              </w:rPr>
              <w:t>提供蒸汽，</w:t>
            </w:r>
            <w:r>
              <w:rPr>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以天然气为燃料，天然气燃烧过程会产生烟尘、SO</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、NO</w:t>
            </w:r>
            <w:r>
              <w:rPr>
                <w:color w:val="000000" w:themeColor="text1"/>
                <w:sz w:val="24"/>
                <w:vertAlign w:val="subscript"/>
                <w14:textFill>
                  <w14:solidFill>
                    <w14:schemeClr w14:val="tx1"/>
                  </w14:solidFill>
                </w14:textFill>
              </w:rPr>
              <w:t>X</w:t>
            </w:r>
            <w:r>
              <w:rPr>
                <w:color w:val="000000" w:themeColor="text1"/>
                <w:sz w:val="24"/>
                <w14:textFill>
                  <w14:solidFill>
                    <w14:schemeClr w14:val="tx1"/>
                  </w14:solidFill>
                </w14:textFill>
              </w:rPr>
              <w:t>。根据企业提供资料，项目</w:t>
            </w:r>
            <w:r>
              <w:rPr>
                <w:rFonts w:hint="eastAsia"/>
                <w:color w:val="000000" w:themeColor="text1"/>
                <w:kern w:val="0"/>
                <w:sz w:val="24"/>
                <w14:textFill>
                  <w14:solidFill>
                    <w14:schemeClr w14:val="tx1"/>
                  </w14:solidFill>
                </w14:textFill>
              </w:rPr>
              <w:t>黄酒</w:t>
            </w:r>
            <w:r>
              <w:rPr>
                <w:color w:val="000000" w:themeColor="text1"/>
                <w:sz w:val="24"/>
                <w14:textFill>
                  <w14:solidFill>
                    <w14:schemeClr w14:val="tx1"/>
                  </w14:solidFill>
                </w14:textFill>
              </w:rPr>
              <w:t>车间</w:t>
            </w:r>
            <w:r>
              <w:rPr>
                <w:color w:val="000000" w:themeColor="text1"/>
                <w:kern w:val="0"/>
                <w:sz w:val="24"/>
                <w14:textFill>
                  <w14:solidFill>
                    <w14:schemeClr w14:val="tx1"/>
                  </w14:solidFill>
                </w14:textFill>
              </w:rPr>
              <w:t>蒸汽发生器</w:t>
            </w:r>
            <w:r>
              <w:rPr>
                <w:rFonts w:hint="eastAsia"/>
                <w:color w:val="000000" w:themeColor="text1"/>
                <w:sz w:val="24"/>
                <w14:textFill>
                  <w14:solidFill>
                    <w14:schemeClr w14:val="tx1"/>
                  </w14:solidFill>
                </w14:textFill>
              </w:rPr>
              <w:t>每天运行4h，年运行时间约为228d/a</w:t>
            </w:r>
            <w:r>
              <w:rPr>
                <w:color w:val="000000" w:themeColor="text1"/>
                <w:sz w:val="24"/>
                <w14:textFill>
                  <w14:solidFill>
                    <w14:schemeClr w14:val="tx1"/>
                  </w14:solidFill>
                </w14:textFill>
              </w:rPr>
              <w:t>，其中</w:t>
            </w:r>
            <w:r>
              <w:rPr>
                <w:rFonts w:hint="eastAsia"/>
                <w:color w:val="000000" w:themeColor="text1"/>
                <w:sz w:val="24"/>
                <w14:textFill>
                  <w14:solidFill>
                    <w14:schemeClr w14:val="tx1"/>
                  </w14:solidFill>
                </w14:textFill>
              </w:rPr>
              <w:t>0.5t</w:t>
            </w:r>
            <w:r>
              <w:rPr>
                <w:color w:val="000000" w:themeColor="text1"/>
                <w:sz w:val="24"/>
                <w14:textFill>
                  <w14:solidFill>
                    <w14:schemeClr w14:val="tx1"/>
                  </w14:solidFill>
                </w14:textFill>
              </w:rPr>
              <w:t>/h</w:t>
            </w:r>
            <w:r>
              <w:rPr>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燃料为天然气用量为</w:t>
            </w:r>
            <w:r>
              <w:rPr>
                <w:rFonts w:hint="eastAsia"/>
                <w:color w:val="000000" w:themeColor="text1"/>
                <w:sz w:val="24"/>
                <w14:textFill>
                  <w14:solidFill>
                    <w14:schemeClr w14:val="tx1"/>
                  </w14:solidFill>
                </w14:textFill>
              </w:rPr>
              <w:t>24.649</w:t>
            </w:r>
            <w:r>
              <w:rPr>
                <w:color w:val="000000" w:themeColor="text1"/>
                <w:sz w:val="24"/>
                <w14:textFill>
                  <w14:solidFill>
                    <w14:schemeClr w14:val="tx1"/>
                  </w14:solidFill>
                </w14:textFill>
              </w:rPr>
              <w:t>t/a（气态天然气密度为0.7kg/m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，约</w:t>
            </w:r>
            <w:r>
              <w:rPr>
                <w:rFonts w:hint="eastAsia"/>
                <w:color w:val="000000" w:themeColor="text1"/>
                <w:sz w:val="24"/>
                <w14:textFill>
                  <w14:solidFill>
                    <w14:schemeClr w14:val="tx1"/>
                  </w14:solidFill>
                </w14:textFill>
              </w:rPr>
              <w:t>35213.232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p>
          <w:p w14:paraId="517F6618">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根据《排污许可证申请与核发技术规范 锅炉》HJ953-2018表F.3燃气工业锅炉废气产排污系数可知，二氧化硫产生系数为0.02Skg/万立方米-燃料（S为天然气含硫量），项目所用天然气符合国家标准《天然气》（GB17820-2018）中的1类天然气，含硫量小于20毫克/立方米，本项目按照最不利性影响计算，取20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经计算二氧化硫的产污系数为0.4千克/万立方米-燃料。根据《工业源产排污核算方法和系数手册》中D4430锅炉产排污量核算系数手册—燃气工业锅炉废气产排污系数手册中采用低氮燃烧技术后氮氧化物产污系数为3.03kg万立方米-燃料。根据《社会区域类环境影响评价》（环评工程师培训教材），天然气燃烧产生的烟尘产污系数为0.5kg/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-原料。</w:t>
            </w:r>
          </w:p>
          <w:p w14:paraId="18BA2DA5">
            <w:pPr>
              <w:widowControl/>
              <w:spacing w:line="360" w:lineRule="auto"/>
              <w:ind w:firstLine="480" w:firstLineChars="200"/>
              <w:jc w:val="left"/>
              <w:rPr>
                <w:color w:val="000000" w:themeColor="text1"/>
                <w:sz w:val="24"/>
                <w14:textFill>
                  <w14:solidFill>
                    <w14:schemeClr w14:val="tx1"/>
                  </w14:solidFill>
                </w14:textFill>
              </w:rPr>
            </w:pPr>
            <w:r>
              <w:rPr>
                <w:bCs/>
                <w:color w:val="000000" w:themeColor="text1"/>
                <w:sz w:val="24"/>
                <w14:textFill>
                  <w14:solidFill>
                    <w14:schemeClr w14:val="tx1"/>
                  </w14:solidFill>
                </w14:textFill>
              </w:rPr>
              <w:t>环评建议，项目</w:t>
            </w:r>
            <w:r>
              <w:rPr>
                <w:rFonts w:hint="eastAsia"/>
                <w:bCs/>
                <w:color w:val="000000" w:themeColor="text1"/>
                <w:sz w:val="24"/>
                <w14:textFill>
                  <w14:solidFill>
                    <w14:schemeClr w14:val="tx1"/>
                  </w14:solidFill>
                </w14:textFill>
              </w:rPr>
              <w:t>综合车间</w:t>
            </w:r>
            <w:r>
              <w:rPr>
                <w:rFonts w:hint="eastAsia"/>
                <w:color w:val="000000" w:themeColor="text1"/>
                <w:kern w:val="0"/>
                <w:sz w:val="24"/>
                <w14:textFill>
                  <w14:solidFill>
                    <w14:schemeClr w14:val="tx1"/>
                  </w14:solidFill>
                </w14:textFill>
              </w:rPr>
              <w:t>0.5</w:t>
            </w:r>
            <w:r>
              <w:rPr>
                <w:color w:val="000000" w:themeColor="text1"/>
                <w:kern w:val="0"/>
                <w:sz w:val="24"/>
                <w14:textFill>
                  <w14:solidFill>
                    <w14:schemeClr w14:val="tx1"/>
                  </w14:solidFill>
                </w14:textFill>
              </w:rPr>
              <w:t>t/h</w:t>
            </w:r>
            <w:r>
              <w:rPr>
                <w:rFonts w:hint="eastAsia"/>
                <w:color w:val="000000" w:themeColor="text1"/>
                <w:kern w:val="0"/>
                <w:sz w:val="24"/>
                <w14:textFill>
                  <w14:solidFill>
                    <w14:schemeClr w14:val="tx1"/>
                  </w14:solidFill>
                </w14:textFill>
              </w:rPr>
              <w:t>蒸汽发生器</w:t>
            </w:r>
            <w:r>
              <w:rPr>
                <w:bCs/>
                <w:color w:val="000000" w:themeColor="text1"/>
                <w:sz w:val="24"/>
                <w14:textFill>
                  <w14:solidFill>
                    <w14:schemeClr w14:val="tx1"/>
                  </w14:solidFill>
                </w14:textFill>
              </w:rPr>
              <w:t>天然气燃烧废气经1套低氮燃烧+烟气循环系统</w:t>
            </w:r>
            <w:r>
              <w:rPr>
                <w:rFonts w:hint="eastAsia"/>
                <w:color w:val="000000" w:themeColor="text1"/>
                <w:kern w:val="0"/>
                <w:sz w:val="24"/>
                <w14:textFill>
                  <w14:solidFill>
                    <w14:schemeClr w14:val="tx1"/>
                  </w14:solidFill>
                </w14:textFill>
              </w:rPr>
              <w:t>（TA004）</w:t>
            </w:r>
            <w:r>
              <w:rPr>
                <w:bCs/>
                <w:color w:val="000000" w:themeColor="text1"/>
                <w:sz w:val="24"/>
                <w14:textFill>
                  <w14:solidFill>
                    <w14:schemeClr w14:val="tx1"/>
                  </w14:solidFill>
                </w14:textFill>
              </w:rPr>
              <w:t>处理后</w:t>
            </w:r>
            <w:r>
              <w:rPr>
                <w:rFonts w:hint="eastAsia"/>
                <w:bCs/>
                <w:color w:val="000000" w:themeColor="text1"/>
                <w:sz w:val="24"/>
                <w14:textFill>
                  <w14:solidFill>
                    <w14:schemeClr w14:val="tx1"/>
                  </w14:solidFill>
                </w14:textFill>
              </w:rPr>
              <w:t>分别</w:t>
            </w:r>
            <w:r>
              <w:rPr>
                <w:bCs/>
                <w:color w:val="000000" w:themeColor="text1"/>
                <w:sz w:val="24"/>
                <w14:textFill>
                  <w14:solidFill>
                    <w14:schemeClr w14:val="tx1"/>
                  </w14:solidFill>
                </w14:textFill>
              </w:rPr>
              <w:t>通过1根</w:t>
            </w:r>
            <w:r>
              <w:rPr>
                <w:rFonts w:hint="eastAsia"/>
                <w:bCs/>
                <w:color w:val="000000" w:themeColor="text1"/>
                <w:sz w:val="24"/>
                <w14:textFill>
                  <w14:solidFill>
                    <w14:schemeClr w14:val="tx1"/>
                  </w14:solidFill>
                </w14:textFill>
              </w:rPr>
              <w:t>15</w:t>
            </w:r>
            <w:r>
              <w:rPr>
                <w:bCs/>
                <w:color w:val="000000" w:themeColor="text1"/>
                <w:sz w:val="24"/>
                <w14:textFill>
                  <w14:solidFill>
                    <w14:schemeClr w14:val="tx1"/>
                  </w14:solidFill>
                </w14:textFill>
              </w:rPr>
              <w:t>m高排气筒</w:t>
            </w:r>
            <w:r>
              <w:rPr>
                <w:rFonts w:hint="eastAsia"/>
                <w:color w:val="000000" w:themeColor="text1"/>
                <w:kern w:val="0"/>
                <w:sz w:val="24"/>
                <w14:textFill>
                  <w14:solidFill>
                    <w14:schemeClr w14:val="tx1"/>
                  </w14:solidFill>
                </w14:textFill>
              </w:rPr>
              <w:t>（DA004）</w:t>
            </w:r>
            <w:r>
              <w:rPr>
                <w:bCs/>
                <w:color w:val="000000" w:themeColor="text1"/>
                <w:sz w:val="24"/>
                <w14:textFill>
                  <w14:solidFill>
                    <w14:schemeClr w14:val="tx1"/>
                  </w14:solidFill>
                </w14:textFill>
              </w:rPr>
              <w:t>排放。</w:t>
            </w:r>
            <w:r>
              <w:rPr>
                <w:rFonts w:hint="eastAsia"/>
                <w:color w:val="000000" w:themeColor="text1"/>
                <w:sz w:val="24"/>
                <w14:textFill>
                  <w14:solidFill>
                    <w14:schemeClr w14:val="tx1"/>
                  </w14:solidFill>
                </w14:textFill>
              </w:rPr>
              <w:t>项目</w:t>
            </w:r>
            <w:r>
              <w:rPr>
                <w:rFonts w:hint="eastAsia"/>
                <w:color w:val="000000" w:themeColor="text1"/>
                <w:kern w:val="0"/>
                <w:sz w:val="24"/>
                <w14:textFill>
                  <w14:solidFill>
                    <w14:schemeClr w14:val="tx1"/>
                  </w14:solidFill>
                </w14:textFill>
              </w:rPr>
              <w:t>0.5</w:t>
            </w:r>
            <w:r>
              <w:rPr>
                <w:color w:val="000000" w:themeColor="text1"/>
                <w:kern w:val="0"/>
                <w:sz w:val="24"/>
                <w14:textFill>
                  <w14:solidFill>
                    <w14:schemeClr w14:val="tx1"/>
                  </w14:solidFill>
                </w14:textFill>
              </w:rPr>
              <w:t>t/h</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天然气用量为</w:t>
            </w:r>
            <w:r>
              <w:rPr>
                <w:rFonts w:hint="eastAsia"/>
                <w:color w:val="000000" w:themeColor="text1"/>
                <w:sz w:val="24"/>
                <w14:textFill>
                  <w14:solidFill>
                    <w14:schemeClr w14:val="tx1"/>
                  </w14:solidFill>
                </w14:textFill>
              </w:rPr>
              <w:t>35213.232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/a。经计算</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烟尘</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量为0.0</w:t>
            </w:r>
            <w:r>
              <w:rPr>
                <w:rFonts w:hint="eastAsia"/>
                <w:color w:val="000000" w:themeColor="text1"/>
                <w:sz w:val="24"/>
                <w14:textFill>
                  <w14:solidFill>
                    <w14:schemeClr w14:val="tx1"/>
                  </w14:solidFill>
                </w14:textFill>
              </w:rPr>
              <w:t>02</w:t>
            </w:r>
            <w:r>
              <w:rPr>
                <w:color w:val="000000" w:themeColor="text1"/>
                <w:sz w:val="24"/>
                <w14:textFill>
                  <w14:solidFill>
                    <w14:schemeClr w14:val="tx1"/>
                  </w14:solidFill>
                </w14:textFill>
              </w:rPr>
              <w:t>t/a（0.0</w:t>
            </w:r>
            <w:r>
              <w:rPr>
                <w:rFonts w:hint="eastAsia"/>
                <w:color w:val="000000" w:themeColor="text1"/>
                <w:sz w:val="24"/>
                <w14:textFill>
                  <w14:solidFill>
                    <w14:schemeClr w14:val="tx1"/>
                  </w14:solidFill>
                </w14:textFill>
              </w:rPr>
              <w:t>02</w:t>
            </w:r>
            <w:r>
              <w:rPr>
                <w:color w:val="000000" w:themeColor="text1"/>
                <w:sz w:val="24"/>
                <w14:textFill>
                  <w14:solidFill>
                    <w14:schemeClr w14:val="tx1"/>
                  </w14:solidFill>
                </w14:textFill>
              </w:rPr>
              <w:t>kg/h），二氧化硫</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量为0.0</w:t>
            </w:r>
            <w:r>
              <w:rPr>
                <w:rFonts w:hint="eastAsia"/>
                <w:color w:val="000000" w:themeColor="text1"/>
                <w:sz w:val="24"/>
                <w14:textFill>
                  <w14:solidFill>
                    <w14:schemeClr w14:val="tx1"/>
                  </w14:solidFill>
                </w14:textFill>
              </w:rPr>
              <w:t>01</w:t>
            </w:r>
            <w:r>
              <w:rPr>
                <w:color w:val="000000" w:themeColor="text1"/>
                <w:sz w:val="24"/>
                <w14:textFill>
                  <w14:solidFill>
                    <w14:schemeClr w14:val="tx1"/>
                  </w14:solidFill>
                </w14:textFill>
              </w:rPr>
              <w:t>t/a（0.0</w:t>
            </w:r>
            <w:r>
              <w:rPr>
                <w:rFonts w:hint="eastAsia"/>
                <w:color w:val="000000" w:themeColor="text1"/>
                <w:sz w:val="24"/>
                <w14:textFill>
                  <w14:solidFill>
                    <w14:schemeClr w14:val="tx1"/>
                  </w14:solidFill>
                </w14:textFill>
              </w:rPr>
              <w:t>02</w:t>
            </w:r>
            <w:r>
              <w:rPr>
                <w:color w:val="000000" w:themeColor="text1"/>
                <w:sz w:val="24"/>
                <w14:textFill>
                  <w14:solidFill>
                    <w14:schemeClr w14:val="tx1"/>
                  </w14:solidFill>
                </w14:textFill>
              </w:rPr>
              <w:t>kg/h），氮氧化物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量为</w:t>
            </w:r>
            <w:r>
              <w:rPr>
                <w:rFonts w:hint="eastAsia"/>
                <w:color w:val="000000" w:themeColor="text1"/>
                <w:sz w:val="24"/>
                <w14:textFill>
                  <w14:solidFill>
                    <w14:schemeClr w14:val="tx1"/>
                  </w14:solidFill>
                </w14:textFill>
              </w:rPr>
              <w:t>0.011</w:t>
            </w:r>
            <w:r>
              <w:rPr>
                <w:color w:val="000000" w:themeColor="text1"/>
                <w:sz w:val="24"/>
                <w14:textFill>
                  <w14:solidFill>
                    <w14:schemeClr w14:val="tx1"/>
                  </w14:solidFill>
                </w14:textFill>
              </w:rPr>
              <w:t>t/a（0.</w:t>
            </w:r>
            <w:r>
              <w:rPr>
                <w:rFonts w:hint="eastAsia"/>
                <w:color w:val="000000" w:themeColor="text1"/>
                <w:sz w:val="24"/>
                <w14:textFill>
                  <w14:solidFill>
                    <w14:schemeClr w14:val="tx1"/>
                  </w14:solidFill>
                </w14:textFill>
              </w:rPr>
              <w:t>012</w:t>
            </w:r>
            <w:r>
              <w:rPr>
                <w:color w:val="000000" w:themeColor="text1"/>
                <w:sz w:val="24"/>
                <w14:textFill>
                  <w14:solidFill>
                    <w14:schemeClr w14:val="tx1"/>
                  </w14:solidFill>
                </w14:textFill>
              </w:rPr>
              <w:t>kg/h）。根据《工业源产排污核算方法和系数手册》（D4430锅炉产排污量核算系数手册—燃气工业锅炉废气产排污系数可知，每燃烧1万立方米天然气产生的烟气量为107753Nm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，项目用天然气</w:t>
            </w:r>
            <w:r>
              <w:rPr>
                <w:rFonts w:hint="eastAsia"/>
                <w:color w:val="000000" w:themeColor="text1"/>
                <w:sz w:val="24"/>
                <w14:textFill>
                  <w14:solidFill>
                    <w14:schemeClr w14:val="tx1"/>
                  </w14:solidFill>
                </w14:textFill>
              </w:rPr>
              <w:t>7722.2</w:t>
            </w:r>
            <w:r>
              <w:rPr>
                <w:color w:val="000000" w:themeColor="text1"/>
                <w:sz w:val="24"/>
                <w14:textFill>
                  <w14:solidFill>
                    <w14:schemeClr w14:val="tx1"/>
                  </w14:solidFill>
                </w14:textFill>
              </w:rPr>
              <w:t>立方米，则天然气燃烧废气量为</w:t>
            </w:r>
            <w:r>
              <w:rPr>
                <w:rFonts w:hint="eastAsia"/>
                <w:color w:val="000000" w:themeColor="text1"/>
                <w:sz w:val="24"/>
                <w14:textFill>
                  <w14:solidFill>
                    <w14:schemeClr w14:val="tx1"/>
                  </w14:solidFill>
                </w14:textFill>
              </w:rPr>
              <w:t>8.321</w:t>
            </w:r>
            <w:r>
              <w:rPr>
                <w:color w:val="000000" w:themeColor="text1"/>
                <w:sz w:val="24"/>
                <w14:textFill>
                  <w14:solidFill>
                    <w14:schemeClr w14:val="tx1"/>
                  </w14:solidFill>
                </w14:textFill>
              </w:rPr>
              <w:t>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416.045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/h）。经计算天然气燃烧废气：颗粒物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4.640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，二氧化硫</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浓度为3.</w:t>
            </w:r>
            <w:r>
              <w:rPr>
                <w:rFonts w:hint="eastAsia"/>
                <w:color w:val="000000" w:themeColor="text1"/>
                <w:sz w:val="24"/>
                <w14:textFill>
                  <w14:solidFill>
                    <w14:schemeClr w14:val="tx1"/>
                  </w14:solidFill>
                </w14:textFill>
              </w:rPr>
              <w:t>712</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，氮氧化物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28.120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p>
          <w:p w14:paraId="70C8745C">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1.1.3、封坛发酵车间废气</w:t>
            </w:r>
          </w:p>
          <w:p w14:paraId="4CF863FE">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color w:val="000000" w:themeColor="text1"/>
                <w:kern w:val="52"/>
                <w:szCs w:val="24"/>
                <w14:textFill>
                  <w14:solidFill>
                    <w14:schemeClr w14:val="tx1"/>
                  </w14:solidFill>
                </w14:textFill>
              </w:rPr>
              <w:t>项目黄酒生产线封坛发酵车间放置</w:t>
            </w:r>
            <w:r>
              <w:rPr>
                <w:rFonts w:hint="eastAsia" w:ascii="Times New Roman" w:hAnsi="Times New Roman"/>
                <w:color w:val="000000" w:themeColor="text1"/>
                <w:kern w:val="52"/>
                <w:szCs w:val="24"/>
                <w14:textFill>
                  <w14:solidFill>
                    <w14:schemeClr w14:val="tx1"/>
                  </w14:solidFill>
                </w14:textFill>
              </w:rPr>
              <w:t>发酵缸数量为全厂黄酒总发酵缸数量的3/5，本项目黄酒发酵废气主要来源于发酵工序，其中主要污染物为</w:t>
            </w:r>
            <w:r>
              <w:rPr>
                <w:rFonts w:ascii="Times New Roman" w:hAnsi="Times New Roman"/>
                <w:color w:val="000000" w:themeColor="text1"/>
                <w:szCs w:val="24"/>
                <w14:textFill>
                  <w14:solidFill>
                    <w14:schemeClr w14:val="tx1"/>
                  </w14:solidFill>
                </w14:textFill>
              </w:rPr>
              <w:t>CO</w:t>
            </w:r>
            <w:r>
              <w:rPr>
                <w:rFonts w:ascii="Times New Roman" w:hAnsi="Times New Roman"/>
                <w:color w:val="000000" w:themeColor="text1"/>
                <w:szCs w:val="24"/>
                <w:vertAlign w:val="subscript"/>
                <w14:textFill>
                  <w14:solidFill>
                    <w14:schemeClr w14:val="tx1"/>
                  </w14:solidFill>
                </w14:textFill>
              </w:rPr>
              <w:t>2</w:t>
            </w:r>
            <w:r>
              <w:rPr>
                <w:rFonts w:ascii="Times New Roman" w:hAnsi="Times New Roman"/>
                <w:color w:val="000000" w:themeColor="text1"/>
                <w:szCs w:val="24"/>
                <w14:textFill>
                  <w14:solidFill>
                    <w14:schemeClr w14:val="tx1"/>
                  </w14:solidFill>
                </w14:textFill>
              </w:rPr>
              <w:t>、VOCs</w:t>
            </w:r>
            <w:r>
              <w:rPr>
                <w:rFonts w:hint="eastAsia" w:ascii="Times New Roman" w:hAnsi="Times New Roman"/>
                <w:color w:val="000000" w:themeColor="text1"/>
                <w:kern w:val="52"/>
                <w:szCs w:val="24"/>
                <w14:textFill>
                  <w14:solidFill>
                    <w14:schemeClr w14:val="tx1"/>
                  </w14:solidFill>
                </w14:textFill>
              </w:rPr>
              <w:t>（少量的酒精、乙酸、酯和其他芳香类物质）。根据酒精生产方程式（</w:t>
            </w:r>
            <w:r>
              <w:rPr>
                <w:rFonts w:ascii="Times New Roman" w:hAnsi="Times New Roman"/>
                <w:color w:val="000000" w:themeColor="text1"/>
                <w:szCs w:val="24"/>
                <w14:textFill>
                  <w14:solidFill>
                    <w14:schemeClr w14:val="tx1"/>
                  </w14:solidFill>
                </w14:textFill>
              </w:rPr>
              <w:t>C</w:t>
            </w:r>
            <w:r>
              <w:rPr>
                <w:rFonts w:ascii="Times New Roman" w:hAnsi="Times New Roman"/>
                <w:color w:val="000000" w:themeColor="text1"/>
                <w:szCs w:val="24"/>
                <w:vertAlign w:val="subscript"/>
                <w14:textFill>
                  <w14:solidFill>
                    <w14:schemeClr w14:val="tx1"/>
                  </w14:solidFill>
                </w14:textFill>
              </w:rPr>
              <w:t>6</w:t>
            </w:r>
            <w:r>
              <w:rPr>
                <w:rFonts w:ascii="Times New Roman" w:hAnsi="Times New Roman"/>
                <w:color w:val="000000" w:themeColor="text1"/>
                <w:szCs w:val="24"/>
                <w14:textFill>
                  <w14:solidFill>
                    <w14:schemeClr w14:val="tx1"/>
                  </w14:solidFill>
                </w14:textFill>
              </w:rPr>
              <w:t>H</w:t>
            </w:r>
            <w:r>
              <w:rPr>
                <w:rFonts w:ascii="Times New Roman" w:hAnsi="Times New Roman"/>
                <w:color w:val="000000" w:themeColor="text1"/>
                <w:szCs w:val="24"/>
                <w:vertAlign w:val="subscript"/>
                <w14:textFill>
                  <w14:solidFill>
                    <w14:schemeClr w14:val="tx1"/>
                  </w14:solidFill>
                </w14:textFill>
              </w:rPr>
              <w:t>12</w:t>
            </w:r>
            <w:r>
              <w:rPr>
                <w:rFonts w:ascii="Times New Roman" w:hAnsi="Times New Roman"/>
                <w:color w:val="000000" w:themeColor="text1"/>
                <w:szCs w:val="24"/>
                <w14:textFill>
                  <w14:solidFill>
                    <w14:schemeClr w14:val="tx1"/>
                  </w14:solidFill>
                </w14:textFill>
              </w:rPr>
              <w:t>O</w:t>
            </w:r>
            <w:r>
              <w:rPr>
                <w:rFonts w:ascii="Times New Roman" w:hAnsi="Times New Roman"/>
                <w:color w:val="000000" w:themeColor="text1"/>
                <w:szCs w:val="24"/>
                <w:vertAlign w:val="subscript"/>
                <w14:textFill>
                  <w14:solidFill>
                    <w14:schemeClr w14:val="tx1"/>
                  </w14:solidFill>
                </w14:textFill>
              </w:rPr>
              <w:t>6</w:t>
            </w:r>
            <w:r>
              <w:rPr>
                <w:rFonts w:ascii="Times New Roman" w:hAnsi="Times New Roman"/>
                <w:color w:val="000000" w:themeColor="text1"/>
                <w:szCs w:val="24"/>
                <w14:textFill>
                  <w14:solidFill>
                    <w14:schemeClr w14:val="tx1"/>
                  </w14:solidFill>
                </w14:textFill>
              </w:rPr>
              <w:t>+酶→2C</w:t>
            </w:r>
            <w:r>
              <w:rPr>
                <w:rFonts w:ascii="Times New Roman" w:hAnsi="Times New Roman"/>
                <w:color w:val="000000" w:themeColor="text1"/>
                <w:szCs w:val="24"/>
                <w:vertAlign w:val="subscript"/>
                <w14:textFill>
                  <w14:solidFill>
                    <w14:schemeClr w14:val="tx1"/>
                  </w14:solidFill>
                </w14:textFill>
              </w:rPr>
              <w:t>2</w:t>
            </w:r>
            <w:r>
              <w:rPr>
                <w:rFonts w:ascii="Times New Roman" w:hAnsi="Times New Roman"/>
                <w:color w:val="000000" w:themeColor="text1"/>
                <w:szCs w:val="24"/>
                <w14:textFill>
                  <w14:solidFill>
                    <w14:schemeClr w14:val="tx1"/>
                  </w14:solidFill>
                </w14:textFill>
              </w:rPr>
              <w:t>H</w:t>
            </w:r>
            <w:r>
              <w:rPr>
                <w:rFonts w:ascii="Times New Roman" w:hAnsi="Times New Roman"/>
                <w:color w:val="000000" w:themeColor="text1"/>
                <w:szCs w:val="24"/>
                <w:vertAlign w:val="subscript"/>
                <w14:textFill>
                  <w14:solidFill>
                    <w14:schemeClr w14:val="tx1"/>
                  </w14:solidFill>
                </w14:textFill>
              </w:rPr>
              <w:t>5</w:t>
            </w:r>
            <w:r>
              <w:rPr>
                <w:rFonts w:ascii="Times New Roman" w:hAnsi="Times New Roman"/>
                <w:color w:val="000000" w:themeColor="text1"/>
                <w:szCs w:val="24"/>
                <w14:textFill>
                  <w14:solidFill>
                    <w14:schemeClr w14:val="tx1"/>
                  </w14:solidFill>
                </w14:textFill>
              </w:rPr>
              <w:t>OH+2CO</w:t>
            </w:r>
            <w:r>
              <w:rPr>
                <w:rFonts w:ascii="Times New Roman" w:hAnsi="Times New Roman"/>
                <w:color w:val="000000" w:themeColor="text1"/>
                <w:szCs w:val="24"/>
                <w:vertAlign w:val="subscript"/>
                <w14:textFill>
                  <w14:solidFill>
                    <w14:schemeClr w14:val="tx1"/>
                  </w14:solidFill>
                </w14:textFill>
              </w:rPr>
              <w:t>2</w:t>
            </w:r>
            <w:r>
              <w:rPr>
                <w:rFonts w:hint="eastAsia" w:ascii="Times New Roman" w:hAnsi="Times New Roman"/>
                <w:color w:val="000000" w:themeColor="text1"/>
                <w:kern w:val="52"/>
                <w:szCs w:val="24"/>
                <w14:textFill>
                  <w14:solidFill>
                    <w14:schemeClr w14:val="tx1"/>
                  </w14:solidFill>
                </w14:textFill>
              </w:rPr>
              <w:t>），每产生46g纯酒精的同时产生44g二氧化碳。本项目封坛发酵车间产生的黄酒</w:t>
            </w:r>
            <w:r>
              <w:rPr>
                <w:rFonts w:hint="eastAsia" w:ascii="Times New Roman" w:hAnsi="Times New Roman"/>
                <w:color w:val="000000" w:themeColor="text1"/>
                <w:szCs w:val="24"/>
                <w14:textFill>
                  <w14:solidFill>
                    <w14:schemeClr w14:val="tx1"/>
                  </w14:solidFill>
                </w14:textFill>
              </w:rPr>
              <w:t>基酒</w:t>
            </w:r>
            <w:r>
              <w:rPr>
                <w:rFonts w:hint="eastAsia" w:ascii="Times New Roman" w:hAnsi="Times New Roman"/>
                <w:color w:val="000000" w:themeColor="text1"/>
                <w:kern w:val="52"/>
                <w:szCs w:val="24"/>
                <w14:textFill>
                  <w14:solidFill>
                    <w14:schemeClr w14:val="tx1"/>
                  </w14:solidFill>
                </w14:textFill>
              </w:rPr>
              <w:t>年产量为85.581t，度数为20度，计算可得纯酒精含量为7.748t/a，则二氧化碳产生量约为7.412t/a。</w:t>
            </w:r>
          </w:p>
          <w:p w14:paraId="621C5EF1">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1.1.4、封坛区域废气</w:t>
            </w:r>
          </w:p>
          <w:p w14:paraId="3C46CF2C">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color w:val="000000" w:themeColor="text1"/>
                <w:kern w:val="52"/>
                <w:szCs w:val="24"/>
                <w14:textFill>
                  <w14:solidFill>
                    <w14:schemeClr w14:val="tx1"/>
                  </w14:solidFill>
                </w14:textFill>
              </w:rPr>
              <w:t>项目黄酒生产线</w:t>
            </w:r>
            <w:r>
              <w:rPr>
                <w:rFonts w:hint="eastAsia" w:ascii="Times New Roman" w:hAnsi="Times New Roman"/>
                <w:color w:val="000000" w:themeColor="text1"/>
                <w:kern w:val="52"/>
                <w:szCs w:val="24"/>
                <w14:textFill>
                  <w14:solidFill>
                    <w14:schemeClr w14:val="tx1"/>
                  </w14:solidFill>
                </w14:textFill>
              </w:rPr>
              <w:t>封坛区域</w:t>
            </w:r>
            <w:r>
              <w:rPr>
                <w:rFonts w:hint="eastAsia"/>
                <w:color w:val="000000" w:themeColor="text1"/>
                <w:kern w:val="52"/>
                <w:szCs w:val="24"/>
                <w14:textFill>
                  <w14:solidFill>
                    <w14:schemeClr w14:val="tx1"/>
                  </w14:solidFill>
                </w14:textFill>
              </w:rPr>
              <w:t>放置</w:t>
            </w:r>
            <w:r>
              <w:rPr>
                <w:rFonts w:hint="eastAsia" w:ascii="Times New Roman" w:hAnsi="Times New Roman"/>
                <w:color w:val="000000" w:themeColor="text1"/>
                <w:kern w:val="52"/>
                <w:szCs w:val="24"/>
                <w14:textFill>
                  <w14:solidFill>
                    <w14:schemeClr w14:val="tx1"/>
                  </w14:solidFill>
                </w14:textFill>
              </w:rPr>
              <w:t>发酵缸数量为全厂黄酒总发酵缸数量的2/5，本项目黄酒发酵废气主要来源于发酵工序，其中主要污染物为</w:t>
            </w:r>
            <w:r>
              <w:rPr>
                <w:rFonts w:ascii="Times New Roman" w:hAnsi="Times New Roman"/>
                <w:color w:val="000000" w:themeColor="text1"/>
                <w:szCs w:val="24"/>
                <w14:textFill>
                  <w14:solidFill>
                    <w14:schemeClr w14:val="tx1"/>
                  </w14:solidFill>
                </w14:textFill>
              </w:rPr>
              <w:t>CO</w:t>
            </w:r>
            <w:r>
              <w:rPr>
                <w:rFonts w:ascii="Times New Roman" w:hAnsi="Times New Roman"/>
                <w:color w:val="000000" w:themeColor="text1"/>
                <w:szCs w:val="24"/>
                <w:vertAlign w:val="subscript"/>
                <w14:textFill>
                  <w14:solidFill>
                    <w14:schemeClr w14:val="tx1"/>
                  </w14:solidFill>
                </w14:textFill>
              </w:rPr>
              <w:t>2</w:t>
            </w:r>
            <w:r>
              <w:rPr>
                <w:rFonts w:ascii="Times New Roman" w:hAnsi="Times New Roman"/>
                <w:color w:val="000000" w:themeColor="text1"/>
                <w:szCs w:val="24"/>
                <w14:textFill>
                  <w14:solidFill>
                    <w14:schemeClr w14:val="tx1"/>
                  </w14:solidFill>
                </w14:textFill>
              </w:rPr>
              <w:t>、VOCs</w:t>
            </w:r>
            <w:r>
              <w:rPr>
                <w:rFonts w:hint="eastAsia" w:ascii="Times New Roman" w:hAnsi="Times New Roman"/>
                <w:color w:val="000000" w:themeColor="text1"/>
                <w:kern w:val="52"/>
                <w:szCs w:val="24"/>
                <w14:textFill>
                  <w14:solidFill>
                    <w14:schemeClr w14:val="tx1"/>
                  </w14:solidFill>
                </w14:textFill>
              </w:rPr>
              <w:t>（少量的酒精、乙酸、酯和其他芳香类物质）。根据酒精生产方程式（</w:t>
            </w:r>
            <w:r>
              <w:rPr>
                <w:rFonts w:ascii="Times New Roman" w:hAnsi="Times New Roman"/>
                <w:color w:val="000000" w:themeColor="text1"/>
                <w:szCs w:val="24"/>
                <w14:textFill>
                  <w14:solidFill>
                    <w14:schemeClr w14:val="tx1"/>
                  </w14:solidFill>
                </w14:textFill>
              </w:rPr>
              <w:t>C</w:t>
            </w:r>
            <w:r>
              <w:rPr>
                <w:rFonts w:ascii="Times New Roman" w:hAnsi="Times New Roman"/>
                <w:color w:val="000000" w:themeColor="text1"/>
                <w:szCs w:val="24"/>
                <w:vertAlign w:val="subscript"/>
                <w14:textFill>
                  <w14:solidFill>
                    <w14:schemeClr w14:val="tx1"/>
                  </w14:solidFill>
                </w14:textFill>
              </w:rPr>
              <w:t>6</w:t>
            </w:r>
            <w:r>
              <w:rPr>
                <w:rFonts w:ascii="Times New Roman" w:hAnsi="Times New Roman"/>
                <w:color w:val="000000" w:themeColor="text1"/>
                <w:szCs w:val="24"/>
                <w14:textFill>
                  <w14:solidFill>
                    <w14:schemeClr w14:val="tx1"/>
                  </w14:solidFill>
                </w14:textFill>
              </w:rPr>
              <w:t>H</w:t>
            </w:r>
            <w:r>
              <w:rPr>
                <w:rFonts w:ascii="Times New Roman" w:hAnsi="Times New Roman"/>
                <w:color w:val="000000" w:themeColor="text1"/>
                <w:szCs w:val="24"/>
                <w:vertAlign w:val="subscript"/>
                <w14:textFill>
                  <w14:solidFill>
                    <w14:schemeClr w14:val="tx1"/>
                  </w14:solidFill>
                </w14:textFill>
              </w:rPr>
              <w:t>12</w:t>
            </w:r>
            <w:r>
              <w:rPr>
                <w:rFonts w:ascii="Times New Roman" w:hAnsi="Times New Roman"/>
                <w:color w:val="000000" w:themeColor="text1"/>
                <w:szCs w:val="24"/>
                <w14:textFill>
                  <w14:solidFill>
                    <w14:schemeClr w14:val="tx1"/>
                  </w14:solidFill>
                </w14:textFill>
              </w:rPr>
              <w:t>O</w:t>
            </w:r>
            <w:r>
              <w:rPr>
                <w:rFonts w:ascii="Times New Roman" w:hAnsi="Times New Roman"/>
                <w:color w:val="000000" w:themeColor="text1"/>
                <w:szCs w:val="24"/>
                <w:vertAlign w:val="subscript"/>
                <w14:textFill>
                  <w14:solidFill>
                    <w14:schemeClr w14:val="tx1"/>
                  </w14:solidFill>
                </w14:textFill>
              </w:rPr>
              <w:t>6</w:t>
            </w:r>
            <w:r>
              <w:rPr>
                <w:rFonts w:ascii="Times New Roman" w:hAnsi="Times New Roman"/>
                <w:color w:val="000000" w:themeColor="text1"/>
                <w:szCs w:val="24"/>
                <w14:textFill>
                  <w14:solidFill>
                    <w14:schemeClr w14:val="tx1"/>
                  </w14:solidFill>
                </w14:textFill>
              </w:rPr>
              <w:t>+酶→2C</w:t>
            </w:r>
            <w:r>
              <w:rPr>
                <w:rFonts w:ascii="Times New Roman" w:hAnsi="Times New Roman"/>
                <w:color w:val="000000" w:themeColor="text1"/>
                <w:szCs w:val="24"/>
                <w:vertAlign w:val="subscript"/>
                <w14:textFill>
                  <w14:solidFill>
                    <w14:schemeClr w14:val="tx1"/>
                  </w14:solidFill>
                </w14:textFill>
              </w:rPr>
              <w:t>2</w:t>
            </w:r>
            <w:r>
              <w:rPr>
                <w:rFonts w:ascii="Times New Roman" w:hAnsi="Times New Roman"/>
                <w:color w:val="000000" w:themeColor="text1"/>
                <w:szCs w:val="24"/>
                <w14:textFill>
                  <w14:solidFill>
                    <w14:schemeClr w14:val="tx1"/>
                  </w14:solidFill>
                </w14:textFill>
              </w:rPr>
              <w:t>H</w:t>
            </w:r>
            <w:r>
              <w:rPr>
                <w:rFonts w:ascii="Times New Roman" w:hAnsi="Times New Roman"/>
                <w:color w:val="000000" w:themeColor="text1"/>
                <w:szCs w:val="24"/>
                <w:vertAlign w:val="subscript"/>
                <w14:textFill>
                  <w14:solidFill>
                    <w14:schemeClr w14:val="tx1"/>
                  </w14:solidFill>
                </w14:textFill>
              </w:rPr>
              <w:t>5</w:t>
            </w:r>
            <w:r>
              <w:rPr>
                <w:rFonts w:ascii="Times New Roman" w:hAnsi="Times New Roman"/>
                <w:color w:val="000000" w:themeColor="text1"/>
                <w:szCs w:val="24"/>
                <w14:textFill>
                  <w14:solidFill>
                    <w14:schemeClr w14:val="tx1"/>
                  </w14:solidFill>
                </w14:textFill>
              </w:rPr>
              <w:t>OH+2CO</w:t>
            </w:r>
            <w:r>
              <w:rPr>
                <w:rFonts w:ascii="Times New Roman" w:hAnsi="Times New Roman"/>
                <w:color w:val="000000" w:themeColor="text1"/>
                <w:szCs w:val="24"/>
                <w:vertAlign w:val="subscript"/>
                <w14:textFill>
                  <w14:solidFill>
                    <w14:schemeClr w14:val="tx1"/>
                  </w14:solidFill>
                </w14:textFill>
              </w:rPr>
              <w:t>2</w:t>
            </w:r>
            <w:r>
              <w:rPr>
                <w:rFonts w:hint="eastAsia" w:ascii="Times New Roman" w:hAnsi="Times New Roman"/>
                <w:color w:val="000000" w:themeColor="text1"/>
                <w:kern w:val="52"/>
                <w:szCs w:val="24"/>
                <w14:textFill>
                  <w14:solidFill>
                    <w14:schemeClr w14:val="tx1"/>
                  </w14:solidFill>
                </w14:textFill>
              </w:rPr>
              <w:t>），每产生46g纯酒精的同时产生44g二氧化碳。本项目封坛发酵车间产生的黄酒</w:t>
            </w:r>
            <w:r>
              <w:rPr>
                <w:rFonts w:hint="eastAsia" w:ascii="Times New Roman" w:hAnsi="Times New Roman"/>
                <w:color w:val="000000" w:themeColor="text1"/>
                <w:szCs w:val="24"/>
                <w14:textFill>
                  <w14:solidFill>
                    <w14:schemeClr w14:val="tx1"/>
                  </w14:solidFill>
                </w14:textFill>
              </w:rPr>
              <w:t>基酒</w:t>
            </w:r>
            <w:r>
              <w:rPr>
                <w:rFonts w:hint="eastAsia" w:ascii="Times New Roman" w:hAnsi="Times New Roman"/>
                <w:color w:val="000000" w:themeColor="text1"/>
                <w:kern w:val="52"/>
                <w:szCs w:val="24"/>
                <w14:textFill>
                  <w14:solidFill>
                    <w14:schemeClr w14:val="tx1"/>
                  </w14:solidFill>
                </w14:textFill>
              </w:rPr>
              <w:t>年产量为63.721t，度数为20度，计算可得纯酒精含量为5.166t/a，则二氧化碳产生量约为4.941t/a。</w:t>
            </w:r>
          </w:p>
          <w:p w14:paraId="6839CEF4">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1.1.5、</w:t>
            </w:r>
            <w:r>
              <w:rPr>
                <w:rFonts w:ascii="Times New Roman" w:hAnsi="Times New Roman"/>
                <w:color w:val="000000" w:themeColor="text1"/>
                <w:kern w:val="52"/>
                <w:szCs w:val="24"/>
                <w14:textFill>
                  <w14:solidFill>
                    <w14:schemeClr w14:val="tx1"/>
                  </w14:solidFill>
                </w14:textFill>
              </w:rPr>
              <w:t>1#二类器械车间</w:t>
            </w:r>
            <w:r>
              <w:rPr>
                <w:rFonts w:hint="eastAsia" w:ascii="Times New Roman" w:hAnsi="Times New Roman"/>
                <w:color w:val="000000" w:themeColor="text1"/>
                <w:kern w:val="52"/>
                <w:szCs w:val="24"/>
                <w14:textFill>
                  <w14:solidFill>
                    <w14:schemeClr w14:val="tx1"/>
                  </w14:solidFill>
                </w14:textFill>
              </w:rPr>
              <w:t>废气</w:t>
            </w:r>
          </w:p>
          <w:p w14:paraId="46E25FB2">
            <w:pPr>
              <w:adjustRightInd w:val="0"/>
              <w:snapToGrid w:val="0"/>
              <w:spacing w:line="360" w:lineRule="auto"/>
              <w:ind w:firstLine="480" w:firstLineChars="200"/>
              <w:rPr>
                <w:color w:val="000000" w:themeColor="text1"/>
                <w:kern w:val="0"/>
                <w14:textFill>
                  <w14:solidFill>
                    <w14:schemeClr w14:val="tx1"/>
                  </w14:solidFill>
                </w14:textFill>
              </w:rPr>
            </w:pPr>
            <w:r>
              <w:rPr>
                <w:rFonts w:hint="eastAsia"/>
                <w:color w:val="000000" w:themeColor="text1"/>
                <w:kern w:val="52"/>
                <w:sz w:val="24"/>
                <w14:textFill>
                  <w14:solidFill>
                    <w14:schemeClr w14:val="tx1"/>
                  </w14:solidFill>
                </w14:textFill>
              </w:rPr>
              <w:t>（1）</w:t>
            </w:r>
            <w:r>
              <w:rPr>
                <w:rFonts w:hint="eastAsia"/>
                <w:bCs/>
                <w:color w:val="000000" w:themeColor="text1"/>
                <w:sz w:val="24"/>
                <w14:textFill>
                  <w14:solidFill>
                    <w14:schemeClr w14:val="tx1"/>
                  </w14:solidFill>
                </w14:textFill>
              </w:rPr>
              <w:t>医用手术衣生产线</w:t>
            </w:r>
            <w:r>
              <w:rPr>
                <w:color w:val="000000" w:themeColor="text1"/>
                <w:kern w:val="0"/>
                <w:sz w:val="24"/>
                <w14:textFill>
                  <w14:solidFill>
                    <w14:schemeClr w14:val="tx1"/>
                  </w14:solidFill>
                </w14:textFill>
              </w:rPr>
              <w:t>超声波</w:t>
            </w:r>
            <w:r>
              <w:rPr>
                <w:rFonts w:hint="eastAsia"/>
                <w:color w:val="000000" w:themeColor="text1"/>
                <w:kern w:val="0"/>
                <w:sz w:val="24"/>
                <w14:textFill>
                  <w14:solidFill>
                    <w14:schemeClr w14:val="tx1"/>
                  </w14:solidFill>
                </w14:textFill>
              </w:rPr>
              <w:t>缝合</w:t>
            </w:r>
            <w:r>
              <w:rPr>
                <w:color w:val="000000" w:themeColor="text1"/>
                <w:kern w:val="0"/>
                <w:sz w:val="24"/>
                <w14:textFill>
                  <w14:solidFill>
                    <w14:schemeClr w14:val="tx1"/>
                  </w14:solidFill>
                </w14:textFill>
              </w:rPr>
              <w:t>废气</w:t>
            </w:r>
          </w:p>
          <w:p w14:paraId="4D346203">
            <w:pPr>
              <w:pStyle w:val="48"/>
              <w:snapToGrid w:val="0"/>
              <w:spacing w:line="360" w:lineRule="auto"/>
              <w:ind w:firstLine="480" w:firstLineChars="200"/>
              <w:jc w:val="both"/>
              <w:rPr>
                <w:rFonts w:ascii="Times New Roman" w:hAnsi="Times New Roman"/>
                <w:color w:val="000000" w:themeColor="text1"/>
                <w:szCs w:val="24"/>
                <w:highlight w:val="yellow"/>
                <w14:textFill>
                  <w14:solidFill>
                    <w14:schemeClr w14:val="tx1"/>
                  </w14:solidFill>
                </w14:textFill>
              </w:rPr>
            </w:pPr>
            <w:r>
              <w:rPr>
                <w:rFonts w:ascii="Times New Roman" w:hAnsi="Times New Roman"/>
                <w:color w:val="000000" w:themeColor="text1"/>
                <w:szCs w:val="24"/>
                <w14:textFill>
                  <w14:solidFill>
                    <w14:schemeClr w14:val="tx1"/>
                  </w14:solidFill>
                </w14:textFill>
              </w:rPr>
              <w:t>本项目</w:t>
            </w:r>
            <w:r>
              <w:rPr>
                <w:rFonts w:hint="eastAsia" w:ascii="Times New Roman" w:hAnsi="Times New Roman"/>
                <w:color w:val="000000" w:themeColor="text1"/>
                <w:szCs w:val="24"/>
                <w14:textFill>
                  <w14:solidFill>
                    <w14:schemeClr w14:val="tx1"/>
                  </w14:solidFill>
                </w14:textFill>
              </w:rPr>
              <w:t>手术衣使用的原料为SMS无纺布，手术衣采用</w:t>
            </w:r>
            <w:r>
              <w:rPr>
                <w:rFonts w:ascii="Times New Roman" w:hAnsi="Times New Roman"/>
                <w:color w:val="000000" w:themeColor="text1"/>
                <w:szCs w:val="24"/>
                <w14:textFill>
                  <w14:solidFill>
                    <w14:schemeClr w14:val="tx1"/>
                  </w14:solidFill>
                </w14:textFill>
              </w:rPr>
              <w:t>超声波焊接的方式</w:t>
            </w:r>
            <w:r>
              <w:rPr>
                <w:rFonts w:hint="eastAsia" w:ascii="Times New Roman" w:hAnsi="Times New Roman"/>
                <w:color w:val="000000" w:themeColor="text1"/>
                <w:szCs w:val="24"/>
                <w14:textFill>
                  <w14:solidFill>
                    <w14:schemeClr w14:val="tx1"/>
                  </w14:solidFill>
                </w14:textFill>
              </w:rPr>
              <w:t>进行合缝，</w:t>
            </w:r>
            <w:r>
              <w:rPr>
                <w:rFonts w:ascii="Times New Roman" w:hAnsi="Times New Roman"/>
                <w:color w:val="000000" w:themeColor="text1"/>
                <w14:textFill>
                  <w14:solidFill>
                    <w14:schemeClr w14:val="tx1"/>
                  </w14:solidFill>
                </w14:textFill>
              </w:rPr>
              <w:t>使SMS无纺布表层纤维（尤其是熔喷层）剧烈摩擦，使其局部温度瞬时升至120-170℃，达到聚丙烯（PP）的熔点</w:t>
            </w:r>
            <w:r>
              <w:rPr>
                <w:rFonts w:hint="eastAsia" w:ascii="Times New Roman" w:hAnsi="Times New Roman"/>
                <w:color w:val="000000" w:themeColor="text1"/>
                <w14:textFill>
                  <w14:solidFill>
                    <w14:schemeClr w14:val="tx1"/>
                  </w14:solidFill>
                </w14:textFill>
              </w:rPr>
              <w:t>，</w:t>
            </w:r>
            <w:r>
              <w:rPr>
                <w:rFonts w:ascii="Times New Roman" w:hAnsi="Times New Roman"/>
                <w:color w:val="000000" w:themeColor="text1"/>
                <w14:textFill>
                  <w14:solidFill>
                    <w14:schemeClr w14:val="tx1"/>
                  </w14:solidFill>
                </w14:textFill>
              </w:rPr>
              <w:t>熔融的纤维在压力作用下相互渗透、缠结，冷却后形成无缝的分子键合</w:t>
            </w:r>
            <w:r>
              <w:rPr>
                <w:rFonts w:hint="eastAsia" w:ascii="Times New Roman" w:hAnsi="Times New Roman"/>
                <w:color w:val="000000" w:themeColor="text1"/>
                <w14:textFill>
                  <w14:solidFill>
                    <w14:schemeClr w14:val="tx1"/>
                  </w14:solidFill>
                </w14:textFill>
              </w:rPr>
              <w:t>；</w:t>
            </w:r>
            <w:r>
              <w:rPr>
                <w:rFonts w:hint="eastAsia" w:ascii="Times New Roman" w:hAnsi="Times New Roman"/>
                <w:color w:val="000000" w:themeColor="text1"/>
                <w:szCs w:val="24"/>
                <w14:textFill>
                  <w14:solidFill>
                    <w14:schemeClr w14:val="tx1"/>
                  </w14:solidFill>
                </w14:textFill>
              </w:rPr>
              <w:t>手术衣</w:t>
            </w:r>
            <w:r>
              <w:rPr>
                <w:rFonts w:ascii="Times New Roman" w:hAnsi="Times New Roman"/>
                <w:color w:val="000000" w:themeColor="text1"/>
                <w:szCs w:val="24"/>
                <w14:textFill>
                  <w14:solidFill>
                    <w14:schemeClr w14:val="tx1"/>
                  </w14:solidFill>
                </w14:textFill>
              </w:rPr>
              <w:t>原料</w:t>
            </w:r>
            <w:r>
              <w:rPr>
                <w:rFonts w:hint="eastAsia" w:ascii="Times New Roman" w:hAnsi="Times New Roman"/>
                <w:color w:val="000000" w:themeColor="text1"/>
                <w:szCs w:val="24"/>
                <w14:textFill>
                  <w14:solidFill>
                    <w14:schemeClr w14:val="tx1"/>
                  </w14:solidFill>
                </w14:textFill>
              </w:rPr>
              <w:t>SMS无纺布</w:t>
            </w:r>
            <w:r>
              <w:rPr>
                <w:rFonts w:ascii="Times New Roman" w:hAnsi="Times New Roman"/>
                <w:color w:val="000000" w:themeColor="text1"/>
                <w:szCs w:val="24"/>
                <w14:textFill>
                  <w14:solidFill>
                    <w14:schemeClr w14:val="tx1"/>
                  </w14:solidFill>
                </w14:textFill>
              </w:rPr>
              <w:t>热分解温度为350℃，因此</w:t>
            </w:r>
            <w:r>
              <w:rPr>
                <w:rFonts w:hint="eastAsia" w:ascii="Times New Roman" w:hAnsi="Times New Roman"/>
                <w:color w:val="000000" w:themeColor="text1"/>
                <w:szCs w:val="24"/>
                <w14:textFill>
                  <w14:solidFill>
                    <w14:schemeClr w14:val="tx1"/>
                  </w14:solidFill>
                </w14:textFill>
              </w:rPr>
              <w:t>超声波</w:t>
            </w:r>
            <w:r>
              <w:rPr>
                <w:rFonts w:ascii="Times New Roman" w:hAnsi="Times New Roman"/>
                <w:color w:val="000000" w:themeColor="text1"/>
                <w:szCs w:val="24"/>
                <w14:textFill>
                  <w14:solidFill>
                    <w14:schemeClr w14:val="tx1"/>
                  </w14:solidFill>
                </w14:textFill>
              </w:rPr>
              <w:t>焊接过程中</w:t>
            </w:r>
            <w:r>
              <w:rPr>
                <w:rFonts w:hint="eastAsia" w:ascii="Times New Roman" w:hAnsi="Times New Roman"/>
                <w:color w:val="000000" w:themeColor="text1"/>
                <w:szCs w:val="24"/>
                <w14:textFill>
                  <w14:solidFill>
                    <w14:schemeClr w14:val="tx1"/>
                  </w14:solidFill>
                </w14:textFill>
              </w:rPr>
              <w:t>面料</w:t>
            </w:r>
            <w:r>
              <w:rPr>
                <w:rFonts w:ascii="Times New Roman" w:hAnsi="Times New Roman"/>
                <w:color w:val="000000" w:themeColor="text1"/>
                <w:szCs w:val="24"/>
                <w14:textFill>
                  <w14:solidFill>
                    <w14:schemeClr w14:val="tx1"/>
                  </w14:solidFill>
                </w14:textFill>
              </w:rPr>
              <w:t>基本不分解，但</w:t>
            </w:r>
            <w:r>
              <w:rPr>
                <w:rFonts w:hint="eastAsia" w:ascii="Times New Roman" w:hAnsi="Times New Roman"/>
                <w:color w:val="000000" w:themeColor="text1"/>
                <w:szCs w:val="24"/>
                <w14:textFill>
                  <w14:solidFill>
                    <w14:schemeClr w14:val="tx1"/>
                  </w14:solidFill>
                </w14:textFill>
              </w:rPr>
              <w:t>面料</w:t>
            </w:r>
            <w:r>
              <w:rPr>
                <w:rFonts w:ascii="Times New Roman" w:hAnsi="Times New Roman"/>
                <w:color w:val="000000" w:themeColor="text1"/>
                <w:szCs w:val="24"/>
                <w14:textFill>
                  <w14:solidFill>
                    <w14:schemeClr w14:val="tx1"/>
                  </w14:solidFill>
                </w14:textFill>
              </w:rPr>
              <w:t>中有少量未聚合的单体在高温下会有部分挥发出来，产生有机废气，以非甲烷总烃计。本项目需</w:t>
            </w:r>
            <w:r>
              <w:rPr>
                <w:rFonts w:hint="eastAsia"/>
                <w:color w:val="000000" w:themeColor="text1"/>
                <w:szCs w:val="24"/>
                <w14:textFill>
                  <w14:solidFill>
                    <w14:schemeClr w14:val="tx1"/>
                  </w14:solidFill>
                </w14:textFill>
              </w:rPr>
              <w:t>进行</w:t>
            </w:r>
            <w:r>
              <w:rPr>
                <w:rFonts w:ascii="Times New Roman" w:hAnsi="Times New Roman"/>
                <w:color w:val="000000" w:themeColor="text1"/>
                <w:szCs w:val="24"/>
                <w14:textFill>
                  <w14:solidFill>
                    <w14:schemeClr w14:val="tx1"/>
                  </w14:solidFill>
                </w14:textFill>
              </w:rPr>
              <w:t>焊接的</w:t>
            </w:r>
            <w:r>
              <w:rPr>
                <w:rFonts w:hint="eastAsia" w:ascii="Times New Roman" w:hAnsi="Times New Roman"/>
                <w:color w:val="000000" w:themeColor="text1"/>
                <w:szCs w:val="24"/>
                <w14:textFill>
                  <w14:solidFill>
                    <w14:schemeClr w14:val="tx1"/>
                  </w14:solidFill>
                </w14:textFill>
              </w:rPr>
              <w:t>手术衣</w:t>
            </w:r>
            <w:r>
              <w:rPr>
                <w:rFonts w:ascii="Times New Roman" w:hAnsi="Times New Roman"/>
                <w:color w:val="000000" w:themeColor="text1"/>
                <w:szCs w:val="24"/>
                <w14:textFill>
                  <w14:solidFill>
                    <w14:schemeClr w14:val="tx1"/>
                  </w14:solidFill>
                </w14:textFill>
              </w:rPr>
              <w:t>量为</w:t>
            </w:r>
            <w:r>
              <w:rPr>
                <w:rFonts w:hint="eastAsia" w:ascii="Times New Roman" w:hAnsi="Times New Roman"/>
                <w:color w:val="000000" w:themeColor="text1"/>
                <w:szCs w:val="24"/>
                <w14:textFill>
                  <w14:solidFill>
                    <w14:schemeClr w14:val="tx1"/>
                  </w14:solidFill>
                </w14:textFill>
              </w:rPr>
              <w:t>20</w:t>
            </w:r>
            <w:r>
              <w:rPr>
                <w:rFonts w:ascii="Times New Roman" w:hAnsi="Times New Roman"/>
                <w:color w:val="000000" w:themeColor="text1"/>
                <w:szCs w:val="24"/>
                <w14:textFill>
                  <w14:solidFill>
                    <w14:schemeClr w14:val="tx1"/>
                  </w14:solidFill>
                </w14:textFill>
              </w:rPr>
              <w:t>万</w:t>
            </w:r>
            <w:r>
              <w:rPr>
                <w:rFonts w:hint="eastAsia" w:ascii="Times New Roman" w:hAnsi="Times New Roman"/>
                <w:color w:val="000000" w:themeColor="text1"/>
                <w:szCs w:val="24"/>
                <w14:textFill>
                  <w14:solidFill>
                    <w14:schemeClr w14:val="tx1"/>
                  </w14:solidFill>
                </w14:textFill>
              </w:rPr>
              <w:t>件</w:t>
            </w:r>
            <w:r>
              <w:rPr>
                <w:rFonts w:ascii="Times New Roman" w:hAnsi="Times New Roman"/>
                <w:color w:val="000000" w:themeColor="text1"/>
                <w:szCs w:val="24"/>
                <w14:textFill>
                  <w14:solidFill>
                    <w14:schemeClr w14:val="tx1"/>
                  </w14:solidFill>
                </w14:textFill>
              </w:rPr>
              <w:t>/a，</w:t>
            </w:r>
            <w:r>
              <w:rPr>
                <w:rFonts w:hint="eastAsia" w:ascii="Times New Roman" w:hAnsi="Times New Roman"/>
                <w:color w:val="000000" w:themeColor="text1"/>
                <w:szCs w:val="24"/>
                <w14:textFill>
                  <w14:solidFill>
                    <w14:schemeClr w14:val="tx1"/>
                  </w14:solidFill>
                </w14:textFill>
              </w:rPr>
              <w:t>使用无纺布面料50t</w:t>
            </w:r>
            <w:r>
              <w:rPr>
                <w:rFonts w:ascii="Times New Roman" w:hAnsi="Times New Roman"/>
                <w:color w:val="000000" w:themeColor="text1"/>
                <w:szCs w:val="24"/>
                <w14:textFill>
                  <w14:solidFill>
                    <w14:schemeClr w14:val="tx1"/>
                  </w14:solidFill>
                </w14:textFill>
              </w:rPr>
              <w:t>/a。超声波焊接部分占</w:t>
            </w:r>
            <w:r>
              <w:rPr>
                <w:rFonts w:hint="eastAsia" w:ascii="Times New Roman" w:hAnsi="Times New Roman"/>
                <w:color w:val="000000" w:themeColor="text1"/>
                <w:szCs w:val="24"/>
                <w14:textFill>
                  <w14:solidFill>
                    <w14:schemeClr w14:val="tx1"/>
                  </w14:solidFill>
                </w14:textFill>
              </w:rPr>
              <w:t>手术衣面料</w:t>
            </w:r>
            <w:r>
              <w:rPr>
                <w:rFonts w:ascii="Times New Roman" w:hAnsi="Times New Roman"/>
                <w:color w:val="000000" w:themeColor="text1"/>
                <w:szCs w:val="24"/>
                <w14:textFill>
                  <w14:solidFill>
                    <w14:schemeClr w14:val="tx1"/>
                  </w14:solidFill>
                </w14:textFill>
              </w:rPr>
              <w:t>面积的</w:t>
            </w:r>
            <w:r>
              <w:rPr>
                <w:rFonts w:hint="eastAsia" w:ascii="Times New Roman" w:hAnsi="Times New Roman"/>
                <w:color w:val="000000" w:themeColor="text1"/>
                <w:szCs w:val="24"/>
                <w14:textFill>
                  <w14:solidFill>
                    <w14:schemeClr w14:val="tx1"/>
                  </w14:solidFill>
                </w14:textFill>
              </w:rPr>
              <w:t>5</w:t>
            </w:r>
            <w:r>
              <w:rPr>
                <w:rFonts w:ascii="Times New Roman" w:hAnsi="Times New Roman"/>
                <w:color w:val="000000" w:themeColor="text1"/>
                <w:szCs w:val="24"/>
                <w14:textFill>
                  <w14:solidFill>
                    <w14:schemeClr w14:val="tx1"/>
                  </w14:solidFill>
                </w14:textFill>
              </w:rPr>
              <w:t>%，约</w:t>
            </w:r>
            <w:r>
              <w:rPr>
                <w:rFonts w:hint="eastAsia" w:ascii="Times New Roman" w:hAnsi="Times New Roman"/>
                <w:color w:val="000000" w:themeColor="text1"/>
                <w:szCs w:val="24"/>
                <w14:textFill>
                  <w14:solidFill>
                    <w14:schemeClr w14:val="tx1"/>
                  </w14:solidFill>
                </w14:textFill>
              </w:rPr>
              <w:t>2.5</w:t>
            </w:r>
            <w:r>
              <w:rPr>
                <w:rFonts w:ascii="Times New Roman" w:hAnsi="Times New Roman"/>
                <w:color w:val="000000" w:themeColor="text1"/>
                <w:szCs w:val="24"/>
                <w14:textFill>
                  <w14:solidFill>
                    <w14:schemeClr w14:val="tx1"/>
                  </w14:solidFill>
                </w14:textFill>
              </w:rPr>
              <w:t>t/a。</w:t>
            </w:r>
            <w:r>
              <w:rPr>
                <w:rFonts w:hint="eastAsia" w:ascii="Times New Roman" w:hAnsi="Times New Roman"/>
                <w:color w:val="000000" w:themeColor="text1"/>
                <w:szCs w:val="24"/>
                <w14:textFill>
                  <w14:solidFill>
                    <w14:schemeClr w14:val="tx1"/>
                  </w14:solidFill>
                </w14:textFill>
              </w:rPr>
              <w:t>根据《空气污染物排放和控制手册》（美国国家环保局），在无控制措施时，非甲烷总烃的排放系数为0.35kg/t-原料，</w:t>
            </w:r>
            <w:r>
              <w:rPr>
                <w:rFonts w:ascii="Times New Roman" w:hAnsi="Times New Roman"/>
                <w:color w:val="000000" w:themeColor="text1"/>
                <w:szCs w:val="24"/>
                <w14:textFill>
                  <w14:solidFill>
                    <w14:schemeClr w14:val="tx1"/>
                  </w14:solidFill>
                </w14:textFill>
              </w:rPr>
              <w:t>则进行超声波焊接时VOCs</w:t>
            </w:r>
            <w:r>
              <w:rPr>
                <w:rFonts w:hint="eastAsia"/>
                <w:color w:val="000000" w:themeColor="text1"/>
                <w:szCs w:val="24"/>
                <w14:textFill>
                  <w14:solidFill>
                    <w14:schemeClr w14:val="tx1"/>
                  </w14:solidFill>
                </w14:textFill>
              </w:rPr>
              <w:t>（</w:t>
            </w:r>
            <w:r>
              <w:rPr>
                <w:rFonts w:ascii="Times New Roman" w:hAnsi="Times New Roman"/>
                <w:color w:val="000000" w:themeColor="text1"/>
                <w:szCs w:val="24"/>
                <w14:textFill>
                  <w14:solidFill>
                    <w14:schemeClr w14:val="tx1"/>
                  </w14:solidFill>
                </w14:textFill>
              </w:rPr>
              <w:t>以非甲烷总烃计</w:t>
            </w:r>
            <w:r>
              <w:rPr>
                <w:rFonts w:hint="eastAsia"/>
                <w:color w:val="000000" w:themeColor="text1"/>
                <w:szCs w:val="24"/>
                <w14:textFill>
                  <w14:solidFill>
                    <w14:schemeClr w14:val="tx1"/>
                  </w14:solidFill>
                </w14:textFill>
              </w:rPr>
              <w:t>）</w:t>
            </w:r>
            <w:r>
              <w:rPr>
                <w:rFonts w:ascii="Times New Roman" w:hAnsi="Times New Roman"/>
                <w:color w:val="000000" w:themeColor="text1"/>
                <w:szCs w:val="24"/>
                <w14:textFill>
                  <w14:solidFill>
                    <w14:schemeClr w14:val="tx1"/>
                  </w14:solidFill>
                </w14:textFill>
              </w:rPr>
              <w:t>产生量为</w:t>
            </w:r>
            <w:r>
              <w:rPr>
                <w:rFonts w:hint="eastAsia" w:ascii="Times New Roman" w:hAnsi="Times New Roman"/>
                <w:color w:val="000000" w:themeColor="text1"/>
                <w:szCs w:val="24"/>
                <w14:textFill>
                  <w14:solidFill>
                    <w14:schemeClr w14:val="tx1"/>
                  </w14:solidFill>
                </w14:textFill>
              </w:rPr>
              <w:t>0.875</w:t>
            </w:r>
            <w:r>
              <w:rPr>
                <w:rFonts w:ascii="Times New Roman" w:hAnsi="Times New Roman"/>
                <w:color w:val="000000" w:themeColor="text1"/>
                <w:szCs w:val="24"/>
                <w14:textFill>
                  <w14:solidFill>
                    <w14:schemeClr w14:val="tx1"/>
                  </w14:solidFill>
                </w14:textFill>
              </w:rPr>
              <w:t>kg/a。</w:t>
            </w:r>
          </w:p>
          <w:p w14:paraId="5D5401B4">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本项目超声波缝合作业过程均在洁净厂房内进行，超声波缝合工序年运行时间为400h，超声波缝合散发的非甲烷总烃量为</w:t>
            </w:r>
            <w:r>
              <w:rPr>
                <w:rFonts w:hint="eastAsia"/>
                <w:color w:val="000000" w:themeColor="text1"/>
                <w:sz w:val="24"/>
                <w14:textFill>
                  <w14:solidFill>
                    <w14:schemeClr w14:val="tx1"/>
                  </w14:solidFill>
                </w14:textFill>
              </w:rPr>
              <w:t>0.875</w:t>
            </w:r>
            <w:r>
              <w:rPr>
                <w:rFonts w:hint="eastAsia"/>
                <w:bCs/>
                <w:color w:val="000000" w:themeColor="text1"/>
                <w:sz w:val="24"/>
                <w14:textFill>
                  <w14:solidFill>
                    <w14:schemeClr w14:val="tx1"/>
                  </w14:solidFill>
                </w14:textFill>
              </w:rPr>
              <w:t>kg/a（0.002kg/h），</w:t>
            </w: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生产车间生产区</w:t>
            </w:r>
            <w:r>
              <w:rPr>
                <w:color w:val="000000" w:themeColor="text1"/>
                <w:sz w:val="24"/>
                <w14:textFill>
                  <w14:solidFill>
                    <w14:schemeClr w14:val="tx1"/>
                  </w14:solidFill>
                </w14:textFill>
              </w:rPr>
              <w:t>设置为10万级洁净区，车间产生的废气经循环净风（采用三级过滤器+活性炭吸附装置）净化后循环利用，不外排</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使车间空气中尘埃粒子数及指标完全控制在设计标准范围内。</w:t>
            </w:r>
          </w:p>
          <w:p w14:paraId="2273C316">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kern w:val="52"/>
                <w:sz w:val="24"/>
                <w14:textFill>
                  <w14:solidFill>
                    <w14:schemeClr w14:val="tx1"/>
                  </w14:solidFill>
                </w14:textFill>
              </w:rPr>
              <w:t>（2）</w:t>
            </w:r>
            <w:r>
              <w:rPr>
                <w:rFonts w:hint="eastAsia"/>
                <w:color w:val="000000" w:themeColor="text1"/>
                <w:sz w:val="24"/>
                <w14:textFill>
                  <w14:solidFill>
                    <w14:schemeClr w14:val="tx1"/>
                  </w14:solidFill>
                </w14:textFill>
              </w:rPr>
              <w:t>治疗凝胶生产线乳化工序废气</w:t>
            </w:r>
          </w:p>
          <w:p w14:paraId="6F5913C3">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评价对项目治疗凝胶生产线原辅材料进行了VOCs物料识别，识别结果如下：</w:t>
            </w:r>
          </w:p>
          <w:p w14:paraId="48F808C9">
            <w:pPr>
              <w:widowControl/>
              <w:spacing w:line="360" w:lineRule="auto"/>
              <w:jc w:val="center"/>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表4-1  VOCs物料识别情况表</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71"/>
              <w:gridCol w:w="2131"/>
              <w:gridCol w:w="1375"/>
              <w:gridCol w:w="3542"/>
              <w:gridCol w:w="1520"/>
            </w:tblGrid>
            <w:tr w14:paraId="3F9A797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63" w:type="pct"/>
                  <w:tcBorders>
                    <w:bottom w:val="single" w:color="auto" w:sz="6" w:space="0"/>
                  </w:tcBorders>
                  <w:vAlign w:val="center"/>
                </w:tcPr>
                <w:p w14:paraId="01FB453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153" w:type="pct"/>
                  <w:tcBorders>
                    <w:bottom w:val="single" w:color="auto" w:sz="6" w:space="0"/>
                  </w:tcBorders>
                  <w:vAlign w:val="center"/>
                </w:tcPr>
                <w:p w14:paraId="3E1DB70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名称</w:t>
                  </w:r>
                </w:p>
              </w:tc>
              <w:tc>
                <w:tcPr>
                  <w:tcW w:w="744" w:type="pct"/>
                  <w:tcBorders>
                    <w:bottom w:val="single" w:color="auto" w:sz="6" w:space="0"/>
                  </w:tcBorders>
                  <w:vAlign w:val="center"/>
                </w:tcPr>
                <w:p w14:paraId="4D6D186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物态</w:t>
                  </w:r>
                </w:p>
              </w:tc>
              <w:tc>
                <w:tcPr>
                  <w:tcW w:w="1916" w:type="pct"/>
                  <w:tcBorders>
                    <w:bottom w:val="single" w:color="auto" w:sz="6" w:space="0"/>
                  </w:tcBorders>
                  <w:vAlign w:val="center"/>
                </w:tcPr>
                <w:p w14:paraId="46FA7D3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沸点≤250℃（常压下）</w:t>
                  </w:r>
                </w:p>
                <w:p w14:paraId="58753C7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或蒸气压≥10Pa（20℃）</w:t>
                  </w:r>
                </w:p>
              </w:tc>
              <w:tc>
                <w:tcPr>
                  <w:tcW w:w="822" w:type="pct"/>
                  <w:tcBorders>
                    <w:bottom w:val="single" w:color="auto" w:sz="6" w:space="0"/>
                  </w:tcBorders>
                  <w:vAlign w:val="center"/>
                </w:tcPr>
                <w:p w14:paraId="7CFA9DD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是否为VOCs物料</w:t>
                  </w:r>
                </w:p>
              </w:tc>
            </w:tr>
            <w:tr w14:paraId="4554DF4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63" w:type="pct"/>
                  <w:tcBorders>
                    <w:top w:val="single" w:color="auto" w:sz="6" w:space="0"/>
                    <w:bottom w:val="single" w:color="auto" w:sz="6" w:space="0"/>
                    <w:right w:val="single" w:color="auto" w:sz="6" w:space="0"/>
                  </w:tcBorders>
                  <w:vAlign w:val="center"/>
                </w:tcPr>
                <w:p w14:paraId="640AB1D6">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w:t>
                  </w:r>
                </w:p>
              </w:tc>
              <w:tc>
                <w:tcPr>
                  <w:tcW w:w="1153" w:type="pct"/>
                  <w:tcBorders>
                    <w:top w:val="single" w:color="auto" w:sz="6" w:space="0"/>
                    <w:left w:val="single" w:color="auto" w:sz="6" w:space="0"/>
                    <w:bottom w:val="single" w:color="auto" w:sz="6" w:space="0"/>
                    <w:right w:val="single" w:color="auto" w:sz="6" w:space="0"/>
                  </w:tcBorders>
                  <w:shd w:val="clear" w:color="auto" w:fill="auto"/>
                  <w:vAlign w:val="center"/>
                </w:tcPr>
                <w:p w14:paraId="558D274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卡波姆</w:t>
                  </w:r>
                </w:p>
              </w:tc>
              <w:tc>
                <w:tcPr>
                  <w:tcW w:w="744" w:type="pct"/>
                  <w:tcBorders>
                    <w:top w:val="single" w:color="auto" w:sz="6" w:space="0"/>
                    <w:left w:val="single" w:color="auto" w:sz="6" w:space="0"/>
                    <w:bottom w:val="single" w:color="auto" w:sz="6" w:space="0"/>
                    <w:right w:val="single" w:color="auto" w:sz="6" w:space="0"/>
                  </w:tcBorders>
                  <w:shd w:val="clear" w:color="auto" w:fill="auto"/>
                  <w:vAlign w:val="center"/>
                </w:tcPr>
                <w:p w14:paraId="1A7A463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固态</w:t>
                  </w:r>
                </w:p>
              </w:tc>
              <w:tc>
                <w:tcPr>
                  <w:tcW w:w="1916" w:type="pct"/>
                  <w:tcBorders>
                    <w:top w:val="single" w:color="auto" w:sz="6" w:space="0"/>
                    <w:left w:val="single" w:color="auto" w:sz="6" w:space="0"/>
                    <w:bottom w:val="single" w:color="auto" w:sz="6" w:space="0"/>
                    <w:right w:val="single" w:color="auto" w:sz="6" w:space="0"/>
                  </w:tcBorders>
                  <w:shd w:val="clear" w:color="auto" w:fill="auto"/>
                  <w:vAlign w:val="center"/>
                </w:tcPr>
                <w:p w14:paraId="3B0F7A8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沸点141ºC，有机聚合物</w:t>
                  </w:r>
                </w:p>
              </w:tc>
              <w:tc>
                <w:tcPr>
                  <w:tcW w:w="822" w:type="pct"/>
                  <w:tcBorders>
                    <w:top w:val="single" w:color="auto" w:sz="6" w:space="0"/>
                    <w:left w:val="single" w:color="auto" w:sz="6" w:space="0"/>
                    <w:bottom w:val="single" w:color="auto" w:sz="6" w:space="0"/>
                    <w:right w:val="single" w:color="auto" w:sz="6" w:space="0"/>
                  </w:tcBorders>
                  <w:shd w:val="clear" w:color="auto" w:fill="auto"/>
                  <w:vAlign w:val="center"/>
                </w:tcPr>
                <w:p w14:paraId="1718D21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r w14:paraId="1222FB1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63" w:type="pct"/>
                  <w:tcBorders>
                    <w:top w:val="single" w:color="auto" w:sz="6" w:space="0"/>
                    <w:bottom w:val="single" w:color="auto" w:sz="6" w:space="0"/>
                    <w:right w:val="single" w:color="auto" w:sz="6" w:space="0"/>
                  </w:tcBorders>
                  <w:vAlign w:val="center"/>
                </w:tcPr>
                <w:p w14:paraId="79F71A59">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2</w:t>
                  </w:r>
                </w:p>
              </w:tc>
              <w:tc>
                <w:tcPr>
                  <w:tcW w:w="1153" w:type="pct"/>
                  <w:tcBorders>
                    <w:top w:val="single" w:color="auto" w:sz="6" w:space="0"/>
                    <w:left w:val="single" w:color="auto" w:sz="6" w:space="0"/>
                    <w:bottom w:val="single" w:color="auto" w:sz="6" w:space="0"/>
                    <w:right w:val="single" w:color="auto" w:sz="6" w:space="0"/>
                  </w:tcBorders>
                  <w:vAlign w:val="center"/>
                </w:tcPr>
                <w:p w14:paraId="350D047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壳聚糖</w:t>
                  </w:r>
                </w:p>
              </w:tc>
              <w:tc>
                <w:tcPr>
                  <w:tcW w:w="744" w:type="pct"/>
                  <w:tcBorders>
                    <w:top w:val="single" w:color="auto" w:sz="6" w:space="0"/>
                    <w:left w:val="single" w:color="auto" w:sz="6" w:space="0"/>
                    <w:bottom w:val="single" w:color="auto" w:sz="6" w:space="0"/>
                    <w:right w:val="single" w:color="auto" w:sz="6" w:space="0"/>
                  </w:tcBorders>
                  <w:vAlign w:val="center"/>
                </w:tcPr>
                <w:p w14:paraId="5404A83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固态</w:t>
                  </w:r>
                </w:p>
              </w:tc>
              <w:tc>
                <w:tcPr>
                  <w:tcW w:w="1916" w:type="pct"/>
                  <w:tcBorders>
                    <w:top w:val="single" w:color="auto" w:sz="6" w:space="0"/>
                    <w:left w:val="single" w:color="auto" w:sz="6" w:space="0"/>
                    <w:bottom w:val="single" w:color="auto" w:sz="6" w:space="0"/>
                    <w:right w:val="single" w:color="auto" w:sz="6" w:space="0"/>
                  </w:tcBorders>
                  <w:vAlign w:val="center"/>
                </w:tcPr>
                <w:p w14:paraId="6976D4A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沸点</w:t>
                  </w:r>
                  <w:r>
                    <w:rPr>
                      <w:rFonts w:hint="eastAsia"/>
                      <w:color w:val="000000" w:themeColor="text1"/>
                      <w:szCs w:val="21"/>
                      <w14:textFill>
                        <w14:solidFill>
                          <w14:schemeClr w14:val="tx1"/>
                        </w14:solidFill>
                      </w14:textFill>
                    </w:rPr>
                    <w:t>280</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300</w:t>
                  </w:r>
                  <w:r>
                    <w:rPr>
                      <w:color w:val="000000" w:themeColor="text1"/>
                      <w:szCs w:val="21"/>
                      <w14:textFill>
                        <w14:solidFill>
                          <w14:schemeClr w14:val="tx1"/>
                        </w14:solidFill>
                      </w14:textFill>
                    </w:rPr>
                    <w:t>°C</w:t>
                  </w:r>
                </w:p>
              </w:tc>
              <w:tc>
                <w:tcPr>
                  <w:tcW w:w="822" w:type="pct"/>
                  <w:tcBorders>
                    <w:top w:val="single" w:color="auto" w:sz="6" w:space="0"/>
                    <w:left w:val="single" w:color="auto" w:sz="6" w:space="0"/>
                    <w:bottom w:val="single" w:color="auto" w:sz="6" w:space="0"/>
                    <w:right w:val="single" w:color="auto" w:sz="6" w:space="0"/>
                  </w:tcBorders>
                  <w:vAlign w:val="center"/>
                </w:tcPr>
                <w:p w14:paraId="5FEB87D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否</w:t>
                  </w:r>
                </w:p>
              </w:tc>
            </w:tr>
            <w:tr w14:paraId="2845568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363" w:type="pct"/>
                  <w:tcBorders>
                    <w:top w:val="single" w:color="auto" w:sz="6" w:space="0"/>
                    <w:bottom w:val="single" w:color="auto" w:sz="6" w:space="0"/>
                    <w:right w:val="single" w:color="auto" w:sz="6" w:space="0"/>
                  </w:tcBorders>
                  <w:vAlign w:val="center"/>
                </w:tcPr>
                <w:p w14:paraId="2F39DCD7">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3</w:t>
                  </w:r>
                </w:p>
              </w:tc>
              <w:tc>
                <w:tcPr>
                  <w:tcW w:w="1153" w:type="pct"/>
                  <w:tcBorders>
                    <w:top w:val="single" w:color="auto" w:sz="6" w:space="0"/>
                    <w:left w:val="single" w:color="auto" w:sz="6" w:space="0"/>
                    <w:bottom w:val="single" w:color="auto" w:sz="6" w:space="0"/>
                    <w:right w:val="single" w:color="auto" w:sz="6" w:space="0"/>
                  </w:tcBorders>
                  <w:vAlign w:val="center"/>
                </w:tcPr>
                <w:p w14:paraId="483420C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薄荷醇溶液</w:t>
                  </w:r>
                </w:p>
              </w:tc>
              <w:tc>
                <w:tcPr>
                  <w:tcW w:w="744" w:type="pct"/>
                  <w:tcBorders>
                    <w:top w:val="single" w:color="auto" w:sz="6" w:space="0"/>
                    <w:left w:val="single" w:color="auto" w:sz="6" w:space="0"/>
                    <w:bottom w:val="single" w:color="auto" w:sz="6" w:space="0"/>
                    <w:right w:val="single" w:color="auto" w:sz="6" w:space="0"/>
                  </w:tcBorders>
                  <w:vAlign w:val="center"/>
                </w:tcPr>
                <w:p w14:paraId="0FDDFE5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液态</w:t>
                  </w:r>
                </w:p>
              </w:tc>
              <w:tc>
                <w:tcPr>
                  <w:tcW w:w="1916" w:type="pct"/>
                  <w:tcBorders>
                    <w:top w:val="single" w:color="auto" w:sz="6" w:space="0"/>
                    <w:left w:val="single" w:color="auto" w:sz="6" w:space="0"/>
                    <w:bottom w:val="single" w:color="auto" w:sz="6" w:space="0"/>
                    <w:right w:val="single" w:color="auto" w:sz="6" w:space="0"/>
                  </w:tcBorders>
                  <w:vAlign w:val="center"/>
                </w:tcPr>
                <w:p w14:paraId="38259BD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沸点215.4±8.0 °C</w:t>
                  </w:r>
                </w:p>
              </w:tc>
              <w:tc>
                <w:tcPr>
                  <w:tcW w:w="822" w:type="pct"/>
                  <w:tcBorders>
                    <w:top w:val="single" w:color="auto" w:sz="6" w:space="0"/>
                    <w:left w:val="single" w:color="auto" w:sz="6" w:space="0"/>
                    <w:bottom w:val="single" w:color="auto" w:sz="6" w:space="0"/>
                    <w:right w:val="single" w:color="auto" w:sz="6" w:space="0"/>
                  </w:tcBorders>
                  <w:vAlign w:val="center"/>
                </w:tcPr>
                <w:p w14:paraId="10EC8ED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tc>
            </w:tr>
          </w:tbl>
          <w:p w14:paraId="4E1C1166">
            <w:pPr>
              <w:pStyle w:val="53"/>
              <w:ind w:firstLine="480"/>
              <w:rPr>
                <w:color w:val="000000" w:themeColor="text1"/>
                <w14:textFill>
                  <w14:solidFill>
                    <w14:schemeClr w14:val="tx1"/>
                  </w14:solidFill>
                </w14:textFill>
              </w:rPr>
            </w:pPr>
            <w:r>
              <w:rPr>
                <w:rFonts w:hint="eastAsia"/>
                <w:color w:val="000000" w:themeColor="text1"/>
                <w14:textFill>
                  <w14:solidFill>
                    <w14:schemeClr w14:val="tx1"/>
                  </w14:solidFill>
                </w14:textFill>
              </w:rPr>
              <w:t>由上表可知，项目使用的原辅材料中有部分物料属于VOCs物料，但项目涉及的VOCs物料的沸点均高于本项目正常生产温度，因此正常情况下本项目使用的VOCs物料极难挥发，同时VOCs物料在储存和运输过程均使用性能良好的密封胶桶或包装罐，生产时除加料和出料工序需要开盖，乳化机抽真空及乳化工序设备敞开外，其余时间均是封闭的，整个生产使用过程相对处于密闭状态，在产品灌装工序上采取自动化灌装，灌装停留时间短，同时本项目乳化工序温度不高，搅拌开机时机器内残留产品很少，原辅材料以及产品可挥发的时间短，因此产生的有机废气量较少，其主要产污环节为乳化机抽真空、加热乳化搅拌过程。本项目乳化工序（进出料、抽真空均包含在乳化工序）有机废气产生量参照《上海市工业企业挥发性有机物排放量通用计算方法（试行）》中表1-2化妆品行业VOCs产污系数0.144kg/t-产品进行的物料衡算结果，按最大产能80t/a计，则有机废气VOCs产生量约为0.012t/a。</w:t>
            </w:r>
          </w:p>
          <w:p w14:paraId="3BE335AF">
            <w:pPr>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项目拟在乳化</w:t>
            </w:r>
            <w:r>
              <w:rPr>
                <w:rFonts w:hint="eastAsia"/>
                <w:color w:val="000000" w:themeColor="text1"/>
                <w:kern w:val="0"/>
                <w:sz w:val="24"/>
                <w14:textFill>
                  <w14:solidFill>
                    <w14:schemeClr w14:val="tx1"/>
                  </w14:solidFill>
                </w14:textFill>
              </w:rPr>
              <w:t>机</w:t>
            </w:r>
            <w:r>
              <w:rPr>
                <w:color w:val="000000" w:themeColor="text1"/>
                <w:kern w:val="0"/>
                <w:sz w:val="24"/>
                <w14:textFill>
                  <w14:solidFill>
                    <w14:schemeClr w14:val="tx1"/>
                  </w14:solidFill>
                </w14:textFill>
              </w:rPr>
              <w:t>排气口</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灌装机的排气口设置收集管道收集</w:t>
            </w:r>
            <w:r>
              <w:rPr>
                <w:rFonts w:hint="eastAsia"/>
                <w:color w:val="000000" w:themeColor="text1"/>
                <w:kern w:val="0"/>
                <w:sz w:val="24"/>
                <w14:textFill>
                  <w14:solidFill>
                    <w14:schemeClr w14:val="tx1"/>
                  </w14:solidFill>
                </w14:textFill>
              </w:rPr>
              <w:t>后</w:t>
            </w:r>
            <w:r>
              <w:rPr>
                <w:color w:val="000000" w:themeColor="text1"/>
                <w:kern w:val="0"/>
                <w:sz w:val="24"/>
                <w14:textFill>
                  <w14:solidFill>
                    <w14:schemeClr w14:val="tx1"/>
                  </w14:solidFill>
                </w14:textFill>
              </w:rPr>
              <w:t>上方</w:t>
            </w:r>
            <w:r>
              <w:rPr>
                <w:rFonts w:hint="eastAsia"/>
                <w:color w:val="000000" w:themeColor="text1"/>
                <w:kern w:val="0"/>
                <w:sz w:val="24"/>
                <w14:textFill>
                  <w14:solidFill>
                    <w14:schemeClr w14:val="tx1"/>
                  </w14:solidFill>
                </w14:textFill>
              </w:rPr>
              <w:t>设置1套</w:t>
            </w:r>
            <w:r>
              <w:rPr>
                <w:color w:val="000000" w:themeColor="text1"/>
                <w:kern w:val="0"/>
                <w:sz w:val="24"/>
                <w14:textFill>
                  <w14:solidFill>
                    <w14:schemeClr w14:val="tx1"/>
                  </w14:solidFill>
                </w14:textFill>
              </w:rPr>
              <w:t>集气罩，</w:t>
            </w:r>
            <w:r>
              <w:rPr>
                <w:rFonts w:hint="eastAsia"/>
                <w:color w:val="000000" w:themeColor="text1"/>
                <w:kern w:val="0"/>
                <w:sz w:val="24"/>
                <w14:textFill>
                  <w14:solidFill>
                    <w14:schemeClr w14:val="tx1"/>
                  </w14:solidFill>
                </w14:textFill>
              </w:rPr>
              <w:t>项目乳化工序废气</w:t>
            </w:r>
            <w:r>
              <w:rPr>
                <w:color w:val="000000" w:themeColor="text1"/>
                <w:kern w:val="0"/>
                <w:sz w:val="24"/>
                <w14:textFill>
                  <w14:solidFill>
                    <w14:schemeClr w14:val="tx1"/>
                  </w14:solidFill>
                </w14:textFill>
              </w:rPr>
              <w:t>经集气罩收集后</w:t>
            </w:r>
            <w:r>
              <w:rPr>
                <w:rFonts w:hint="eastAsia"/>
                <w:color w:val="000000" w:themeColor="text1"/>
                <w:kern w:val="0"/>
                <w:sz w:val="24"/>
                <w14:textFill>
                  <w14:solidFill>
                    <w14:schemeClr w14:val="tx1"/>
                  </w14:solidFill>
                </w14:textFill>
              </w:rPr>
              <w:t>引至1套“二级活性炭吸附”（TA005）装置，</w:t>
            </w:r>
            <w:r>
              <w:rPr>
                <w:rFonts w:hint="eastAsia"/>
                <w:color w:val="000000" w:themeColor="text1"/>
                <w:sz w:val="24"/>
                <w14:textFill>
                  <w14:solidFill>
                    <w14:schemeClr w14:val="tx1"/>
                  </w14:solidFill>
                </w14:textFill>
              </w:rPr>
              <w:t>设计风量为1000m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/h，</w:t>
            </w:r>
            <w:r>
              <w:rPr>
                <w:color w:val="000000" w:themeColor="text1"/>
                <w:sz w:val="24"/>
                <w14:textFill>
                  <w14:solidFill>
                    <w14:schemeClr w14:val="tx1"/>
                  </w14:solidFill>
                </w14:textFill>
              </w:rPr>
              <w:t>进行治理，</w:t>
            </w:r>
            <w:r>
              <w:rPr>
                <w:rFonts w:hint="eastAsia"/>
                <w:color w:val="000000" w:themeColor="text1"/>
                <w:sz w:val="24"/>
                <w14:textFill>
                  <w14:solidFill>
                    <w14:schemeClr w14:val="tx1"/>
                  </w14:solidFill>
                </w14:textFill>
              </w:rPr>
              <w:t>处理</w:t>
            </w:r>
            <w:r>
              <w:rPr>
                <w:color w:val="000000" w:themeColor="text1"/>
                <w:sz w:val="24"/>
                <w14:textFill>
                  <w14:solidFill>
                    <w14:schemeClr w14:val="tx1"/>
                  </w14:solidFill>
                </w14:textFill>
              </w:rPr>
              <w:t>后</w:t>
            </w:r>
            <w:r>
              <w:rPr>
                <w:rFonts w:hint="eastAsia"/>
                <w:color w:val="000000" w:themeColor="text1"/>
                <w:sz w:val="24"/>
                <w14:textFill>
                  <w14:solidFill>
                    <w14:schemeClr w14:val="tx1"/>
                  </w14:solidFill>
                </w14:textFill>
              </w:rPr>
              <w:t>废气</w:t>
            </w:r>
            <w:r>
              <w:rPr>
                <w:color w:val="000000" w:themeColor="text1"/>
                <w:sz w:val="24"/>
                <w14:textFill>
                  <w14:solidFill>
                    <w14:schemeClr w14:val="tx1"/>
                  </w14:solidFill>
                </w14:textFill>
              </w:rPr>
              <w:t>通过</w:t>
            </w:r>
            <w:r>
              <w:rPr>
                <w:rFonts w:hint="eastAsia"/>
                <w:color w:val="000000" w:themeColor="text1"/>
                <w:sz w:val="24"/>
                <w14:textFill>
                  <w14:solidFill>
                    <w14:schemeClr w14:val="tx1"/>
                  </w14:solidFill>
                </w14:textFill>
              </w:rPr>
              <w:t>1根15</w:t>
            </w:r>
            <w:r>
              <w:rPr>
                <w:color w:val="000000" w:themeColor="text1"/>
                <w:sz w:val="24"/>
                <w14:textFill>
                  <w14:solidFill>
                    <w14:schemeClr w14:val="tx1"/>
                  </w14:solidFill>
                </w14:textFill>
              </w:rPr>
              <w:t>m高排气筒（DA00</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）排放。</w:t>
            </w:r>
            <w:r>
              <w:rPr>
                <w:color w:val="000000" w:themeColor="text1"/>
                <w:kern w:val="0"/>
                <w:sz w:val="24"/>
                <w14:textFill>
                  <w14:solidFill>
                    <w14:schemeClr w14:val="tx1"/>
                  </w14:solidFill>
                </w14:textFill>
              </w:rPr>
              <w:t>集气罩收集效率以90%计，</w:t>
            </w:r>
            <w:r>
              <w:rPr>
                <w:rFonts w:hint="eastAsia"/>
                <w:color w:val="000000" w:themeColor="text1"/>
                <w:kern w:val="0"/>
                <w:sz w:val="24"/>
                <w14:textFill>
                  <w14:solidFill>
                    <w14:schemeClr w14:val="tx1"/>
                  </w14:solidFill>
                </w14:textFill>
              </w:rPr>
              <w:t>项目乳化工序</w:t>
            </w:r>
            <w:r>
              <w:rPr>
                <w:color w:val="000000" w:themeColor="text1"/>
                <w:kern w:val="0"/>
                <w:sz w:val="24"/>
                <w14:textFill>
                  <w14:solidFill>
                    <w14:schemeClr w14:val="tx1"/>
                  </w14:solidFill>
                </w14:textFill>
              </w:rPr>
              <w:t>年工作时间约为</w:t>
            </w:r>
            <w:r>
              <w:rPr>
                <w:rFonts w:hint="eastAsia"/>
                <w:color w:val="000000" w:themeColor="text1"/>
                <w:kern w:val="0"/>
                <w:sz w:val="24"/>
                <w14:textFill>
                  <w14:solidFill>
                    <w14:schemeClr w14:val="tx1"/>
                  </w14:solidFill>
                </w14:textFill>
              </w:rPr>
              <w:t>1000</w:t>
            </w:r>
            <w:r>
              <w:rPr>
                <w:color w:val="000000" w:themeColor="text1"/>
                <w:kern w:val="0"/>
                <w:sz w:val="24"/>
                <w14:textFill>
                  <w14:solidFill>
                    <w14:schemeClr w14:val="tx1"/>
                  </w14:solidFill>
                </w14:textFill>
              </w:rPr>
              <w:t>h，则</w:t>
            </w:r>
            <w:r>
              <w:rPr>
                <w:rFonts w:hint="eastAsia"/>
                <w:color w:val="000000" w:themeColor="text1"/>
                <w:kern w:val="0"/>
                <w:sz w:val="24"/>
                <w14:textFill>
                  <w14:solidFill>
                    <w14:schemeClr w14:val="tx1"/>
                  </w14:solidFill>
                </w14:textFill>
              </w:rPr>
              <w:t>乳化工序非甲烷总烃</w:t>
            </w:r>
            <w:r>
              <w:rPr>
                <w:color w:val="000000" w:themeColor="text1"/>
                <w:kern w:val="0"/>
                <w:sz w:val="24"/>
                <w14:textFill>
                  <w14:solidFill>
                    <w14:schemeClr w14:val="tx1"/>
                  </w14:solidFill>
                </w14:textFill>
              </w:rPr>
              <w:t>有组织</w:t>
            </w:r>
            <w:r>
              <w:rPr>
                <w:rFonts w:hint="eastAsia"/>
                <w:color w:val="000000" w:themeColor="text1"/>
                <w:kern w:val="0"/>
                <w:sz w:val="24"/>
                <w14:textFill>
                  <w14:solidFill>
                    <w14:schemeClr w14:val="tx1"/>
                  </w14:solidFill>
                </w14:textFill>
              </w:rPr>
              <w:t>产生</w:t>
            </w:r>
            <w:r>
              <w:rPr>
                <w:color w:val="000000" w:themeColor="text1"/>
                <w:kern w:val="0"/>
                <w:sz w:val="24"/>
                <w14:textFill>
                  <w14:solidFill>
                    <w14:schemeClr w14:val="tx1"/>
                  </w14:solidFill>
                </w14:textFill>
              </w:rPr>
              <w:t>量为0.0</w:t>
            </w:r>
            <w:r>
              <w:rPr>
                <w:rFonts w:hint="eastAsia"/>
                <w:color w:val="000000" w:themeColor="text1"/>
                <w:kern w:val="0"/>
                <w:sz w:val="24"/>
                <w14:textFill>
                  <w14:solidFill>
                    <w14:schemeClr w14:val="tx1"/>
                  </w14:solidFill>
                </w14:textFill>
              </w:rPr>
              <w:t>11</w:t>
            </w:r>
            <w:r>
              <w:rPr>
                <w:color w:val="000000" w:themeColor="text1"/>
                <w:kern w:val="0"/>
                <w:sz w:val="24"/>
                <w14:textFill>
                  <w14:solidFill>
                    <w14:schemeClr w14:val="tx1"/>
                  </w14:solidFill>
                </w14:textFill>
              </w:rPr>
              <w:t>t/a，</w:t>
            </w:r>
            <w:r>
              <w:rPr>
                <w:rFonts w:hint="eastAsia"/>
                <w:color w:val="000000" w:themeColor="text1"/>
                <w:kern w:val="0"/>
                <w:sz w:val="24"/>
                <w14:textFill>
                  <w14:solidFill>
                    <w14:schemeClr w14:val="tx1"/>
                  </w14:solidFill>
                </w14:textFill>
              </w:rPr>
              <w:t>产生</w:t>
            </w:r>
            <w:r>
              <w:rPr>
                <w:color w:val="000000" w:themeColor="text1"/>
                <w:kern w:val="0"/>
                <w:sz w:val="24"/>
                <w14:textFill>
                  <w14:solidFill>
                    <w14:schemeClr w14:val="tx1"/>
                  </w14:solidFill>
                </w14:textFill>
              </w:rPr>
              <w:t>速率0.0</w:t>
            </w:r>
            <w:r>
              <w:rPr>
                <w:rFonts w:hint="eastAsia"/>
                <w:color w:val="000000" w:themeColor="text1"/>
                <w:kern w:val="0"/>
                <w:sz w:val="24"/>
                <w14:textFill>
                  <w14:solidFill>
                    <w14:schemeClr w14:val="tx1"/>
                  </w14:solidFill>
                </w14:textFill>
              </w:rPr>
              <w:t>11</w:t>
            </w:r>
            <w:r>
              <w:rPr>
                <w:color w:val="000000" w:themeColor="text1"/>
                <w:kern w:val="0"/>
                <w:sz w:val="24"/>
                <w14:textFill>
                  <w14:solidFill>
                    <w14:schemeClr w14:val="tx1"/>
                  </w14:solidFill>
                </w14:textFill>
              </w:rPr>
              <w:t>kg/h。</w:t>
            </w:r>
          </w:p>
          <w:p w14:paraId="3A6B950D">
            <w:pPr>
              <w:spacing w:line="360" w:lineRule="auto"/>
              <w:ind w:firstLine="480" w:firstLineChars="200"/>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综上所述，本项目</w:t>
            </w:r>
            <w:r>
              <w:rPr>
                <w:rFonts w:hint="eastAsia"/>
                <w:color w:val="000000" w:themeColor="text1"/>
                <w:sz w:val="24"/>
                <w14:textFill>
                  <w14:solidFill>
                    <w14:schemeClr w14:val="tx1"/>
                  </w14:solidFill>
                </w14:textFill>
              </w:rPr>
              <w:t>乳化工序产生的废气经集气罩收集后引至同1套“</w:t>
            </w:r>
            <w:r>
              <w:rPr>
                <w:rFonts w:hint="eastAsia"/>
                <w:color w:val="000000" w:themeColor="text1"/>
                <w:kern w:val="0"/>
                <w:sz w:val="24"/>
                <w14:textFill>
                  <w14:solidFill>
                    <w14:schemeClr w14:val="tx1"/>
                  </w14:solidFill>
                </w14:textFill>
              </w:rPr>
              <w:t>二级活性炭吸附”（TA005）装置处理后</w:t>
            </w:r>
            <w:r>
              <w:rPr>
                <w:color w:val="000000" w:themeColor="text1"/>
                <w:sz w:val="24"/>
                <w14:textFill>
                  <w14:solidFill>
                    <w14:schemeClr w14:val="tx1"/>
                  </w14:solidFill>
                </w14:textFill>
              </w:rPr>
              <w:t>通过</w:t>
            </w:r>
            <w:r>
              <w:rPr>
                <w:rFonts w:hint="eastAsia"/>
                <w:color w:val="000000" w:themeColor="text1"/>
                <w:sz w:val="24"/>
                <w14:textFill>
                  <w14:solidFill>
                    <w14:schemeClr w14:val="tx1"/>
                  </w14:solidFill>
                </w14:textFill>
              </w:rPr>
              <w:t>1根15</w:t>
            </w:r>
            <w:r>
              <w:rPr>
                <w:color w:val="000000" w:themeColor="text1"/>
                <w:sz w:val="24"/>
                <w14:textFill>
                  <w14:solidFill>
                    <w14:schemeClr w14:val="tx1"/>
                  </w14:solidFill>
                </w14:textFill>
              </w:rPr>
              <w:t>m高排气筒（DA00</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）排放。</w:t>
            </w:r>
            <w:r>
              <w:rPr>
                <w:rFonts w:hint="eastAsia"/>
                <w:color w:val="000000" w:themeColor="text1"/>
                <w:sz w:val="24"/>
                <w14:textFill>
                  <w14:solidFill>
                    <w14:schemeClr w14:val="tx1"/>
                  </w14:solidFill>
                </w14:textFill>
              </w:rPr>
              <w:t>项目乳化工序非甲烷总烃有组织产生量为0.011</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产生</w:t>
            </w:r>
            <w:r>
              <w:rPr>
                <w:color w:val="000000" w:themeColor="text1"/>
                <w:kern w:val="0"/>
                <w:sz w:val="24"/>
                <w14:textFill>
                  <w14:solidFill>
                    <w14:schemeClr w14:val="tx1"/>
                  </w14:solidFill>
                </w14:textFill>
              </w:rPr>
              <w:t>速率0.0</w:t>
            </w:r>
            <w:r>
              <w:rPr>
                <w:rFonts w:hint="eastAsia"/>
                <w:color w:val="000000" w:themeColor="text1"/>
                <w:kern w:val="0"/>
                <w:sz w:val="24"/>
                <w14:textFill>
                  <w14:solidFill>
                    <w14:schemeClr w14:val="tx1"/>
                  </w14:solidFill>
                </w14:textFill>
              </w:rPr>
              <w:t>11</w:t>
            </w:r>
            <w:r>
              <w:rPr>
                <w:color w:val="000000" w:themeColor="text1"/>
                <w:kern w:val="0"/>
                <w:sz w:val="24"/>
                <w14:textFill>
                  <w14:solidFill>
                    <w14:schemeClr w14:val="tx1"/>
                  </w14:solidFill>
                </w14:textFill>
              </w:rPr>
              <w:t>kg/h，</w:t>
            </w:r>
            <w:r>
              <w:rPr>
                <w:rFonts w:hint="eastAsia"/>
                <w:color w:val="000000" w:themeColor="text1"/>
                <w:sz w:val="24"/>
                <w14:textFill>
                  <w14:solidFill>
                    <w14:schemeClr w14:val="tx1"/>
                  </w14:solidFill>
                </w14:textFill>
              </w:rPr>
              <w:t>产生</w:t>
            </w:r>
            <w:r>
              <w:rPr>
                <w:color w:val="000000" w:themeColor="text1"/>
                <w:kern w:val="0"/>
                <w:sz w:val="24"/>
                <w14:textFill>
                  <w14:solidFill>
                    <w14:schemeClr w14:val="tx1"/>
                  </w14:solidFill>
                </w14:textFill>
              </w:rPr>
              <w:t>浓度为</w:t>
            </w:r>
            <w:r>
              <w:rPr>
                <w:rFonts w:hint="eastAsia"/>
                <w:color w:val="000000" w:themeColor="text1"/>
                <w:kern w:val="0"/>
                <w:sz w:val="24"/>
                <w14:textFill>
                  <w14:solidFill>
                    <w14:schemeClr w14:val="tx1"/>
                  </w14:solidFill>
                </w14:textFill>
              </w:rPr>
              <w:t>11.0</w:t>
            </w:r>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rFonts w:hint="eastAsia"/>
                <w:color w:val="000000" w:themeColor="text1"/>
                <w:kern w:val="0"/>
                <w:sz w:val="24"/>
                <w14:textFill>
                  <w14:solidFill>
                    <w14:schemeClr w14:val="tx1"/>
                  </w14:solidFill>
                </w14:textFill>
              </w:rPr>
              <w:t>；经二级活性炭吸附装置处理后</w:t>
            </w:r>
            <w:r>
              <w:rPr>
                <w:rFonts w:hint="eastAsia"/>
                <w:color w:val="000000" w:themeColor="text1"/>
                <w:sz w:val="24"/>
                <w14:textFill>
                  <w14:solidFill>
                    <w14:schemeClr w14:val="tx1"/>
                  </w14:solidFill>
                </w14:textFill>
              </w:rPr>
              <w:t>乳化工序非甲烷总烃</w:t>
            </w:r>
            <w:r>
              <w:rPr>
                <w:color w:val="000000" w:themeColor="text1"/>
                <w:kern w:val="0"/>
                <w:sz w:val="24"/>
                <w14:textFill>
                  <w14:solidFill>
                    <w14:schemeClr w14:val="tx1"/>
                  </w14:solidFill>
                </w14:textFill>
              </w:rPr>
              <w:t>有组织排放</w:t>
            </w:r>
            <w:r>
              <w:rPr>
                <w:rFonts w:hint="eastAsia"/>
                <w:color w:val="000000" w:themeColor="text1"/>
                <w:kern w:val="0"/>
                <w:sz w:val="24"/>
                <w14:textFill>
                  <w14:solidFill>
                    <w14:schemeClr w14:val="tx1"/>
                  </w14:solidFill>
                </w14:textFill>
              </w:rPr>
              <w:t>总</w:t>
            </w:r>
            <w:r>
              <w:rPr>
                <w:color w:val="000000" w:themeColor="text1"/>
                <w:kern w:val="0"/>
                <w:sz w:val="24"/>
                <w14:textFill>
                  <w14:solidFill>
                    <w14:schemeClr w14:val="tx1"/>
                  </w14:solidFill>
                </w14:textFill>
              </w:rPr>
              <w:t>量为0.0</w:t>
            </w:r>
            <w:r>
              <w:rPr>
                <w:rFonts w:hint="eastAsia"/>
                <w:color w:val="000000" w:themeColor="text1"/>
                <w:kern w:val="0"/>
                <w:sz w:val="24"/>
                <w14:textFill>
                  <w14:solidFill>
                    <w14:schemeClr w14:val="tx1"/>
                  </w14:solidFill>
                </w14:textFill>
              </w:rPr>
              <w:t>02</w:t>
            </w:r>
            <w:r>
              <w:rPr>
                <w:color w:val="000000" w:themeColor="text1"/>
                <w:kern w:val="0"/>
                <w:sz w:val="24"/>
                <w14:textFill>
                  <w14:solidFill>
                    <w14:schemeClr w14:val="tx1"/>
                  </w14:solidFill>
                </w14:textFill>
              </w:rPr>
              <w:t>t/a，排放速率0.</w:t>
            </w:r>
            <w:r>
              <w:rPr>
                <w:rFonts w:hint="eastAsia"/>
                <w:color w:val="000000" w:themeColor="text1"/>
                <w:kern w:val="0"/>
                <w:sz w:val="24"/>
                <w14:textFill>
                  <w14:solidFill>
                    <w14:schemeClr w14:val="tx1"/>
                  </w14:solidFill>
                </w14:textFill>
              </w:rPr>
              <w:t>002</w:t>
            </w:r>
            <w:r>
              <w:rPr>
                <w:color w:val="000000" w:themeColor="text1"/>
                <w:kern w:val="0"/>
                <w:sz w:val="24"/>
                <w14:textFill>
                  <w14:solidFill>
                    <w14:schemeClr w14:val="tx1"/>
                  </w14:solidFill>
                </w14:textFill>
              </w:rPr>
              <w:t>kg/h，排放浓度为</w:t>
            </w:r>
            <w:r>
              <w:rPr>
                <w:rFonts w:hint="eastAsia"/>
                <w:color w:val="000000" w:themeColor="text1"/>
                <w:kern w:val="0"/>
                <w:sz w:val="24"/>
                <w14:textFill>
                  <w14:solidFill>
                    <w14:schemeClr w14:val="tx1"/>
                  </w14:solidFill>
                </w14:textFill>
              </w:rPr>
              <w:t>2.2</w:t>
            </w:r>
            <w:r>
              <w:rPr>
                <w:color w:val="000000" w:themeColor="text1"/>
                <w:kern w:val="0"/>
                <w:sz w:val="24"/>
                <w14:textFill>
                  <w14:solidFill>
                    <w14:schemeClr w14:val="tx1"/>
                  </w14:solidFill>
                </w14:textFill>
              </w:rPr>
              <w:t>mg/m</w:t>
            </w:r>
            <w:r>
              <w:rPr>
                <w:color w:val="000000" w:themeColor="text1"/>
                <w:kern w:val="0"/>
                <w:sz w:val="24"/>
                <w:vertAlign w:val="superscript"/>
                <w14:textFill>
                  <w14:solidFill>
                    <w14:schemeClr w14:val="tx1"/>
                  </w14:solidFill>
                </w14:textFill>
              </w:rPr>
              <w:t>3</w:t>
            </w:r>
            <w:r>
              <w:rPr>
                <w:rFonts w:hint="eastAsia"/>
                <w:color w:val="000000" w:themeColor="text1"/>
                <w:kern w:val="0"/>
                <w:sz w:val="24"/>
                <w14:textFill>
                  <w14:solidFill>
                    <w14:schemeClr w14:val="tx1"/>
                  </w14:solidFill>
                </w14:textFill>
              </w:rPr>
              <w:t>。</w:t>
            </w:r>
          </w:p>
          <w:p w14:paraId="03D94090">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项目乳化工序</w:t>
            </w:r>
            <w:r>
              <w:rPr>
                <w:color w:val="000000" w:themeColor="text1"/>
                <w:sz w:val="24"/>
                <w14:textFill>
                  <w14:solidFill>
                    <w14:schemeClr w14:val="tx1"/>
                  </w14:solidFill>
                </w14:textFill>
              </w:rPr>
              <w:t>无组织非甲烷总烃量排放量为0.00</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t/a，排放速率为0.00</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g/h。项目</w:t>
            </w:r>
            <w:r>
              <w:rPr>
                <w:rFonts w:hint="eastAsia"/>
                <w:color w:val="000000" w:themeColor="text1"/>
                <w:sz w:val="24"/>
                <w14:textFill>
                  <w14:solidFill>
                    <w14:schemeClr w14:val="tx1"/>
                  </w14:solidFill>
                </w14:textFill>
              </w:rPr>
              <w:t>生产车间生产区</w:t>
            </w:r>
            <w:r>
              <w:rPr>
                <w:color w:val="000000" w:themeColor="text1"/>
                <w:sz w:val="24"/>
                <w14:textFill>
                  <w14:solidFill>
                    <w14:schemeClr w14:val="tx1"/>
                  </w14:solidFill>
                </w14:textFill>
              </w:rPr>
              <w:t>设置为10万级洁净区，车间产生的废气经循环净风（采用三级过滤器+活性炭吸附装置）净化后循环利用，不外排</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使车间空气中尘埃粒子数及指标完全控制在设计标准范围内。</w:t>
            </w:r>
          </w:p>
          <w:p w14:paraId="60C386F8">
            <w:pPr>
              <w:pStyle w:val="48"/>
              <w:snapToGrid w:val="0"/>
              <w:spacing w:line="360" w:lineRule="auto"/>
              <w:ind w:firstLine="480" w:firstLineChars="200"/>
              <w:jc w:val="both"/>
              <w:rPr>
                <w:rFonts w:ascii="Times New Roman" w:hAnsi="Times New Roman"/>
                <w:color w:val="000000" w:themeColor="text1"/>
                <w:kern w:val="52"/>
                <w:szCs w:val="24"/>
                <w14:textFill>
                  <w14:solidFill>
                    <w14:schemeClr w14:val="tx1"/>
                  </w14:solidFill>
                </w14:textFill>
              </w:rPr>
            </w:pPr>
            <w:r>
              <w:rPr>
                <w:rFonts w:hint="eastAsia" w:ascii="Times New Roman" w:hAnsi="Times New Roman"/>
                <w:color w:val="000000" w:themeColor="text1"/>
                <w:kern w:val="52"/>
                <w:szCs w:val="24"/>
                <w14:textFill>
                  <w14:solidFill>
                    <w14:schemeClr w14:val="tx1"/>
                  </w14:solidFill>
                </w14:textFill>
              </w:rPr>
              <w:t>1.1.6、2</w:t>
            </w:r>
            <w:r>
              <w:rPr>
                <w:rFonts w:ascii="Times New Roman" w:hAnsi="Times New Roman"/>
                <w:color w:val="000000" w:themeColor="text1"/>
                <w:kern w:val="52"/>
                <w:szCs w:val="24"/>
                <w14:textFill>
                  <w14:solidFill>
                    <w14:schemeClr w14:val="tx1"/>
                  </w14:solidFill>
                </w14:textFill>
              </w:rPr>
              <w:t>#二类器械车间</w:t>
            </w:r>
            <w:r>
              <w:rPr>
                <w:rFonts w:hint="eastAsia" w:ascii="Times New Roman" w:hAnsi="Times New Roman"/>
                <w:color w:val="000000" w:themeColor="text1"/>
                <w:kern w:val="52"/>
                <w:szCs w:val="24"/>
                <w14:textFill>
                  <w14:solidFill>
                    <w14:schemeClr w14:val="tx1"/>
                  </w14:solidFill>
                </w14:textFill>
              </w:rPr>
              <w:t>废气</w:t>
            </w:r>
          </w:p>
          <w:p w14:paraId="3F04BA9B">
            <w:pPr>
              <w:adjustRightInd w:val="0"/>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（1）热敷理疗产品生产线</w:t>
            </w:r>
          </w:p>
          <w:p w14:paraId="4EFA9F51">
            <w:pPr>
              <w:adjustRightInd w:val="0"/>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1）上料粉尘</w:t>
            </w:r>
          </w:p>
          <w:p w14:paraId="70667B6E">
            <w:pPr>
              <w:adjustRightInd w:val="0"/>
              <w:snapToGrid w:val="0"/>
              <w:spacing w:line="360" w:lineRule="auto"/>
              <w:ind w:firstLine="480" w:firstLineChars="200"/>
              <w:rPr>
                <w:color w:val="000000" w:themeColor="text1"/>
                <w:kern w:val="0"/>
                <w:sz w:val="24"/>
                <w:lang w:bidi="ar"/>
                <w14:textFill>
                  <w14:solidFill>
                    <w14:schemeClr w14:val="tx1"/>
                  </w14:solidFill>
                </w14:textFill>
              </w:rPr>
            </w:pPr>
            <w:r>
              <w:rPr>
                <w:bCs/>
                <w:color w:val="000000" w:themeColor="text1"/>
                <w:sz w:val="24"/>
                <w14:textFill>
                  <w14:solidFill>
                    <w14:schemeClr w14:val="tx1"/>
                  </w14:solidFill>
                </w14:textFill>
              </w:rPr>
              <w:t>本项目</w:t>
            </w:r>
            <w:r>
              <w:rPr>
                <w:rFonts w:hint="eastAsia"/>
                <w:bCs/>
                <w:color w:val="000000" w:themeColor="text1"/>
                <w:sz w:val="24"/>
                <w14:textFill>
                  <w14:solidFill>
                    <w14:schemeClr w14:val="tx1"/>
                  </w14:solidFill>
                </w14:textFill>
              </w:rPr>
              <w:t>热敷理疗产品生产过程中</w:t>
            </w:r>
            <w:r>
              <w:rPr>
                <w:bCs/>
                <w:color w:val="000000" w:themeColor="text1"/>
                <w:sz w:val="24"/>
                <w14:textFill>
                  <w14:solidFill>
                    <w14:schemeClr w14:val="tx1"/>
                  </w14:solidFill>
                </w14:textFill>
              </w:rPr>
              <w:t>上料</w:t>
            </w:r>
            <w:r>
              <w:rPr>
                <w:rFonts w:hint="eastAsia"/>
                <w:bCs/>
                <w:color w:val="000000" w:themeColor="text1"/>
                <w:sz w:val="24"/>
                <w14:textFill>
                  <w14:solidFill>
                    <w14:schemeClr w14:val="tx1"/>
                  </w14:solidFill>
                </w14:textFill>
              </w:rPr>
              <w:t>工序</w:t>
            </w:r>
            <w:r>
              <w:rPr>
                <w:bCs/>
                <w:color w:val="000000" w:themeColor="text1"/>
                <w:sz w:val="24"/>
                <w14:textFill>
                  <w14:solidFill>
                    <w14:schemeClr w14:val="tx1"/>
                  </w14:solidFill>
                </w14:textFill>
              </w:rPr>
              <w:t>中会产生一定量粉尘。参照《逸散性工业粉尘控制技术》(中国环境科学出版社)中石灰厂的粉尘产污系数，上料产尘系数参照石灰卸料时逸散粉尘产污系数：0.015～0.2kg/t(卸料)，评价投料搅拌粉尘按0.2kg/t原料计算，</w:t>
            </w:r>
            <w:r>
              <w:rPr>
                <w:rFonts w:hint="eastAsia"/>
                <w:bCs/>
                <w:color w:val="000000" w:themeColor="text1"/>
                <w:sz w:val="24"/>
                <w14:textFill>
                  <w14:solidFill>
                    <w14:schemeClr w14:val="tx1"/>
                  </w14:solidFill>
                </w14:textFill>
              </w:rPr>
              <w:t>本项目使用的原料总量为500t，</w:t>
            </w:r>
            <w:r>
              <w:rPr>
                <w:color w:val="000000" w:themeColor="text1"/>
                <w:kern w:val="0"/>
                <w:sz w:val="24"/>
                <w:lang w:bidi="ar"/>
                <w14:textFill>
                  <w14:solidFill>
                    <w14:schemeClr w14:val="tx1"/>
                  </w14:solidFill>
                </w14:textFill>
              </w:rPr>
              <w:t>故本项目</w:t>
            </w:r>
            <w:r>
              <w:rPr>
                <w:rFonts w:hint="eastAsia"/>
                <w:color w:val="000000" w:themeColor="text1"/>
                <w:kern w:val="0"/>
                <w:sz w:val="24"/>
                <w:lang w:bidi="ar"/>
                <w14:textFill>
                  <w14:solidFill>
                    <w14:schemeClr w14:val="tx1"/>
                  </w14:solidFill>
                </w14:textFill>
              </w:rPr>
              <w:t>上料</w:t>
            </w:r>
            <w:r>
              <w:rPr>
                <w:color w:val="000000" w:themeColor="text1"/>
                <w:kern w:val="0"/>
                <w:sz w:val="24"/>
                <w:lang w:bidi="ar"/>
                <w14:textFill>
                  <w14:solidFill>
                    <w14:schemeClr w14:val="tx1"/>
                  </w14:solidFill>
                </w14:textFill>
              </w:rPr>
              <w:t>过程中的粉尘产生量为</w:t>
            </w:r>
            <w:r>
              <w:rPr>
                <w:rFonts w:hint="eastAsia"/>
                <w:color w:val="000000" w:themeColor="text1"/>
                <w:kern w:val="0"/>
                <w:sz w:val="24"/>
                <w:lang w:bidi="ar"/>
                <w14:textFill>
                  <w14:solidFill>
                    <w14:schemeClr w14:val="tx1"/>
                  </w14:solidFill>
                </w14:textFill>
              </w:rPr>
              <w:t>0.1</w:t>
            </w:r>
            <w:r>
              <w:rPr>
                <w:color w:val="000000" w:themeColor="text1"/>
                <w:kern w:val="0"/>
                <w:sz w:val="24"/>
                <w:lang w:bidi="ar"/>
                <w14:textFill>
                  <w14:solidFill>
                    <w14:schemeClr w14:val="tx1"/>
                  </w14:solidFill>
                </w14:textFill>
              </w:rPr>
              <w:t>t/a</w:t>
            </w:r>
            <w:r>
              <w:rPr>
                <w:rFonts w:hint="eastAsia"/>
                <w:color w:val="000000" w:themeColor="text1"/>
                <w:kern w:val="0"/>
                <w:sz w:val="24"/>
                <w:lang w:bidi="ar"/>
                <w14:textFill>
                  <w14:solidFill>
                    <w14:schemeClr w14:val="tx1"/>
                  </w14:solidFill>
                </w14:textFill>
              </w:rPr>
              <w:t>。</w:t>
            </w:r>
          </w:p>
          <w:p w14:paraId="2B57439F">
            <w:pPr>
              <w:pStyle w:val="62"/>
              <w:snapToGrid w:val="0"/>
              <w:spacing w:line="360" w:lineRule="auto"/>
              <w:ind w:firstLine="480" w:firstLineChars="200"/>
              <w:jc w:val="both"/>
              <w:rPr>
                <w:rFonts w:ascii="Times New Roman" w:hAnsi="Times New Roman"/>
                <w:color w:val="000000" w:themeColor="text1"/>
                <w:kern w:val="0"/>
                <w:szCs w:val="24"/>
                <w:lang w:bidi="ar"/>
                <w14:textFill>
                  <w14:solidFill>
                    <w14:schemeClr w14:val="tx1"/>
                  </w14:solidFill>
                </w14:textFill>
              </w:rPr>
            </w:pPr>
            <w:r>
              <w:rPr>
                <w:rFonts w:ascii="Times New Roman" w:hAnsi="Times New Roman"/>
                <w:color w:val="000000" w:themeColor="text1"/>
                <w:kern w:val="0"/>
                <w:szCs w:val="24"/>
                <w:lang w:bidi="ar"/>
                <w14:textFill>
                  <w14:solidFill>
                    <w14:schemeClr w14:val="tx1"/>
                  </w14:solidFill>
                </w14:textFill>
              </w:rPr>
              <w:t>项目拟在</w:t>
            </w:r>
            <w:r>
              <w:rPr>
                <w:rFonts w:hint="eastAsia" w:ascii="Times New Roman" w:hAnsi="Times New Roman"/>
                <w:color w:val="000000" w:themeColor="text1"/>
                <w:kern w:val="0"/>
                <w:szCs w:val="24"/>
                <w:lang w:bidi="ar"/>
                <w14:textFill>
                  <w14:solidFill>
                    <w14:schemeClr w14:val="tx1"/>
                  </w14:solidFill>
                </w14:textFill>
              </w:rPr>
              <w:t>上料口</w:t>
            </w:r>
            <w:r>
              <w:rPr>
                <w:rFonts w:ascii="Times New Roman" w:hAnsi="Times New Roman"/>
                <w:color w:val="000000" w:themeColor="text1"/>
                <w:kern w:val="0"/>
                <w:szCs w:val="24"/>
                <w:lang w:bidi="ar"/>
                <w14:textFill>
                  <w14:solidFill>
                    <w14:schemeClr w14:val="tx1"/>
                  </w14:solidFill>
                </w14:textFill>
              </w:rPr>
              <w:t>上方</w:t>
            </w:r>
            <w:r>
              <w:rPr>
                <w:rFonts w:hint="eastAsia" w:ascii="Times New Roman" w:hAnsi="Times New Roman"/>
                <w:color w:val="000000" w:themeColor="text1"/>
                <w:kern w:val="0"/>
                <w:szCs w:val="24"/>
                <w:lang w:bidi="ar"/>
                <w14:textFill>
                  <w14:solidFill>
                    <w14:schemeClr w14:val="tx1"/>
                  </w14:solidFill>
                </w14:textFill>
              </w:rPr>
              <w:t>设置1套</w:t>
            </w:r>
            <w:r>
              <w:rPr>
                <w:rFonts w:ascii="Times New Roman" w:hAnsi="Times New Roman"/>
                <w:color w:val="000000" w:themeColor="text1"/>
                <w:kern w:val="0"/>
                <w:szCs w:val="24"/>
                <w:lang w:bidi="ar"/>
                <w14:textFill>
                  <w14:solidFill>
                    <w14:schemeClr w14:val="tx1"/>
                  </w14:solidFill>
                </w14:textFill>
              </w:rPr>
              <w:t>集气罩，</w:t>
            </w:r>
            <w:r>
              <w:rPr>
                <w:rFonts w:hint="eastAsia" w:ascii="Times New Roman" w:hAnsi="Times New Roman"/>
                <w:color w:val="000000" w:themeColor="text1"/>
                <w:kern w:val="0"/>
                <w:szCs w:val="24"/>
                <w:lang w:bidi="ar"/>
                <w14:textFill>
                  <w14:solidFill>
                    <w14:schemeClr w14:val="tx1"/>
                  </w14:solidFill>
                </w14:textFill>
              </w:rPr>
              <w:t>上料</w:t>
            </w:r>
            <w:r>
              <w:rPr>
                <w:rFonts w:ascii="Times New Roman" w:hAnsi="Times New Roman"/>
                <w:color w:val="000000" w:themeColor="text1"/>
                <w:kern w:val="0"/>
                <w:szCs w:val="24"/>
                <w:lang w:bidi="ar"/>
                <w14:textFill>
                  <w14:solidFill>
                    <w14:schemeClr w14:val="tx1"/>
                  </w14:solidFill>
                </w14:textFill>
              </w:rPr>
              <w:t>粉尘经集气罩收集后经风机引入1套覆膜袋式除尘器</w:t>
            </w:r>
            <w:r>
              <w:rPr>
                <w:rFonts w:hint="eastAsia" w:ascii="Times New Roman" w:hAnsi="Times New Roman"/>
                <w:color w:val="000000" w:themeColor="text1"/>
                <w:kern w:val="0"/>
                <w:szCs w:val="24"/>
                <w:lang w:bidi="ar"/>
                <w14:textFill>
                  <w14:solidFill>
                    <w14:schemeClr w14:val="tx1"/>
                  </w14:solidFill>
                </w14:textFill>
              </w:rPr>
              <w:t>（TA006）</w:t>
            </w:r>
            <w:r>
              <w:rPr>
                <w:rFonts w:ascii="Times New Roman" w:hAnsi="Times New Roman"/>
                <w:color w:val="000000" w:themeColor="text1"/>
                <w:kern w:val="0"/>
                <w:szCs w:val="24"/>
                <w:lang w:bidi="ar"/>
                <w14:textFill>
                  <w14:solidFill>
                    <w14:schemeClr w14:val="tx1"/>
                  </w14:solidFill>
                </w14:textFill>
              </w:rPr>
              <w:t>处理，处理后经1根15m高排气筒（DA00</w:t>
            </w:r>
            <w:r>
              <w:rPr>
                <w:rFonts w:hint="eastAsia" w:ascii="Times New Roman" w:hAnsi="Times New Roman"/>
                <w:color w:val="000000" w:themeColor="text1"/>
                <w:kern w:val="0"/>
                <w:szCs w:val="24"/>
                <w:lang w:bidi="ar"/>
                <w14:textFill>
                  <w14:solidFill>
                    <w14:schemeClr w14:val="tx1"/>
                  </w14:solidFill>
                </w14:textFill>
              </w:rPr>
              <w:t>6</w:t>
            </w:r>
            <w:r>
              <w:rPr>
                <w:rFonts w:ascii="Times New Roman" w:hAnsi="Times New Roman"/>
                <w:color w:val="000000" w:themeColor="text1"/>
                <w:kern w:val="0"/>
                <w:szCs w:val="24"/>
                <w:lang w:bidi="ar"/>
                <w14:textFill>
                  <w14:solidFill>
                    <w14:schemeClr w14:val="tx1"/>
                  </w14:solidFill>
                </w14:textFill>
              </w:rPr>
              <w:t>）排放。集气罩粉尘收集效率以90%计，覆膜袋式除尘器除尘效率大于99%，以99%计。</w:t>
            </w:r>
            <w:r>
              <w:rPr>
                <w:rFonts w:hint="eastAsia" w:ascii="Times New Roman" w:hAnsi="Times New Roman"/>
                <w:color w:val="000000" w:themeColor="text1"/>
                <w:kern w:val="0"/>
                <w:szCs w:val="24"/>
                <w:lang w:bidi="ar"/>
                <w14:textFill>
                  <w14:solidFill>
                    <w14:schemeClr w14:val="tx1"/>
                  </w14:solidFill>
                </w14:textFill>
              </w:rPr>
              <w:t>项目上料工序</w:t>
            </w:r>
            <w:r>
              <w:rPr>
                <w:rFonts w:ascii="Times New Roman" w:hAnsi="Times New Roman"/>
                <w:color w:val="000000" w:themeColor="text1"/>
                <w:kern w:val="0"/>
                <w:szCs w:val="24"/>
                <w:lang w:bidi="ar"/>
                <w14:textFill>
                  <w14:solidFill>
                    <w14:schemeClr w14:val="tx1"/>
                  </w14:solidFill>
                </w14:textFill>
              </w:rPr>
              <w:t>年工作时间约为456h，风机风量为</w:t>
            </w:r>
            <w:r>
              <w:rPr>
                <w:rFonts w:hint="eastAsia" w:ascii="Times New Roman" w:hAnsi="Times New Roman"/>
                <w:color w:val="000000" w:themeColor="text1"/>
                <w:kern w:val="0"/>
                <w:szCs w:val="24"/>
                <w:lang w:bidi="ar"/>
                <w14:textFill>
                  <w14:solidFill>
                    <w14:schemeClr w14:val="tx1"/>
                  </w14:solidFill>
                </w14:textFill>
              </w:rPr>
              <w:t>1</w:t>
            </w:r>
            <w:r>
              <w:rPr>
                <w:rFonts w:ascii="Times New Roman" w:hAnsi="Times New Roman"/>
                <w:color w:val="000000" w:themeColor="text1"/>
                <w:kern w:val="0"/>
                <w:szCs w:val="24"/>
                <w:lang w:bidi="ar"/>
                <w14:textFill>
                  <w14:solidFill>
                    <w14:schemeClr w14:val="tx1"/>
                  </w14:solidFill>
                </w14:textFill>
              </w:rPr>
              <w:t>000m</w:t>
            </w:r>
            <w:r>
              <w:rPr>
                <w:rFonts w:ascii="Times New Roman" w:hAnsi="Times New Roman"/>
                <w:color w:val="000000" w:themeColor="text1"/>
                <w:kern w:val="0"/>
                <w:szCs w:val="24"/>
                <w:vertAlign w:val="superscript"/>
                <w:lang w:bidi="ar"/>
                <w14:textFill>
                  <w14:solidFill>
                    <w14:schemeClr w14:val="tx1"/>
                  </w14:solidFill>
                </w14:textFill>
              </w:rPr>
              <w:t>3</w:t>
            </w:r>
            <w:r>
              <w:rPr>
                <w:rFonts w:ascii="Times New Roman" w:hAnsi="Times New Roman"/>
                <w:color w:val="000000" w:themeColor="text1"/>
                <w:kern w:val="0"/>
                <w:szCs w:val="24"/>
                <w:lang w:bidi="ar"/>
                <w14:textFill>
                  <w14:solidFill>
                    <w14:schemeClr w14:val="tx1"/>
                  </w14:solidFill>
                </w14:textFill>
              </w:rPr>
              <w:t>/h，则原料粉碎粉尘有组织</w:t>
            </w:r>
            <w:r>
              <w:rPr>
                <w:rFonts w:hint="eastAsia" w:ascii="Times New Roman" w:hAnsi="Times New Roman"/>
                <w:color w:val="000000" w:themeColor="text1"/>
                <w:kern w:val="0"/>
                <w:szCs w:val="24"/>
                <w:lang w:bidi="ar"/>
                <w14:textFill>
                  <w14:solidFill>
                    <w14:schemeClr w14:val="tx1"/>
                  </w14:solidFill>
                </w14:textFill>
              </w:rPr>
              <w:t>收集</w:t>
            </w:r>
            <w:r>
              <w:rPr>
                <w:rFonts w:ascii="Times New Roman" w:hAnsi="Times New Roman"/>
                <w:color w:val="000000" w:themeColor="text1"/>
                <w:kern w:val="0"/>
                <w:szCs w:val="24"/>
                <w:lang w:bidi="ar"/>
                <w14:textFill>
                  <w14:solidFill>
                    <w14:schemeClr w14:val="tx1"/>
                  </w14:solidFill>
                </w14:textFill>
              </w:rPr>
              <w:t>量为0.0</w:t>
            </w:r>
            <w:r>
              <w:rPr>
                <w:rFonts w:hint="eastAsia" w:ascii="Times New Roman" w:hAnsi="Times New Roman"/>
                <w:color w:val="000000" w:themeColor="text1"/>
                <w:kern w:val="0"/>
                <w:szCs w:val="24"/>
                <w:lang w:bidi="ar"/>
                <w14:textFill>
                  <w14:solidFill>
                    <w14:schemeClr w14:val="tx1"/>
                  </w14:solidFill>
                </w14:textFill>
              </w:rPr>
              <w:t>9</w:t>
            </w:r>
            <w:r>
              <w:rPr>
                <w:rFonts w:ascii="Times New Roman" w:hAnsi="Times New Roman"/>
                <w:color w:val="000000" w:themeColor="text1"/>
                <w:kern w:val="0"/>
                <w:szCs w:val="24"/>
                <w:lang w:bidi="ar"/>
                <w14:textFill>
                  <w14:solidFill>
                    <w14:schemeClr w14:val="tx1"/>
                  </w14:solidFill>
                </w14:textFill>
              </w:rPr>
              <w:t>t/a，</w:t>
            </w:r>
            <w:r>
              <w:rPr>
                <w:rFonts w:hint="eastAsia" w:ascii="Times New Roman" w:hAnsi="Times New Roman"/>
                <w:color w:val="000000" w:themeColor="text1"/>
                <w:kern w:val="0"/>
                <w:szCs w:val="24"/>
                <w:lang w:bidi="ar"/>
                <w14:textFill>
                  <w14:solidFill>
                    <w14:schemeClr w14:val="tx1"/>
                  </w14:solidFill>
                </w14:textFill>
              </w:rPr>
              <w:t>收集</w:t>
            </w:r>
            <w:r>
              <w:rPr>
                <w:rFonts w:ascii="Times New Roman" w:hAnsi="Times New Roman"/>
                <w:color w:val="000000" w:themeColor="text1"/>
                <w:kern w:val="0"/>
                <w:szCs w:val="24"/>
                <w:lang w:bidi="ar"/>
                <w14:textFill>
                  <w14:solidFill>
                    <w14:schemeClr w14:val="tx1"/>
                  </w14:solidFill>
                </w14:textFill>
              </w:rPr>
              <w:t>速率0.</w:t>
            </w:r>
            <w:r>
              <w:rPr>
                <w:rFonts w:hint="eastAsia" w:ascii="Times New Roman" w:hAnsi="Times New Roman"/>
                <w:color w:val="000000" w:themeColor="text1"/>
                <w:kern w:val="0"/>
                <w:szCs w:val="24"/>
                <w:lang w:bidi="ar"/>
                <w14:textFill>
                  <w14:solidFill>
                    <w14:schemeClr w14:val="tx1"/>
                  </w14:solidFill>
                </w14:textFill>
              </w:rPr>
              <w:t>197</w:t>
            </w:r>
            <w:r>
              <w:rPr>
                <w:rFonts w:ascii="Times New Roman" w:hAnsi="Times New Roman"/>
                <w:color w:val="000000" w:themeColor="text1"/>
                <w:kern w:val="0"/>
                <w:szCs w:val="24"/>
                <w:lang w:bidi="ar"/>
                <w14:textFill>
                  <w14:solidFill>
                    <w14:schemeClr w14:val="tx1"/>
                  </w14:solidFill>
                </w14:textFill>
              </w:rPr>
              <w:t>kg/h，</w:t>
            </w:r>
            <w:r>
              <w:rPr>
                <w:rFonts w:hint="eastAsia" w:ascii="Times New Roman" w:hAnsi="Times New Roman"/>
                <w:color w:val="000000" w:themeColor="text1"/>
                <w:kern w:val="0"/>
                <w:szCs w:val="24"/>
                <w:lang w:bidi="ar"/>
                <w14:textFill>
                  <w14:solidFill>
                    <w14:schemeClr w14:val="tx1"/>
                  </w14:solidFill>
                </w14:textFill>
              </w:rPr>
              <w:t>收集</w:t>
            </w:r>
            <w:r>
              <w:rPr>
                <w:rFonts w:ascii="Times New Roman" w:hAnsi="Times New Roman"/>
                <w:color w:val="000000" w:themeColor="text1"/>
                <w:kern w:val="0"/>
                <w:szCs w:val="24"/>
                <w:lang w:bidi="ar"/>
                <w14:textFill>
                  <w14:solidFill>
                    <w14:schemeClr w14:val="tx1"/>
                  </w14:solidFill>
                </w14:textFill>
              </w:rPr>
              <w:t>浓度为</w:t>
            </w:r>
            <w:r>
              <w:rPr>
                <w:rFonts w:hint="eastAsia" w:ascii="Times New Roman" w:hAnsi="Times New Roman"/>
                <w:color w:val="000000" w:themeColor="text1"/>
                <w:kern w:val="0"/>
                <w:szCs w:val="24"/>
                <w:lang w:bidi="ar"/>
                <w14:textFill>
                  <w14:solidFill>
                    <w14:schemeClr w14:val="tx1"/>
                  </w14:solidFill>
                </w14:textFill>
              </w:rPr>
              <w:t>197.368</w:t>
            </w:r>
            <w:r>
              <w:rPr>
                <w:rFonts w:ascii="Times New Roman" w:hAnsi="Times New Roman"/>
                <w:color w:val="000000" w:themeColor="text1"/>
                <w:kern w:val="0"/>
                <w:szCs w:val="24"/>
                <w:lang w:bidi="ar"/>
                <w14:textFill>
                  <w14:solidFill>
                    <w14:schemeClr w14:val="tx1"/>
                  </w14:solidFill>
                </w14:textFill>
              </w:rPr>
              <w:t>mg/m</w:t>
            </w:r>
            <w:r>
              <w:rPr>
                <w:rFonts w:ascii="Times New Roman" w:hAnsi="Times New Roman"/>
                <w:color w:val="000000" w:themeColor="text1"/>
                <w:kern w:val="0"/>
                <w:szCs w:val="24"/>
                <w:vertAlign w:val="superscript"/>
                <w:lang w:bidi="ar"/>
                <w14:textFill>
                  <w14:solidFill>
                    <w14:schemeClr w14:val="tx1"/>
                  </w14:solidFill>
                </w14:textFill>
              </w:rPr>
              <w:t>3</w:t>
            </w:r>
            <w:r>
              <w:rPr>
                <w:rFonts w:hint="eastAsia" w:ascii="Times New Roman" w:hAnsi="Times New Roman"/>
                <w:color w:val="000000" w:themeColor="text1"/>
                <w:kern w:val="0"/>
                <w:szCs w:val="24"/>
                <w:lang w:bidi="ar"/>
                <w14:textFill>
                  <w14:solidFill>
                    <w14:schemeClr w14:val="tx1"/>
                  </w14:solidFill>
                </w14:textFill>
              </w:rPr>
              <w:t>；</w:t>
            </w:r>
            <w:r>
              <w:rPr>
                <w:rFonts w:ascii="Times New Roman" w:hAnsi="Times New Roman"/>
                <w:color w:val="000000" w:themeColor="text1"/>
                <w:kern w:val="0"/>
                <w:szCs w:val="24"/>
                <w:lang w:bidi="ar"/>
                <w14:textFill>
                  <w14:solidFill>
                    <w14:schemeClr w14:val="tx1"/>
                  </w14:solidFill>
                </w14:textFill>
              </w:rPr>
              <w:t>有组织排放量为0.00</w:t>
            </w:r>
            <w:r>
              <w:rPr>
                <w:rFonts w:hint="eastAsia" w:ascii="Times New Roman" w:hAnsi="Times New Roman"/>
                <w:color w:val="000000" w:themeColor="text1"/>
                <w:kern w:val="0"/>
                <w:szCs w:val="24"/>
                <w:lang w:bidi="ar"/>
                <w14:textFill>
                  <w14:solidFill>
                    <w14:schemeClr w14:val="tx1"/>
                  </w14:solidFill>
                </w14:textFill>
              </w:rPr>
              <w:t>1</w:t>
            </w:r>
            <w:r>
              <w:rPr>
                <w:rFonts w:ascii="Times New Roman" w:hAnsi="Times New Roman"/>
                <w:color w:val="000000" w:themeColor="text1"/>
                <w:kern w:val="0"/>
                <w:szCs w:val="24"/>
                <w:lang w:bidi="ar"/>
                <w14:textFill>
                  <w14:solidFill>
                    <w14:schemeClr w14:val="tx1"/>
                  </w14:solidFill>
                </w14:textFill>
              </w:rPr>
              <w:t>t/a，排放速率0.00</w:t>
            </w:r>
            <w:r>
              <w:rPr>
                <w:rFonts w:hint="eastAsia" w:ascii="Times New Roman" w:hAnsi="Times New Roman"/>
                <w:color w:val="000000" w:themeColor="text1"/>
                <w:kern w:val="0"/>
                <w:szCs w:val="24"/>
                <w:lang w:bidi="ar"/>
                <w14:textFill>
                  <w14:solidFill>
                    <w14:schemeClr w14:val="tx1"/>
                  </w14:solidFill>
                </w14:textFill>
              </w:rPr>
              <w:t>2</w:t>
            </w:r>
            <w:r>
              <w:rPr>
                <w:rFonts w:ascii="Times New Roman" w:hAnsi="Times New Roman"/>
                <w:color w:val="000000" w:themeColor="text1"/>
                <w:kern w:val="0"/>
                <w:szCs w:val="24"/>
                <w:lang w:bidi="ar"/>
                <w14:textFill>
                  <w14:solidFill>
                    <w14:schemeClr w14:val="tx1"/>
                  </w14:solidFill>
                </w14:textFill>
              </w:rPr>
              <w:t>kg/h，排放浓度为</w:t>
            </w:r>
            <w:r>
              <w:rPr>
                <w:rFonts w:hint="eastAsia" w:ascii="Times New Roman" w:hAnsi="Times New Roman"/>
                <w:color w:val="000000" w:themeColor="text1"/>
                <w:kern w:val="0"/>
                <w:szCs w:val="24"/>
                <w:lang w:bidi="ar"/>
                <w14:textFill>
                  <w14:solidFill>
                    <w14:schemeClr w14:val="tx1"/>
                  </w14:solidFill>
                </w14:textFill>
              </w:rPr>
              <w:t>1.974</w:t>
            </w:r>
            <w:r>
              <w:rPr>
                <w:rFonts w:ascii="Times New Roman" w:hAnsi="Times New Roman"/>
                <w:color w:val="000000" w:themeColor="text1"/>
                <w:kern w:val="0"/>
                <w:szCs w:val="24"/>
                <w:lang w:bidi="ar"/>
                <w14:textFill>
                  <w14:solidFill>
                    <w14:schemeClr w14:val="tx1"/>
                  </w14:solidFill>
                </w14:textFill>
              </w:rPr>
              <w:t>mg/m</w:t>
            </w:r>
            <w:r>
              <w:rPr>
                <w:rFonts w:ascii="Times New Roman" w:hAnsi="Times New Roman"/>
                <w:color w:val="000000" w:themeColor="text1"/>
                <w:kern w:val="0"/>
                <w:szCs w:val="24"/>
                <w:vertAlign w:val="superscript"/>
                <w:lang w:bidi="ar"/>
                <w14:textFill>
                  <w14:solidFill>
                    <w14:schemeClr w14:val="tx1"/>
                  </w14:solidFill>
                </w14:textFill>
              </w:rPr>
              <w:t>3</w:t>
            </w:r>
            <w:r>
              <w:rPr>
                <w:rFonts w:ascii="Times New Roman" w:hAnsi="Times New Roman"/>
                <w:color w:val="000000" w:themeColor="text1"/>
                <w:kern w:val="0"/>
                <w:szCs w:val="24"/>
                <w:lang w:bidi="ar"/>
                <w14:textFill>
                  <w14:solidFill>
                    <w14:schemeClr w14:val="tx1"/>
                  </w14:solidFill>
                </w14:textFill>
              </w:rPr>
              <w:t>。</w:t>
            </w:r>
          </w:p>
          <w:p w14:paraId="64FA52FA">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上料</w:t>
            </w:r>
            <w:r>
              <w:rPr>
                <w:color w:val="000000" w:themeColor="text1"/>
                <w:sz w:val="24"/>
                <w14:textFill>
                  <w14:solidFill>
                    <w14:schemeClr w14:val="tx1"/>
                  </w14:solidFill>
                </w14:textFill>
              </w:rPr>
              <w:t>工序</w:t>
            </w:r>
            <w:r>
              <w:rPr>
                <w:rFonts w:hint="eastAsia"/>
                <w:color w:val="000000" w:themeColor="text1"/>
                <w:sz w:val="24"/>
                <w14:textFill>
                  <w14:solidFill>
                    <w14:schemeClr w14:val="tx1"/>
                  </w14:solidFill>
                </w14:textFill>
              </w:rPr>
              <w:t>无组织颗粒物排放</w:t>
            </w:r>
            <w:r>
              <w:rPr>
                <w:color w:val="000000" w:themeColor="text1"/>
                <w:sz w:val="24"/>
                <w14:textFill>
                  <w14:solidFill>
                    <w14:schemeClr w14:val="tx1"/>
                  </w14:solidFill>
                </w14:textFill>
              </w:rPr>
              <w:t>量为</w:t>
            </w:r>
            <w:r>
              <w:rPr>
                <w:rFonts w:hint="eastAsia"/>
                <w:color w:val="000000" w:themeColor="text1"/>
                <w:sz w:val="24"/>
                <w14:textFill>
                  <w14:solidFill>
                    <w14:schemeClr w14:val="tx1"/>
                  </w14:solidFill>
                </w14:textFill>
              </w:rPr>
              <w:t>0.01</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，排放速率为0.022</w:t>
            </w:r>
            <w:r>
              <w:rPr>
                <w:color w:val="000000" w:themeColor="text1"/>
                <w:sz w:val="24"/>
                <w14:textFill>
                  <w14:solidFill>
                    <w14:schemeClr w14:val="tx1"/>
                  </w14:solidFill>
                </w14:textFill>
              </w:rPr>
              <w:t>kg/h。项目</w:t>
            </w:r>
            <w:r>
              <w:rPr>
                <w:rFonts w:hint="eastAsia"/>
                <w:color w:val="000000" w:themeColor="text1"/>
                <w:sz w:val="24"/>
                <w14:textFill>
                  <w14:solidFill>
                    <w14:schemeClr w14:val="tx1"/>
                  </w14:solidFill>
                </w14:textFill>
              </w:rPr>
              <w:t>生产车间生产区</w:t>
            </w:r>
            <w:r>
              <w:rPr>
                <w:color w:val="000000" w:themeColor="text1"/>
                <w:sz w:val="24"/>
                <w14:textFill>
                  <w14:solidFill>
                    <w14:schemeClr w14:val="tx1"/>
                  </w14:solidFill>
                </w14:textFill>
              </w:rPr>
              <w:t>设置为10万级洁净区，车间产生的废气经循环净风（采用三级过滤器+活性炭吸附装置）净化后循环利用，不外排</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使车间空气中尘埃粒子数及指标完全控制在设计标准范围内。</w:t>
            </w:r>
          </w:p>
          <w:p w14:paraId="17B485B5">
            <w:pPr>
              <w:pStyle w:val="48"/>
              <w:snapToGrid w:val="0"/>
              <w:spacing w:line="360" w:lineRule="auto"/>
              <w:ind w:firstLine="480" w:firstLineChars="200"/>
              <w:jc w:val="both"/>
              <w:rPr>
                <w:rFonts w:ascii="Times New Roman" w:hAnsi="Times New Roman"/>
                <w:color w:val="000000" w:themeColor="text1"/>
                <w:kern w:val="0"/>
                <w:szCs w:val="24"/>
                <w14:textFill>
                  <w14:solidFill>
                    <w14:schemeClr w14:val="tx1"/>
                  </w14:solidFill>
                </w14:textFill>
              </w:rPr>
            </w:pPr>
            <w:r>
              <w:rPr>
                <w:rFonts w:hint="eastAsia" w:ascii="Times New Roman" w:hAnsi="Times New Roman"/>
                <w:color w:val="000000" w:themeColor="text1"/>
                <w:kern w:val="0"/>
                <w:szCs w:val="24"/>
                <w14:textFill>
                  <w14:solidFill>
                    <w14:schemeClr w14:val="tx1"/>
                  </w14:solidFill>
                </w14:textFill>
              </w:rPr>
              <w:t>2）超声波点焊废气</w:t>
            </w:r>
          </w:p>
          <w:p w14:paraId="14A06BCD">
            <w:pPr>
              <w:pStyle w:val="48"/>
              <w:snapToGrid w:val="0"/>
              <w:spacing w:line="360" w:lineRule="auto"/>
              <w:ind w:firstLine="480" w:firstLineChars="200"/>
              <w:jc w:val="both"/>
              <w:rPr>
                <w:rFonts w:ascii="Times New Roman" w:hAnsi="Times New Roman"/>
                <w:color w:val="000000" w:themeColor="text1"/>
                <w:szCs w:val="24"/>
                <w:highlight w:val="yellow"/>
                <w14:textFill>
                  <w14:solidFill>
                    <w14:schemeClr w14:val="tx1"/>
                  </w14:solidFill>
                </w14:textFill>
              </w:rPr>
            </w:pPr>
            <w:r>
              <w:rPr>
                <w:rFonts w:ascii="Times New Roman" w:hAnsi="Times New Roman"/>
                <w:color w:val="000000" w:themeColor="text1"/>
                <w:szCs w:val="24"/>
                <w14:textFill>
                  <w14:solidFill>
                    <w14:schemeClr w14:val="tx1"/>
                  </w14:solidFill>
                </w14:textFill>
              </w:rPr>
              <w:t>本项目</w:t>
            </w:r>
            <w:r>
              <w:rPr>
                <w:rFonts w:ascii="Times New Roman" w:hAnsi="Times New Roman"/>
                <w:color w:val="000000" w:themeColor="text1"/>
                <w:kern w:val="52"/>
                <w14:textFill>
                  <w14:solidFill>
                    <w14:schemeClr w14:val="tx1"/>
                  </w14:solidFill>
                </w14:textFill>
              </w:rPr>
              <w:t>热敷理疗产品</w:t>
            </w:r>
            <w:r>
              <w:rPr>
                <w:rFonts w:ascii="Times New Roman" w:hAnsi="Times New Roman"/>
                <w:color w:val="000000" w:themeColor="text1"/>
                <w:szCs w:val="24"/>
                <w14:textFill>
                  <w14:solidFill>
                    <w14:schemeClr w14:val="tx1"/>
                  </w14:solidFill>
                </w14:textFill>
              </w:rPr>
              <w:t>采用超声波点焊的方式进行合缝，使内包后的无纺布粘结在一起，超声波点焊温度约为170℃，</w:t>
            </w:r>
            <w:r>
              <w:rPr>
                <w:rFonts w:ascii="Times New Roman" w:hAnsi="Times New Roman"/>
                <w:color w:val="000000" w:themeColor="text1"/>
                <w:kern w:val="52"/>
                <w14:textFill>
                  <w14:solidFill>
                    <w14:schemeClr w14:val="tx1"/>
                  </w14:solidFill>
                </w14:textFill>
              </w:rPr>
              <w:t>热敷理疗产品</w:t>
            </w:r>
            <w:r>
              <w:rPr>
                <w:rFonts w:ascii="Times New Roman" w:hAnsi="Times New Roman"/>
                <w:color w:val="000000" w:themeColor="text1"/>
                <w:szCs w:val="24"/>
                <w14:textFill>
                  <w14:solidFill>
                    <w14:schemeClr w14:val="tx1"/>
                  </w14:solidFill>
                </w14:textFill>
              </w:rPr>
              <w:t>内包采用无纺布，无纺布热分解温度为350℃，因此超声波焊接过程中面料基本不分解，但面料中有少量未聚合的单体在高温下会有部分挥发出来，产生有机废气，以非甲烷总烃计。本项目需进行超声波点焊的热敷袋使用无纺布面料60t/a。超声波点焊部分占热敷袋面料面积的</w:t>
            </w:r>
            <w:r>
              <w:rPr>
                <w:rFonts w:hint="eastAsia" w:ascii="Times New Roman" w:hAnsi="Times New Roman"/>
                <w:color w:val="000000" w:themeColor="text1"/>
                <w:szCs w:val="24"/>
                <w14:textFill>
                  <w14:solidFill>
                    <w14:schemeClr w14:val="tx1"/>
                  </w14:solidFill>
                </w14:textFill>
              </w:rPr>
              <w:t>3</w:t>
            </w:r>
            <w:r>
              <w:rPr>
                <w:rFonts w:ascii="Times New Roman" w:hAnsi="Times New Roman"/>
                <w:color w:val="000000" w:themeColor="text1"/>
                <w:szCs w:val="24"/>
                <w14:textFill>
                  <w14:solidFill>
                    <w14:schemeClr w14:val="tx1"/>
                  </w14:solidFill>
                </w14:textFill>
              </w:rPr>
              <w:t>%，约</w:t>
            </w:r>
            <w:r>
              <w:rPr>
                <w:rFonts w:hint="eastAsia" w:ascii="Times New Roman" w:hAnsi="Times New Roman"/>
                <w:color w:val="000000" w:themeColor="text1"/>
                <w:szCs w:val="24"/>
                <w14:textFill>
                  <w14:solidFill>
                    <w14:schemeClr w14:val="tx1"/>
                  </w14:solidFill>
                </w14:textFill>
              </w:rPr>
              <w:t>1.8</w:t>
            </w:r>
            <w:r>
              <w:rPr>
                <w:rFonts w:ascii="Times New Roman" w:hAnsi="Times New Roman"/>
                <w:color w:val="000000" w:themeColor="text1"/>
                <w:szCs w:val="24"/>
                <w14:textFill>
                  <w14:solidFill>
                    <w14:schemeClr w14:val="tx1"/>
                  </w14:solidFill>
                </w14:textFill>
              </w:rPr>
              <w:t>t/a。根据《空气污染物排放和控制手册》（美国国家环保局），在无控制措施时，非甲烷总烃的排放系数为0.35kg/t-原料，则进行超声波焊接时VOCs（以非甲烷总烃计）产生量为</w:t>
            </w:r>
            <w:r>
              <w:rPr>
                <w:rFonts w:hint="eastAsia" w:ascii="Times New Roman" w:hAnsi="Times New Roman"/>
                <w:color w:val="000000" w:themeColor="text1"/>
                <w:szCs w:val="24"/>
                <w14:textFill>
                  <w14:solidFill>
                    <w14:schemeClr w14:val="tx1"/>
                  </w14:solidFill>
                </w14:textFill>
              </w:rPr>
              <w:t>0.63</w:t>
            </w:r>
            <w:r>
              <w:rPr>
                <w:rFonts w:ascii="Times New Roman" w:hAnsi="Times New Roman"/>
                <w:color w:val="000000" w:themeColor="text1"/>
                <w:szCs w:val="24"/>
                <w14:textFill>
                  <w14:solidFill>
                    <w14:schemeClr w14:val="tx1"/>
                  </w14:solidFill>
                </w14:textFill>
              </w:rPr>
              <w:t>kg/a。</w:t>
            </w:r>
          </w:p>
          <w:p w14:paraId="13B23F9D">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本项目超声波点焊作业过程均在洁净厂房内进行，超声波点焊工序年运行时间为400h，超声波点焊散发的非甲烷总烃量为</w:t>
            </w:r>
            <w:r>
              <w:rPr>
                <w:rFonts w:hint="eastAsia"/>
                <w:color w:val="000000" w:themeColor="text1"/>
                <w:sz w:val="24"/>
                <w14:textFill>
                  <w14:solidFill>
                    <w14:schemeClr w14:val="tx1"/>
                  </w14:solidFill>
                </w14:textFill>
              </w:rPr>
              <w:t>0.63</w:t>
            </w:r>
            <w:r>
              <w:rPr>
                <w:rFonts w:hint="eastAsia"/>
                <w:bCs/>
                <w:color w:val="000000" w:themeColor="text1"/>
                <w:sz w:val="24"/>
                <w14:textFill>
                  <w14:solidFill>
                    <w14:schemeClr w14:val="tx1"/>
                  </w14:solidFill>
                </w14:textFill>
              </w:rPr>
              <w:t>kg/a（0.002kg/h），</w:t>
            </w: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生产车间生产区</w:t>
            </w:r>
            <w:r>
              <w:rPr>
                <w:color w:val="000000" w:themeColor="text1"/>
                <w:sz w:val="24"/>
                <w14:textFill>
                  <w14:solidFill>
                    <w14:schemeClr w14:val="tx1"/>
                  </w14:solidFill>
                </w14:textFill>
              </w:rPr>
              <w:t>设置为10万级洁净区，车间产生的废气经循环净风（采用三级过滤器+活性炭吸附装置）净化后循环利用，不外排</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使车间空气中尘埃粒子数及指标完全控制在设计标准范围内。</w:t>
            </w:r>
          </w:p>
          <w:p w14:paraId="2609AE30">
            <w:pPr>
              <w:pStyle w:val="60"/>
              <w:snapToGrid w:val="0"/>
              <w:spacing w:line="360" w:lineRule="auto"/>
              <w:ind w:firstLine="480" w:firstLineChars="200"/>
              <w:jc w:val="both"/>
              <w:rPr>
                <w:rFonts w:ascii="Times New Roman" w:hAnsi="Times New Roman"/>
                <w:color w:val="000000" w:themeColor="text1"/>
                <w:kern w:val="52"/>
                <w14:textFill>
                  <w14:solidFill>
                    <w14:schemeClr w14:val="tx1"/>
                  </w14:solidFill>
                </w14:textFill>
              </w:rPr>
            </w:pPr>
            <w:r>
              <w:rPr>
                <w:rFonts w:ascii="Times New Roman" w:hAnsi="Times New Roman"/>
                <w:color w:val="000000" w:themeColor="text1"/>
                <w:kern w:val="52"/>
                <w14:textFill>
                  <w14:solidFill>
                    <w14:schemeClr w14:val="tx1"/>
                  </w14:solidFill>
                </w14:textFill>
              </w:rPr>
              <w:t>1.</w:t>
            </w:r>
            <w:r>
              <w:rPr>
                <w:rFonts w:hint="eastAsia" w:ascii="Times New Roman" w:hAnsi="Times New Roman"/>
                <w:color w:val="000000" w:themeColor="text1"/>
                <w:kern w:val="52"/>
                <w14:textFill>
                  <w14:solidFill>
                    <w14:schemeClr w14:val="tx1"/>
                  </w14:solidFill>
                </w14:textFill>
              </w:rPr>
              <w:t>1.</w:t>
            </w:r>
            <w:r>
              <w:rPr>
                <w:rFonts w:ascii="Times New Roman" w:hAnsi="Times New Roman"/>
                <w:color w:val="000000" w:themeColor="text1"/>
                <w:kern w:val="52"/>
                <w14:textFill>
                  <w14:solidFill>
                    <w14:schemeClr w14:val="tx1"/>
                  </w14:solidFill>
                </w14:textFill>
              </w:rPr>
              <w:t>7</w:t>
            </w:r>
            <w:r>
              <w:rPr>
                <w:rFonts w:hint="eastAsia" w:ascii="Times New Roman" w:hAnsi="Times New Roman"/>
                <w:color w:val="000000" w:themeColor="text1"/>
                <w:kern w:val="52"/>
                <w14:textFill>
                  <w14:solidFill>
                    <w14:schemeClr w14:val="tx1"/>
                  </w14:solidFill>
                </w14:textFill>
              </w:rPr>
              <w:t>恶臭气体</w:t>
            </w:r>
          </w:p>
          <w:p w14:paraId="36FE3C61">
            <w:pPr>
              <w:pStyle w:val="60"/>
              <w:snapToGrid w:val="0"/>
              <w:spacing w:line="360" w:lineRule="auto"/>
              <w:ind w:firstLine="480" w:firstLineChars="200"/>
              <w:jc w:val="both"/>
              <w:rPr>
                <w:rFonts w:ascii="Times New Roman" w:hAnsi="Times New Roman"/>
                <w:color w:val="000000" w:themeColor="text1"/>
                <w:kern w:val="52"/>
                <w14:textFill>
                  <w14:solidFill>
                    <w14:schemeClr w14:val="tx1"/>
                  </w14:solidFill>
                </w14:textFill>
              </w:rPr>
            </w:pPr>
            <w:r>
              <w:rPr>
                <w:rFonts w:hint="eastAsia" w:ascii="Times New Roman" w:hAnsi="Times New Roman"/>
                <w:color w:val="000000" w:themeColor="text1"/>
                <w:kern w:val="52"/>
                <w14:textFill>
                  <w14:solidFill>
                    <w14:schemeClr w14:val="tx1"/>
                  </w14:solidFill>
                </w14:textFill>
              </w:rPr>
              <w:t>（1）</w:t>
            </w:r>
            <w:r>
              <w:rPr>
                <w:rFonts w:ascii="Times New Roman" w:hAnsi="Times New Roman"/>
                <w:color w:val="000000" w:themeColor="text1"/>
                <w:kern w:val="52"/>
                <w14:textFill>
                  <w14:solidFill>
                    <w14:schemeClr w14:val="tx1"/>
                  </w14:solidFill>
                </w14:textFill>
              </w:rPr>
              <w:t>污水处理站产生的恶臭</w:t>
            </w:r>
            <w:r>
              <w:rPr>
                <w:rFonts w:hint="eastAsia" w:ascii="Times New Roman" w:hAnsi="Times New Roman"/>
                <w:color w:val="000000" w:themeColor="text1"/>
                <w:kern w:val="52"/>
                <w14:textFill>
                  <w14:solidFill>
                    <w14:schemeClr w14:val="tx1"/>
                  </w14:solidFill>
                </w14:textFill>
              </w:rPr>
              <w:t>气体</w:t>
            </w:r>
          </w:p>
          <w:p w14:paraId="0C4B882D">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本项目厂区污水处理站处理工艺为</w:t>
            </w:r>
            <w:r>
              <w:rPr>
                <w:rFonts w:hint="eastAsia"/>
                <w:color w:val="000000" w:themeColor="text1"/>
                <w:kern w:val="0"/>
                <w:sz w:val="24"/>
                <w14:textFill>
                  <w14:solidFill>
                    <w14:schemeClr w14:val="tx1"/>
                  </w14:solidFill>
                </w14:textFill>
              </w:rPr>
              <w:t>“</w:t>
            </w:r>
            <w:r>
              <w:rPr>
                <w:rFonts w:eastAsia="Times"/>
                <w:color w:val="000000" w:themeColor="text1"/>
                <w:kern w:val="0"/>
                <w:sz w:val="24"/>
                <w14:textFill>
                  <w14:solidFill>
                    <w14:schemeClr w14:val="tx1"/>
                  </w14:solidFill>
                </w14:textFill>
              </w:rPr>
              <w:t>综合废水-均质调节池-水解酸化-接触氧化-沉淀池-出水</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，密封性较好，生物处理过程中产生恶臭，主要为H</w:t>
            </w:r>
            <w:r>
              <w:rPr>
                <w:color w:val="000000" w:themeColor="text1"/>
                <w:kern w:val="0"/>
                <w:sz w:val="14"/>
                <w:szCs w:val="14"/>
                <w14:textFill>
                  <w14:solidFill>
                    <w14:schemeClr w14:val="tx1"/>
                  </w14:solidFill>
                </w14:textFill>
              </w:rPr>
              <w:t>2</w:t>
            </w:r>
            <w:r>
              <w:rPr>
                <w:color w:val="000000" w:themeColor="text1"/>
                <w:kern w:val="0"/>
                <w:sz w:val="24"/>
                <w14:textFill>
                  <w14:solidFill>
                    <w14:schemeClr w14:val="tx1"/>
                  </w14:solidFill>
                </w14:textFill>
              </w:rPr>
              <w:t>S、NH</w:t>
            </w:r>
            <w:r>
              <w:rPr>
                <w:color w:val="000000" w:themeColor="text1"/>
                <w:kern w:val="0"/>
                <w:sz w:val="14"/>
                <w:szCs w:val="14"/>
                <w14:textFill>
                  <w14:solidFill>
                    <w14:schemeClr w14:val="tx1"/>
                  </w14:solidFill>
                </w14:textFill>
              </w:rPr>
              <w:t>3</w:t>
            </w:r>
            <w:r>
              <w:rPr>
                <w:color w:val="000000" w:themeColor="text1"/>
                <w:kern w:val="0"/>
                <w:sz w:val="24"/>
                <w14:textFill>
                  <w14:solidFill>
                    <w14:schemeClr w14:val="tx1"/>
                  </w14:solidFill>
                </w14:textFill>
              </w:rPr>
              <w:t xml:space="preserve">以及臭气浓度。 </w:t>
            </w:r>
          </w:p>
          <w:p w14:paraId="1ECD9923">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为了确定恶臭废气中NH</w:t>
            </w:r>
            <w:r>
              <w:rPr>
                <w:color w:val="000000" w:themeColor="text1"/>
                <w:kern w:val="0"/>
                <w:sz w:val="15"/>
                <w:szCs w:val="15"/>
                <w14:textFill>
                  <w14:solidFill>
                    <w14:schemeClr w14:val="tx1"/>
                  </w14:solidFill>
                </w14:textFill>
              </w:rPr>
              <w:t>3</w:t>
            </w:r>
            <w:r>
              <w:rPr>
                <w:color w:val="000000" w:themeColor="text1"/>
                <w:kern w:val="0"/>
                <w:sz w:val="24"/>
                <w14:textFill>
                  <w14:solidFill>
                    <w14:schemeClr w14:val="tx1"/>
                  </w14:solidFill>
                </w14:textFill>
              </w:rPr>
              <w:t>和H</w:t>
            </w:r>
            <w:r>
              <w:rPr>
                <w:color w:val="000000" w:themeColor="text1"/>
                <w:kern w:val="0"/>
                <w:sz w:val="15"/>
                <w:szCs w:val="15"/>
                <w14:textFill>
                  <w14:solidFill>
                    <w14:schemeClr w14:val="tx1"/>
                  </w14:solidFill>
                </w14:textFill>
              </w:rPr>
              <w:t>2</w:t>
            </w:r>
            <w:r>
              <w:rPr>
                <w:color w:val="000000" w:themeColor="text1"/>
                <w:kern w:val="0"/>
                <w:sz w:val="24"/>
                <w14:textFill>
                  <w14:solidFill>
                    <w14:schemeClr w14:val="tx1"/>
                  </w14:solidFill>
                </w14:textFill>
              </w:rPr>
              <w:t>S的产生情况，本次评价恶臭废气源强采用美国EPA对城市污水处理厂恶臭污染物产生情况的研究，每处理1gBOD</w:t>
            </w:r>
            <w:r>
              <w:rPr>
                <w:color w:val="000000" w:themeColor="text1"/>
                <w:kern w:val="0"/>
                <w:sz w:val="15"/>
                <w:szCs w:val="15"/>
                <w14:textFill>
                  <w14:solidFill>
                    <w14:schemeClr w14:val="tx1"/>
                  </w14:solidFill>
                </w14:textFill>
              </w:rPr>
              <w:t>5</w:t>
            </w:r>
            <w:r>
              <w:rPr>
                <w:color w:val="000000" w:themeColor="text1"/>
                <w:kern w:val="0"/>
                <w:sz w:val="24"/>
                <w14:textFill>
                  <w14:solidFill>
                    <w14:schemeClr w14:val="tx1"/>
                  </w14:solidFill>
                </w14:textFill>
              </w:rPr>
              <w:t>可产生0.0031gNH</w:t>
            </w:r>
            <w:r>
              <w:rPr>
                <w:color w:val="000000" w:themeColor="text1"/>
                <w:kern w:val="0"/>
                <w:sz w:val="15"/>
                <w:szCs w:val="15"/>
                <w14:textFill>
                  <w14:solidFill>
                    <w14:schemeClr w14:val="tx1"/>
                  </w14:solidFill>
                </w14:textFill>
              </w:rPr>
              <w:t xml:space="preserve">3 </w:t>
            </w:r>
            <w:r>
              <w:rPr>
                <w:color w:val="000000" w:themeColor="text1"/>
                <w:kern w:val="0"/>
                <w:sz w:val="24"/>
                <w14:textFill>
                  <w14:solidFill>
                    <w14:schemeClr w14:val="tx1"/>
                  </w14:solidFill>
                </w14:textFill>
              </w:rPr>
              <w:t>和0.00012gH</w:t>
            </w:r>
            <w:r>
              <w:rPr>
                <w:color w:val="000000" w:themeColor="text1"/>
                <w:kern w:val="0"/>
                <w:sz w:val="15"/>
                <w:szCs w:val="15"/>
                <w14:textFill>
                  <w14:solidFill>
                    <w14:schemeClr w14:val="tx1"/>
                  </w14:solidFill>
                </w14:textFill>
              </w:rPr>
              <w:t>2</w:t>
            </w:r>
            <w:r>
              <w:rPr>
                <w:color w:val="000000" w:themeColor="text1"/>
                <w:kern w:val="0"/>
                <w:sz w:val="24"/>
                <w14:textFill>
                  <w14:solidFill>
                    <w14:schemeClr w14:val="tx1"/>
                  </w14:solidFill>
                </w14:textFill>
              </w:rPr>
              <w:t>S；根据水环境影响分析可知，</w:t>
            </w:r>
            <w:r>
              <w:rPr>
                <w:color w:val="000000" w:themeColor="text1"/>
                <w:sz w:val="24"/>
                <w14:textFill>
                  <w14:solidFill>
                    <w14:schemeClr w14:val="tx1"/>
                  </w14:solidFill>
                </w14:textFill>
              </w:rPr>
              <w:t>本项目污水处理站处理规模为</w:t>
            </w: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0m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本项目污水处理站BOD</w:t>
            </w:r>
            <w:r>
              <w:rPr>
                <w:color w:val="000000" w:themeColor="text1"/>
                <w:kern w:val="0"/>
                <w:sz w:val="15"/>
                <w:szCs w:val="15"/>
                <w14:textFill>
                  <w14:solidFill>
                    <w14:schemeClr w14:val="tx1"/>
                  </w14:solidFill>
                </w14:textFill>
              </w:rPr>
              <w:t>5</w:t>
            </w:r>
            <w:r>
              <w:rPr>
                <w:color w:val="000000" w:themeColor="text1"/>
                <w:kern w:val="0"/>
                <w:sz w:val="24"/>
                <w14:textFill>
                  <w14:solidFill>
                    <w14:schemeClr w14:val="tx1"/>
                  </w14:solidFill>
                </w14:textFill>
              </w:rPr>
              <w:t>处理量约</w:t>
            </w:r>
            <w:r>
              <w:rPr>
                <w:rFonts w:hint="eastAsia"/>
                <w:color w:val="000000" w:themeColor="text1"/>
                <w:kern w:val="0"/>
                <w:sz w:val="24"/>
                <w14:textFill>
                  <w14:solidFill>
                    <w14:schemeClr w14:val="tx1"/>
                  </w14:solidFill>
                </w14:textFill>
              </w:rPr>
              <w:t>2.4</w:t>
            </w:r>
            <w:r>
              <w:rPr>
                <w:rFonts w:hint="eastAsia"/>
                <w:color w:val="000000" w:themeColor="text1"/>
                <w:kern w:val="0"/>
                <w:sz w:val="24"/>
                <w:lang w:val="en-US" w:eastAsia="zh-CN"/>
                <w14:textFill>
                  <w14:solidFill>
                    <w14:schemeClr w14:val="tx1"/>
                  </w14:solidFill>
                </w14:textFill>
              </w:rPr>
              <w:t>84</w:t>
            </w:r>
            <w:r>
              <w:rPr>
                <w:color w:val="000000" w:themeColor="text1"/>
                <w:kern w:val="0"/>
                <w:sz w:val="24"/>
                <w14:textFill>
                  <w14:solidFill>
                    <w14:schemeClr w14:val="tx1"/>
                  </w14:solidFill>
                </w14:textFill>
              </w:rPr>
              <w:t>t/a，则NH</w:t>
            </w:r>
            <w:r>
              <w:rPr>
                <w:color w:val="000000" w:themeColor="text1"/>
                <w:kern w:val="0"/>
                <w:sz w:val="15"/>
                <w:szCs w:val="15"/>
                <w14:textFill>
                  <w14:solidFill>
                    <w14:schemeClr w14:val="tx1"/>
                  </w14:solidFill>
                </w14:textFill>
              </w:rPr>
              <w:t>3</w:t>
            </w:r>
            <w:r>
              <w:rPr>
                <w:color w:val="000000" w:themeColor="text1"/>
                <w:kern w:val="0"/>
                <w:sz w:val="24"/>
                <w14:textFill>
                  <w14:solidFill>
                    <w14:schemeClr w14:val="tx1"/>
                  </w14:solidFill>
                </w14:textFill>
              </w:rPr>
              <w:t>产生量为0.0</w:t>
            </w:r>
            <w:r>
              <w:rPr>
                <w:rFonts w:hint="eastAsia"/>
                <w:color w:val="000000" w:themeColor="text1"/>
                <w:kern w:val="0"/>
                <w:sz w:val="24"/>
                <w14:textFill>
                  <w14:solidFill>
                    <w14:schemeClr w14:val="tx1"/>
                  </w14:solidFill>
                </w14:textFill>
              </w:rPr>
              <w:t>08</w:t>
            </w:r>
            <w:r>
              <w:rPr>
                <w:color w:val="000000" w:themeColor="text1"/>
                <w:kern w:val="0"/>
                <w:sz w:val="24"/>
                <w14:textFill>
                  <w14:solidFill>
                    <w14:schemeClr w14:val="tx1"/>
                  </w14:solidFill>
                </w14:textFill>
              </w:rPr>
              <w:t>t/a，</w:t>
            </w:r>
            <w:r>
              <w:rPr>
                <w:color w:val="000000" w:themeColor="text1"/>
                <w:sz w:val="24"/>
                <w14:textFill>
                  <w14:solidFill>
                    <w14:schemeClr w14:val="tx1"/>
                  </w14:solidFill>
                </w14:textFill>
              </w:rPr>
              <w:t>产生速率为0.00</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kg/h；</w:t>
            </w:r>
            <w:r>
              <w:rPr>
                <w:color w:val="000000" w:themeColor="text1"/>
                <w:kern w:val="0"/>
                <w:sz w:val="24"/>
                <w14:textFill>
                  <w14:solidFill>
                    <w14:schemeClr w14:val="tx1"/>
                  </w14:solidFill>
                </w14:textFill>
              </w:rPr>
              <w:t>H</w:t>
            </w:r>
            <w:r>
              <w:rPr>
                <w:color w:val="000000" w:themeColor="text1"/>
                <w:kern w:val="0"/>
                <w:sz w:val="15"/>
                <w:szCs w:val="15"/>
                <w14:textFill>
                  <w14:solidFill>
                    <w14:schemeClr w14:val="tx1"/>
                  </w14:solidFill>
                </w14:textFill>
              </w:rPr>
              <w:t>2</w:t>
            </w:r>
            <w:r>
              <w:rPr>
                <w:color w:val="000000" w:themeColor="text1"/>
                <w:kern w:val="0"/>
                <w:sz w:val="24"/>
                <w14:textFill>
                  <w14:solidFill>
                    <w14:schemeClr w14:val="tx1"/>
                  </w14:solidFill>
                </w14:textFill>
              </w:rPr>
              <w:t>S产生量为0.000</w:t>
            </w:r>
            <w:r>
              <w:rPr>
                <w:rFonts w:hint="eastAsia"/>
                <w:color w:val="000000" w:themeColor="text1"/>
                <w:kern w:val="0"/>
                <w:sz w:val="24"/>
                <w14:textFill>
                  <w14:solidFill>
                    <w14:schemeClr w14:val="tx1"/>
                  </w14:solidFill>
                </w14:textFill>
              </w:rPr>
              <w:t>3</w:t>
            </w:r>
            <w:r>
              <w:rPr>
                <w:color w:val="000000" w:themeColor="text1"/>
                <w:kern w:val="0"/>
                <w:sz w:val="24"/>
                <w14:textFill>
                  <w14:solidFill>
                    <w14:schemeClr w14:val="tx1"/>
                  </w14:solidFill>
                </w14:textFill>
              </w:rPr>
              <w:t>t/a，</w:t>
            </w:r>
            <w:r>
              <w:rPr>
                <w:color w:val="000000" w:themeColor="text1"/>
                <w:sz w:val="24"/>
                <w14:textFill>
                  <w14:solidFill>
                    <w14:schemeClr w14:val="tx1"/>
                  </w14:solidFill>
                </w14:textFill>
              </w:rPr>
              <w:t>产生速率为0.000</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kg/h</w:t>
            </w:r>
            <w:r>
              <w:rPr>
                <w:color w:val="000000" w:themeColor="text1"/>
                <w:kern w:val="0"/>
                <w:sz w:val="24"/>
                <w14:textFill>
                  <w14:solidFill>
                    <w14:schemeClr w14:val="tx1"/>
                  </w14:solidFill>
                </w14:textFill>
              </w:rPr>
              <w:t>。</w:t>
            </w:r>
          </w:p>
          <w:p w14:paraId="1B994CE8">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项目针对调节、</w:t>
            </w:r>
            <w:r>
              <w:rPr>
                <w:rFonts w:hint="eastAsia"/>
                <w:color w:val="000000" w:themeColor="text1"/>
                <w:kern w:val="0"/>
                <w:sz w:val="24"/>
                <w14:textFill>
                  <w14:solidFill>
                    <w14:schemeClr w14:val="tx1"/>
                  </w14:solidFill>
                </w14:textFill>
              </w:rPr>
              <w:t>生化单元、</w:t>
            </w:r>
            <w:r>
              <w:rPr>
                <w:color w:val="000000" w:themeColor="text1"/>
                <w:kern w:val="0"/>
                <w:sz w:val="24"/>
                <w14:textFill>
                  <w14:solidFill>
                    <w14:schemeClr w14:val="tx1"/>
                  </w14:solidFill>
                </w14:textFill>
              </w:rPr>
              <w:t>污泥处理单元进行加盖密闭，通过管道收集（收集效率可达95%）</w:t>
            </w:r>
            <w:r>
              <w:rPr>
                <w:rFonts w:hint="eastAsia"/>
                <w:color w:val="000000" w:themeColor="text1"/>
                <w:kern w:val="0"/>
                <w:sz w:val="24"/>
                <w14:textFill>
                  <w14:solidFill>
                    <w14:schemeClr w14:val="tx1"/>
                  </w14:solidFill>
                </w14:textFill>
              </w:rPr>
              <w:t>后经1套“UV光氧+活性炭吸附装置”（TA007）</w:t>
            </w:r>
            <w:r>
              <w:rPr>
                <w:color w:val="000000" w:themeColor="text1"/>
                <w:kern w:val="0"/>
                <w:sz w:val="24"/>
                <w14:textFill>
                  <w14:solidFill>
                    <w14:schemeClr w14:val="tx1"/>
                  </w14:solidFill>
                </w14:textFill>
              </w:rPr>
              <w:t>进行处理，处理达标后由1根15m高排气筒（DA00</w:t>
            </w:r>
            <w:r>
              <w:rPr>
                <w:rFonts w:hint="eastAsia"/>
                <w:color w:val="000000" w:themeColor="text1"/>
                <w:kern w:val="0"/>
                <w:sz w:val="24"/>
                <w14:textFill>
                  <w14:solidFill>
                    <w14:schemeClr w14:val="tx1"/>
                  </w14:solidFill>
                </w14:textFill>
              </w:rPr>
              <w:t>7</w:t>
            </w:r>
            <w:r>
              <w:rPr>
                <w:color w:val="000000" w:themeColor="text1"/>
                <w:kern w:val="0"/>
                <w:sz w:val="24"/>
                <w14:textFill>
                  <w14:solidFill>
                    <w14:schemeClr w14:val="tx1"/>
                  </w14:solidFill>
                </w14:textFill>
              </w:rPr>
              <w:t>）排放。</w:t>
            </w:r>
            <w:r>
              <w:rPr>
                <w:rFonts w:hint="eastAsia"/>
                <w:color w:val="000000" w:themeColor="text1"/>
                <w:sz w:val="24"/>
                <w14:textFill>
                  <w14:solidFill>
                    <w14:schemeClr w14:val="tx1"/>
                  </w14:solidFill>
                </w14:textFill>
              </w:rPr>
              <w:t>风机风量为10</w:t>
            </w:r>
            <w:r>
              <w:rPr>
                <w:color w:val="000000" w:themeColor="text1"/>
                <w:sz w:val="24"/>
                <w14:textFill>
                  <w14:solidFill>
                    <w14:schemeClr w14:val="tx1"/>
                  </w14:solidFill>
                </w14:textFill>
              </w:rPr>
              <w:t>00m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/h</w:t>
            </w:r>
            <w:r>
              <w:rPr>
                <w:rFonts w:hint="eastAsia"/>
                <w:color w:val="000000" w:themeColor="text1"/>
                <w:sz w:val="24"/>
                <w14:textFill>
                  <w14:solidFill>
                    <w14:schemeClr w14:val="tx1"/>
                  </w14:solidFill>
                </w14:textFill>
              </w:rPr>
              <w:t>，UV光氧+活性炭吸附装置对污水站的恶臭废气的去除效率为</w:t>
            </w:r>
            <w:r>
              <w:rPr>
                <w:color w:val="000000" w:themeColor="text1"/>
                <w:sz w:val="24"/>
                <w14:textFill>
                  <w14:solidFill>
                    <w14:schemeClr w14:val="tx1"/>
                  </w14:solidFill>
                </w14:textFill>
              </w:rPr>
              <w:t>60%</w:t>
            </w:r>
            <w:r>
              <w:rPr>
                <w:rFonts w:hint="eastAsia"/>
                <w:color w:val="000000" w:themeColor="text1"/>
                <w:sz w:val="24"/>
                <w14:textFill>
                  <w14:solidFill>
                    <w14:schemeClr w14:val="tx1"/>
                  </w14:solidFill>
                </w14:textFill>
              </w:rPr>
              <w:t>。</w:t>
            </w:r>
          </w:p>
          <w:p w14:paraId="594C2DDE">
            <w:pPr>
              <w:adjustRightInd w:val="0"/>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（2）白酒、黄酒、啤酒以及果酒生产线酒糟暂存恶臭气体</w:t>
            </w:r>
          </w:p>
          <w:p w14:paraId="4F8BD7F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白酒、黄酒、啤酒以及果酒生产线产生的酒糟</w:t>
            </w:r>
            <w:r>
              <w:rPr>
                <w:color w:val="000000" w:themeColor="text1"/>
                <w:sz w:val="24"/>
                <w14:textFill>
                  <w14:solidFill>
                    <w14:schemeClr w14:val="tx1"/>
                  </w14:solidFill>
                </w14:textFill>
              </w:rPr>
              <w:t>在</w:t>
            </w:r>
            <w:r>
              <w:rPr>
                <w:rFonts w:hint="eastAsia"/>
                <w:color w:val="000000" w:themeColor="text1"/>
                <w:sz w:val="24"/>
                <w14:textFill>
                  <w14:solidFill>
                    <w14:schemeClr w14:val="tx1"/>
                  </w14:solidFill>
                </w14:textFill>
              </w:rPr>
              <w:t>酒糟</w:t>
            </w:r>
            <w:r>
              <w:rPr>
                <w:color w:val="000000" w:themeColor="text1"/>
                <w:sz w:val="24"/>
                <w14:textFill>
                  <w14:solidFill>
                    <w14:schemeClr w14:val="tx1"/>
                  </w14:solidFill>
                </w14:textFill>
              </w:rPr>
              <w:t>暂存间暂存过程</w:t>
            </w:r>
            <w:r>
              <w:rPr>
                <w:rFonts w:hint="eastAsia"/>
                <w:color w:val="000000" w:themeColor="text1"/>
                <w:sz w:val="24"/>
                <w14:textFill>
                  <w14:solidFill>
                    <w14:schemeClr w14:val="tx1"/>
                  </w14:solidFill>
                </w14:textFill>
              </w:rPr>
              <w:t>内临时存储过程中将会有一定量的恶臭气体产生</w:t>
            </w:r>
            <w:r>
              <w:rPr>
                <w:color w:val="000000" w:themeColor="text1"/>
                <w:sz w:val="24"/>
                <w14:textFill>
                  <w14:solidFill>
                    <w14:schemeClr w14:val="tx1"/>
                  </w14:solidFill>
                </w14:textFill>
              </w:rPr>
              <w:t>，</w:t>
            </w:r>
            <w:r>
              <w:rPr>
                <w:color w:val="000000" w:themeColor="text1"/>
                <w:kern w:val="0"/>
                <w:sz w:val="24"/>
                <w14:textFill>
                  <w14:solidFill>
                    <w14:schemeClr w14:val="tx1"/>
                  </w14:solidFill>
                </w14:textFill>
              </w:rPr>
              <w:t>主要成分是水蒸气和水溶性极强的乙醇及有机酸类等</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由于挥发量较小，本次不再定量分析。本次评价要求</w:t>
            </w:r>
            <w:r>
              <w:rPr>
                <w:rFonts w:hint="eastAsia"/>
                <w:color w:val="000000" w:themeColor="text1"/>
                <w:sz w:val="24"/>
                <w14:textFill>
                  <w14:solidFill>
                    <w14:schemeClr w14:val="tx1"/>
                  </w14:solidFill>
                </w14:textFill>
              </w:rPr>
              <w:t>酒糟</w:t>
            </w:r>
            <w:r>
              <w:rPr>
                <w:color w:val="000000" w:themeColor="text1"/>
                <w:sz w:val="24"/>
                <w14:textFill>
                  <w14:solidFill>
                    <w14:schemeClr w14:val="tx1"/>
                  </w14:solidFill>
                </w14:textFill>
              </w:rPr>
              <w:t>暂存时</w:t>
            </w:r>
            <w:r>
              <w:rPr>
                <w:rFonts w:hint="eastAsia"/>
                <w:color w:val="000000" w:themeColor="text1"/>
                <w:sz w:val="24"/>
                <w14:textFill>
                  <w14:solidFill>
                    <w14:schemeClr w14:val="tx1"/>
                  </w14:solidFill>
                </w14:textFill>
              </w:rPr>
              <w:t>应封闭储存、日产日清</w:t>
            </w:r>
            <w:r>
              <w:rPr>
                <w:color w:val="000000" w:themeColor="text1"/>
                <w:sz w:val="24"/>
                <w14:textFill>
                  <w14:solidFill>
                    <w14:schemeClr w14:val="tx1"/>
                  </w14:solidFill>
                </w14:textFill>
              </w:rPr>
              <w:t>，尽量减小暂存过程</w:t>
            </w:r>
            <w:r>
              <w:rPr>
                <w:rFonts w:hint="eastAsia"/>
                <w:color w:val="000000" w:themeColor="text1"/>
                <w:sz w:val="24"/>
                <w14:textFill>
                  <w14:solidFill>
                    <w14:schemeClr w14:val="tx1"/>
                  </w14:solidFill>
                </w14:textFill>
              </w:rPr>
              <w:t>恶臭气体</w:t>
            </w:r>
            <w:r>
              <w:rPr>
                <w:color w:val="000000" w:themeColor="text1"/>
                <w:sz w:val="24"/>
                <w14:textFill>
                  <w14:solidFill>
                    <w14:schemeClr w14:val="tx1"/>
                  </w14:solidFill>
                </w14:textFill>
              </w:rPr>
              <w:t>的排放，同时评价建议</w:t>
            </w:r>
            <w:r>
              <w:rPr>
                <w:rFonts w:hint="eastAsia"/>
                <w:color w:val="000000" w:themeColor="text1"/>
                <w:sz w:val="24"/>
                <w14:textFill>
                  <w14:solidFill>
                    <w14:schemeClr w14:val="tx1"/>
                  </w14:solidFill>
                </w14:textFill>
              </w:rPr>
              <w:t>酒糟暂存间</w:t>
            </w:r>
            <w:r>
              <w:rPr>
                <w:color w:val="000000" w:themeColor="text1"/>
                <w:sz w:val="24"/>
                <w14:textFill>
                  <w14:solidFill>
                    <w14:schemeClr w14:val="tx1"/>
                  </w14:solidFill>
                </w14:textFill>
              </w:rPr>
              <w:t>顶部设置集气管道，</w:t>
            </w:r>
            <w:r>
              <w:rPr>
                <w:rFonts w:hint="eastAsia"/>
                <w:color w:val="000000" w:themeColor="text1"/>
                <w:sz w:val="24"/>
                <w14:textFill>
                  <w14:solidFill>
                    <w14:schemeClr w14:val="tx1"/>
                  </w14:solidFill>
                </w14:textFill>
              </w:rPr>
              <w:t>酒糟</w:t>
            </w:r>
            <w:r>
              <w:rPr>
                <w:color w:val="000000" w:themeColor="text1"/>
                <w:sz w:val="24"/>
                <w14:textFill>
                  <w14:solidFill>
                    <w14:schemeClr w14:val="tx1"/>
                  </w14:solidFill>
                </w14:textFill>
              </w:rPr>
              <w:t>暂存间废气经集气管道收集后引至</w:t>
            </w:r>
            <w:r>
              <w:rPr>
                <w:rFonts w:hint="eastAsia"/>
                <w:color w:val="000000" w:themeColor="text1"/>
                <w:sz w:val="24"/>
                <w14:textFill>
                  <w14:solidFill>
                    <w14:schemeClr w14:val="tx1"/>
                  </w14:solidFill>
                </w14:textFill>
              </w:rPr>
              <w:t>污水处理站</w:t>
            </w:r>
            <w:r>
              <w:rPr>
                <w:color w:val="000000" w:themeColor="text1"/>
                <w:sz w:val="24"/>
                <w14:textFill>
                  <w14:solidFill>
                    <w14:schemeClr w14:val="tx1"/>
                  </w14:solidFill>
                </w14:textFill>
              </w:rPr>
              <w:t>配套</w:t>
            </w:r>
            <w:r>
              <w:rPr>
                <w:rFonts w:hint="eastAsia"/>
                <w:color w:val="000000" w:themeColor="text1"/>
                <w:kern w:val="0"/>
                <w:sz w:val="24"/>
                <w14:textFill>
                  <w14:solidFill>
                    <w14:schemeClr w14:val="tx1"/>
                  </w14:solidFill>
                </w14:textFill>
              </w:rPr>
              <w:t>“UV光氧+活性炭吸附装置”（TA007）</w:t>
            </w:r>
            <w:r>
              <w:rPr>
                <w:color w:val="000000" w:themeColor="text1"/>
                <w:kern w:val="0"/>
                <w:sz w:val="24"/>
                <w14:textFill>
                  <w14:solidFill>
                    <w14:schemeClr w14:val="tx1"/>
                  </w14:solidFill>
                </w14:textFill>
              </w:rPr>
              <w:t>进行处理，处理达标后由1根15m高排气筒（DA00</w:t>
            </w:r>
            <w:r>
              <w:rPr>
                <w:rFonts w:hint="eastAsia"/>
                <w:color w:val="000000" w:themeColor="text1"/>
                <w:kern w:val="0"/>
                <w:sz w:val="24"/>
                <w14:textFill>
                  <w14:solidFill>
                    <w14:schemeClr w14:val="tx1"/>
                  </w14:solidFill>
                </w14:textFill>
              </w:rPr>
              <w:t>7</w:t>
            </w:r>
            <w:r>
              <w:rPr>
                <w:color w:val="000000" w:themeColor="text1"/>
                <w:kern w:val="0"/>
                <w:sz w:val="24"/>
                <w14:textFill>
                  <w14:solidFill>
                    <w14:schemeClr w14:val="tx1"/>
                  </w14:solidFill>
                </w14:textFill>
              </w:rPr>
              <w:t>）排放</w:t>
            </w:r>
            <w:r>
              <w:rPr>
                <w:color w:val="000000" w:themeColor="text1"/>
                <w:sz w:val="24"/>
                <w14:textFill>
                  <w14:solidFill>
                    <w14:schemeClr w14:val="tx1"/>
                  </w14:solidFill>
                </w14:textFill>
              </w:rPr>
              <w:t>。</w:t>
            </w:r>
          </w:p>
          <w:p w14:paraId="39AD0F3D">
            <w:pPr>
              <w:pStyle w:val="9"/>
              <w:spacing w:before="0" w:after="0" w:line="360" w:lineRule="auto"/>
              <w:ind w:right="0" w:firstLine="472" w:firstLineChars="200"/>
              <w:rPr>
                <w:color w:val="000000" w:themeColor="text1"/>
                <w:sz w:val="24"/>
                <w:szCs w:val="24"/>
                <w14:textFill>
                  <w14:solidFill>
                    <w14:schemeClr w14:val="tx1"/>
                  </w14:solidFill>
                </w14:textFill>
              </w:rPr>
            </w:pPr>
            <w:r>
              <w:rPr>
                <w:rFonts w:hint="eastAsia"/>
                <w:color w:val="000000" w:themeColor="text1"/>
                <w:spacing w:val="-2"/>
                <w:sz w:val="24"/>
                <w:szCs w:val="24"/>
                <w14:textFill>
                  <w14:solidFill>
                    <w14:schemeClr w14:val="tx1"/>
                  </w14:solidFill>
                </w14:textFill>
              </w:rPr>
              <w:t>综上所述，</w:t>
            </w:r>
            <w:r>
              <w:rPr>
                <w:color w:val="000000" w:themeColor="text1"/>
                <w:sz w:val="24"/>
                <w14:textFill>
                  <w14:solidFill>
                    <w14:schemeClr w14:val="tx1"/>
                  </w14:solidFill>
                </w14:textFill>
              </w:rPr>
              <w:t>NH</w:t>
            </w:r>
            <w:r>
              <w:rPr>
                <w:color w:val="000000" w:themeColor="text1"/>
                <w:sz w:val="24"/>
                <w:vertAlign w:val="subscript"/>
                <w14:textFill>
                  <w14:solidFill>
                    <w14:schemeClr w14:val="tx1"/>
                  </w14:solidFill>
                </w14:textFill>
              </w:rPr>
              <w:t>3</w:t>
            </w:r>
            <w:r>
              <w:rPr>
                <w:rFonts w:hint="eastAsia"/>
                <w:color w:val="000000" w:themeColor="text1"/>
                <w:sz w:val="24"/>
                <w:szCs w:val="24"/>
                <w14:textFill>
                  <w14:solidFill>
                    <w14:schemeClr w14:val="tx1"/>
                  </w14:solidFill>
                </w14:textFill>
              </w:rPr>
              <w:t>有组织收集量为0.0076t/a，收集</w:t>
            </w:r>
            <w:r>
              <w:rPr>
                <w:color w:val="000000" w:themeColor="text1"/>
                <w:sz w:val="24"/>
                <w:szCs w:val="24"/>
                <w14:textFill>
                  <w14:solidFill>
                    <w14:schemeClr w14:val="tx1"/>
                  </w14:solidFill>
                </w14:textFill>
              </w:rPr>
              <w:t>速率0.0014kg/h，</w:t>
            </w:r>
            <w:r>
              <w:rPr>
                <w:rFonts w:hint="eastAsia"/>
                <w:color w:val="000000" w:themeColor="text1"/>
                <w:sz w:val="24"/>
                <w:szCs w:val="24"/>
                <w14:textFill>
                  <w14:solidFill>
                    <w14:schemeClr w14:val="tx1"/>
                  </w14:solidFill>
                </w14:textFill>
              </w:rPr>
              <w:t>收集</w:t>
            </w:r>
            <w:r>
              <w:rPr>
                <w:color w:val="000000" w:themeColor="text1"/>
                <w:sz w:val="24"/>
                <w:szCs w:val="24"/>
                <w14:textFill>
                  <w14:solidFill>
                    <w14:schemeClr w14:val="tx1"/>
                  </w14:solidFill>
                </w14:textFill>
              </w:rPr>
              <w:t>浓度为1.389mg/m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14:textFill>
                  <w14:solidFill>
                    <w14:schemeClr w14:val="tx1"/>
                  </w14:solidFill>
                </w14:textFill>
              </w:rPr>
              <w:t>H</w:t>
            </w:r>
            <w:r>
              <w:rPr>
                <w:color w:val="000000" w:themeColor="text1"/>
                <w:sz w:val="15"/>
                <w:szCs w:val="15"/>
                <w14:textFill>
                  <w14:solidFill>
                    <w14:schemeClr w14:val="tx1"/>
                  </w14:solidFill>
                </w14:textFill>
              </w:rPr>
              <w:t>2</w:t>
            </w:r>
            <w:r>
              <w:rPr>
                <w:color w:val="000000" w:themeColor="text1"/>
                <w:sz w:val="24"/>
                <w14:textFill>
                  <w14:solidFill>
                    <w14:schemeClr w14:val="tx1"/>
                  </w14:solidFill>
                </w14:textFill>
              </w:rPr>
              <w:t>S</w:t>
            </w:r>
            <w:r>
              <w:rPr>
                <w:rFonts w:hint="eastAsia"/>
                <w:color w:val="000000" w:themeColor="text1"/>
                <w:sz w:val="24"/>
                <w:szCs w:val="24"/>
                <w14:textFill>
                  <w14:solidFill>
                    <w14:schemeClr w14:val="tx1"/>
                  </w14:solidFill>
                </w14:textFill>
              </w:rPr>
              <w:t>有组织收集量为0.00029t/a，收集</w:t>
            </w:r>
            <w:r>
              <w:rPr>
                <w:color w:val="000000" w:themeColor="text1"/>
                <w:sz w:val="24"/>
                <w:szCs w:val="24"/>
                <w14:textFill>
                  <w14:solidFill>
                    <w14:schemeClr w14:val="tx1"/>
                  </w14:solidFill>
                </w14:textFill>
              </w:rPr>
              <w:t>速率0.00005kg/h，</w:t>
            </w:r>
            <w:r>
              <w:rPr>
                <w:rFonts w:hint="eastAsia"/>
                <w:color w:val="000000" w:themeColor="text1"/>
                <w:sz w:val="24"/>
                <w:szCs w:val="24"/>
                <w14:textFill>
                  <w14:solidFill>
                    <w14:schemeClr w14:val="tx1"/>
                  </w14:solidFill>
                </w14:textFill>
              </w:rPr>
              <w:t>收集</w:t>
            </w:r>
            <w:r>
              <w:rPr>
                <w:color w:val="000000" w:themeColor="text1"/>
                <w:sz w:val="24"/>
                <w:szCs w:val="24"/>
                <w14:textFill>
                  <w14:solidFill>
                    <w14:schemeClr w14:val="tx1"/>
                  </w14:solidFill>
                </w14:textFill>
              </w:rPr>
              <w:t>浓度为0.052mg/m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；经UV光氧+活性炭吸附装置处理后</w:t>
            </w:r>
            <w:r>
              <w:rPr>
                <w:color w:val="000000" w:themeColor="text1"/>
                <w:sz w:val="24"/>
                <w14:textFill>
                  <w14:solidFill>
                    <w14:schemeClr w14:val="tx1"/>
                  </w14:solidFill>
                </w14:textFill>
              </w:rPr>
              <w:t>NH</w:t>
            </w:r>
            <w:r>
              <w:rPr>
                <w:color w:val="000000" w:themeColor="text1"/>
                <w:sz w:val="24"/>
                <w:vertAlign w:val="subscript"/>
                <w14:textFill>
                  <w14:solidFill>
                    <w14:schemeClr w14:val="tx1"/>
                  </w14:solidFill>
                </w14:textFill>
              </w:rPr>
              <w:t>3</w:t>
            </w:r>
            <w:r>
              <w:rPr>
                <w:rFonts w:hint="eastAsia"/>
                <w:color w:val="000000" w:themeColor="text1"/>
                <w:sz w:val="24"/>
                <w:szCs w:val="24"/>
                <w14:textFill>
                  <w14:solidFill>
                    <w14:schemeClr w14:val="tx1"/>
                  </w14:solidFill>
                </w14:textFill>
              </w:rPr>
              <w:t>有组织</w:t>
            </w:r>
            <w:r>
              <w:rPr>
                <w:color w:val="000000" w:themeColor="text1"/>
                <w:sz w:val="24"/>
                <w:szCs w:val="24"/>
                <w14:textFill>
                  <w14:solidFill>
                    <w14:schemeClr w14:val="tx1"/>
                  </w14:solidFill>
                </w14:textFill>
              </w:rPr>
              <w:t>排放</w:t>
            </w:r>
            <w:r>
              <w:rPr>
                <w:rFonts w:hint="eastAsia"/>
                <w:color w:val="000000" w:themeColor="text1"/>
                <w:sz w:val="24"/>
                <w:szCs w:val="24"/>
                <w14:textFill>
                  <w14:solidFill>
                    <w14:schemeClr w14:val="tx1"/>
                  </w14:solidFill>
                </w14:textFill>
              </w:rPr>
              <w:t>量为0.0030t/a，</w:t>
            </w:r>
            <w:r>
              <w:rPr>
                <w:color w:val="000000" w:themeColor="text1"/>
                <w:sz w:val="24"/>
                <w:szCs w:val="24"/>
                <w14:textFill>
                  <w14:solidFill>
                    <w14:schemeClr w14:val="tx1"/>
                  </w14:solidFill>
                </w14:textFill>
              </w:rPr>
              <w:t>排放速率0.0006kg/h，排放浓度为0.556mg/m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r>
              <w:rPr>
                <w:color w:val="000000" w:themeColor="text1"/>
                <w:sz w:val="24"/>
                <w14:textFill>
                  <w14:solidFill>
                    <w14:schemeClr w14:val="tx1"/>
                  </w14:solidFill>
                </w14:textFill>
              </w:rPr>
              <w:t>H</w:t>
            </w:r>
            <w:r>
              <w:rPr>
                <w:color w:val="000000" w:themeColor="text1"/>
                <w:sz w:val="15"/>
                <w:szCs w:val="15"/>
                <w14:textFill>
                  <w14:solidFill>
                    <w14:schemeClr w14:val="tx1"/>
                  </w14:solidFill>
                </w14:textFill>
              </w:rPr>
              <w:t>2</w:t>
            </w:r>
            <w:r>
              <w:rPr>
                <w:color w:val="000000" w:themeColor="text1"/>
                <w:sz w:val="24"/>
                <w14:textFill>
                  <w14:solidFill>
                    <w14:schemeClr w14:val="tx1"/>
                  </w14:solidFill>
                </w14:textFill>
              </w:rPr>
              <w:t>S</w:t>
            </w:r>
            <w:r>
              <w:rPr>
                <w:rFonts w:hint="eastAsia"/>
                <w:color w:val="000000" w:themeColor="text1"/>
                <w:sz w:val="24"/>
                <w:szCs w:val="24"/>
                <w14:textFill>
                  <w14:solidFill>
                    <w14:schemeClr w14:val="tx1"/>
                  </w14:solidFill>
                </w14:textFill>
              </w:rPr>
              <w:t>有组织</w:t>
            </w:r>
            <w:r>
              <w:rPr>
                <w:color w:val="000000" w:themeColor="text1"/>
                <w:sz w:val="24"/>
                <w:szCs w:val="24"/>
                <w14:textFill>
                  <w14:solidFill>
                    <w14:schemeClr w14:val="tx1"/>
                  </w14:solidFill>
                </w14:textFill>
              </w:rPr>
              <w:t>排放</w:t>
            </w:r>
            <w:r>
              <w:rPr>
                <w:rFonts w:hint="eastAsia"/>
                <w:color w:val="000000" w:themeColor="text1"/>
                <w:sz w:val="24"/>
                <w:szCs w:val="24"/>
                <w14:textFill>
                  <w14:solidFill>
                    <w14:schemeClr w14:val="tx1"/>
                  </w14:solidFill>
                </w14:textFill>
              </w:rPr>
              <w:t>量为0.00011t/a，</w:t>
            </w:r>
            <w:r>
              <w:rPr>
                <w:color w:val="000000" w:themeColor="text1"/>
                <w:sz w:val="24"/>
                <w:szCs w:val="24"/>
                <w14:textFill>
                  <w14:solidFill>
                    <w14:schemeClr w14:val="tx1"/>
                  </w14:solidFill>
                </w14:textFill>
              </w:rPr>
              <w:t>排放速率0.00002kg/h，排放浓度为0.021mg/m</w:t>
            </w:r>
            <w:r>
              <w:rPr>
                <w:color w:val="000000" w:themeColor="text1"/>
                <w:sz w:val="24"/>
                <w:szCs w:val="24"/>
                <w:vertAlign w:val="superscript"/>
                <w14:textFill>
                  <w14:solidFill>
                    <w14:schemeClr w14:val="tx1"/>
                  </w14:solidFill>
                </w14:textFill>
              </w:rPr>
              <w:t>3</w:t>
            </w:r>
            <w:r>
              <w:rPr>
                <w:rFonts w:hint="eastAsia"/>
                <w:color w:val="000000" w:themeColor="text1"/>
                <w:sz w:val="24"/>
                <w:szCs w:val="24"/>
                <w14:textFill>
                  <w14:solidFill>
                    <w14:schemeClr w14:val="tx1"/>
                  </w14:solidFill>
                </w14:textFill>
              </w:rPr>
              <w:t>。</w:t>
            </w:r>
          </w:p>
          <w:p w14:paraId="3FBA1914">
            <w:pPr>
              <w:pStyle w:val="9"/>
              <w:spacing w:before="0" w:after="0" w:line="360" w:lineRule="auto"/>
              <w:ind w:right="0"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未有效收集的废气则以无组织形式排放，无组织氨排放量为</w:t>
            </w:r>
            <w:r>
              <w:rPr>
                <w:rFonts w:hint="eastAsia"/>
                <w:color w:val="000000" w:themeColor="text1"/>
                <w:sz w:val="24"/>
                <w14:textFill>
                  <w14:solidFill>
                    <w14:schemeClr w14:val="tx1"/>
                  </w14:solidFill>
                </w14:textFill>
              </w:rPr>
              <w:t>0.0004</w:t>
            </w:r>
            <w:r>
              <w:rPr>
                <w:color w:val="000000" w:themeColor="text1"/>
                <w:sz w:val="24"/>
                <w14:textFill>
                  <w14:solidFill>
                    <w14:schemeClr w14:val="tx1"/>
                  </w14:solidFill>
                </w14:textFill>
              </w:rPr>
              <w:t>t/a、排放速率为0.0</w:t>
            </w:r>
            <w:r>
              <w:rPr>
                <w:rFonts w:hint="eastAsia"/>
                <w:color w:val="000000" w:themeColor="text1"/>
                <w:sz w:val="24"/>
                <w14:textFill>
                  <w14:solidFill>
                    <w14:schemeClr w14:val="tx1"/>
                  </w14:solidFill>
                </w14:textFill>
              </w:rPr>
              <w:t>007</w:t>
            </w:r>
            <w:r>
              <w:rPr>
                <w:color w:val="000000" w:themeColor="text1"/>
                <w:sz w:val="24"/>
                <w14:textFill>
                  <w14:solidFill>
                    <w14:schemeClr w14:val="tx1"/>
                  </w14:solidFill>
                </w14:textFill>
              </w:rPr>
              <w:t>kg/h；无组织硫化氢排放量为</w:t>
            </w:r>
            <w:r>
              <w:rPr>
                <w:rFonts w:hint="eastAsia"/>
                <w:color w:val="000000" w:themeColor="text1"/>
                <w:sz w:val="24"/>
                <w14:textFill>
                  <w14:solidFill>
                    <w14:schemeClr w14:val="tx1"/>
                  </w14:solidFill>
                </w14:textFill>
              </w:rPr>
              <w:t>0.00001</w:t>
            </w:r>
            <w:r>
              <w:rPr>
                <w:color w:val="000000" w:themeColor="text1"/>
                <w:sz w:val="24"/>
                <w14:textFill>
                  <w14:solidFill>
                    <w14:schemeClr w14:val="tx1"/>
                  </w14:solidFill>
                </w14:textFill>
              </w:rPr>
              <w:t>t/a、排放速率为0.00</w:t>
            </w:r>
            <w:r>
              <w:rPr>
                <w:rFonts w:hint="eastAsia"/>
                <w:color w:val="000000" w:themeColor="text1"/>
                <w:sz w:val="24"/>
                <w14:textFill>
                  <w14:solidFill>
                    <w14:schemeClr w14:val="tx1"/>
                  </w14:solidFill>
                </w14:textFill>
              </w:rPr>
              <w:t>000</w:t>
            </w:r>
            <w:r>
              <w:rPr>
                <w:color w:val="000000" w:themeColor="text1"/>
                <w:sz w:val="24"/>
                <w14:textFill>
                  <w14:solidFill>
                    <w14:schemeClr w14:val="tx1"/>
                  </w14:solidFill>
                </w14:textFill>
              </w:rPr>
              <w:t>2kg/h。</w:t>
            </w:r>
          </w:p>
          <w:p w14:paraId="59344DEF">
            <w:pPr>
              <w:adjustRightInd w:val="0"/>
              <w:snapToGrid w:val="0"/>
              <w:spacing w:line="360" w:lineRule="auto"/>
              <w:ind w:firstLine="480" w:firstLineChars="200"/>
              <w:rPr>
                <w:b/>
                <w:bCs/>
                <w:color w:val="000000" w:themeColor="text1"/>
                <w:spacing w:val="-10"/>
                <w:sz w:val="24"/>
                <w14:textFill>
                  <w14:solidFill>
                    <w14:schemeClr w14:val="tx1"/>
                  </w14:solidFill>
                </w14:textFill>
              </w:rPr>
            </w:pPr>
            <w:r>
              <w:rPr>
                <w:color w:val="000000" w:themeColor="text1"/>
                <w:sz w:val="24"/>
                <w14:textFill>
                  <w14:solidFill>
                    <w14:schemeClr w14:val="tx1"/>
                  </w14:solidFill>
                </w14:textFill>
              </w:rPr>
              <w:t>项目营运期废气产排情况及治理措施见下表。</w:t>
            </w:r>
          </w:p>
        </w:tc>
      </w:tr>
    </w:tbl>
    <w:p w14:paraId="25E8AED6">
      <w:pPr>
        <w:rPr>
          <w:color w:val="000000" w:themeColor="text1"/>
          <w14:textFill>
            <w14:solidFill>
              <w14:schemeClr w14:val="tx1"/>
            </w14:solidFill>
          </w14:textFill>
        </w:rPr>
        <w:sectPr>
          <w:footerReference r:id="rId7" w:type="default"/>
          <w:pgSz w:w="11906" w:h="16838"/>
          <w:pgMar w:top="1440" w:right="1083" w:bottom="1440" w:left="1083" w:header="851" w:footer="992" w:gutter="0"/>
          <w:pgNumType w:fmt="decimal"/>
          <w:cols w:space="0" w:num="1"/>
          <w:docGrid w:type="lines" w:linePitch="312" w:charSpace="0"/>
        </w:sectPr>
      </w:pPr>
    </w:p>
    <w:tbl>
      <w:tblPr>
        <w:tblStyle w:val="26"/>
        <w:tblW w:w="498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2"/>
        <w:gridCol w:w="13668"/>
      </w:tblGrid>
      <w:tr w14:paraId="3F73A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0" w:type="pct"/>
            <w:shd w:val="clear" w:color="auto" w:fill="auto"/>
            <w:vAlign w:val="center"/>
          </w:tcPr>
          <w:p w14:paraId="04DDC0BC">
            <w:pPr>
              <w:adjustRightInd w:val="0"/>
              <w:snapToGrid w:val="0"/>
              <w:jc w:val="center"/>
              <w:rPr>
                <w:bCs/>
                <w:color w:val="000000" w:themeColor="text1"/>
                <w:sz w:val="24"/>
                <w14:textFill>
                  <w14:solidFill>
                    <w14:schemeClr w14:val="tx1"/>
                  </w14:solidFill>
                </w14:textFill>
              </w:rPr>
            </w:pPr>
          </w:p>
        </w:tc>
        <w:tc>
          <w:tcPr>
            <w:tcW w:w="4839" w:type="pct"/>
            <w:shd w:val="clear" w:color="auto" w:fill="auto"/>
          </w:tcPr>
          <w:p w14:paraId="6C746D70">
            <w:pPr>
              <w:widowControl/>
              <w:adjustRightInd w:val="0"/>
              <w:snapToGrid w:val="0"/>
              <w:spacing w:line="360" w:lineRule="auto"/>
              <w:ind w:firstLine="482"/>
              <w:jc w:val="center"/>
              <w:rPr>
                <w:rStyle w:val="30"/>
                <w:color w:val="000000" w:themeColor="text1"/>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2</w:t>
            </w:r>
            <w:r>
              <w:rPr>
                <w:b/>
                <w:color w:val="000000" w:themeColor="text1"/>
                <w:sz w:val="24"/>
                <w14:textFill>
                  <w14:solidFill>
                    <w14:schemeClr w14:val="tx1"/>
                  </w14:solidFill>
                </w14:textFill>
              </w:rPr>
              <w:t xml:space="preserve">  项目营运期废气产排情况及治理措施汇总一览表</w:t>
            </w:r>
          </w:p>
          <w:tbl>
            <w:tblPr>
              <w:tblStyle w:val="25"/>
              <w:tblW w:w="132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8"/>
              <w:gridCol w:w="400"/>
              <w:gridCol w:w="1841"/>
              <w:gridCol w:w="1204"/>
              <w:gridCol w:w="1055"/>
              <w:gridCol w:w="937"/>
              <w:gridCol w:w="1163"/>
              <w:gridCol w:w="3107"/>
              <w:gridCol w:w="917"/>
              <w:gridCol w:w="900"/>
              <w:gridCol w:w="1068"/>
            </w:tblGrid>
            <w:tr w14:paraId="4A446E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restart"/>
                  <w:vAlign w:val="center"/>
                </w:tcPr>
                <w:p w14:paraId="379EA59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排放形式</w:t>
                  </w:r>
                </w:p>
              </w:tc>
              <w:tc>
                <w:tcPr>
                  <w:tcW w:w="2241" w:type="dxa"/>
                  <w:gridSpan w:val="2"/>
                  <w:vMerge w:val="restart"/>
                  <w:vAlign w:val="center"/>
                </w:tcPr>
                <w:p w14:paraId="2411A8E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产排污环节</w:t>
                  </w:r>
                </w:p>
              </w:tc>
              <w:tc>
                <w:tcPr>
                  <w:tcW w:w="1204" w:type="dxa"/>
                  <w:vMerge w:val="restart"/>
                  <w:vAlign w:val="center"/>
                </w:tcPr>
                <w:p w14:paraId="5BB27E8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污染因子</w:t>
                  </w:r>
                </w:p>
              </w:tc>
              <w:tc>
                <w:tcPr>
                  <w:tcW w:w="3155" w:type="dxa"/>
                  <w:gridSpan w:val="3"/>
                  <w:vAlign w:val="center"/>
                </w:tcPr>
                <w:p w14:paraId="267BEA0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产生情况</w:t>
                  </w:r>
                </w:p>
              </w:tc>
              <w:tc>
                <w:tcPr>
                  <w:tcW w:w="3107" w:type="dxa"/>
                  <w:vMerge w:val="restart"/>
                  <w:vAlign w:val="center"/>
                </w:tcPr>
                <w:p w14:paraId="1BA7CCA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治理情况</w:t>
                  </w:r>
                </w:p>
              </w:tc>
              <w:tc>
                <w:tcPr>
                  <w:tcW w:w="2885" w:type="dxa"/>
                  <w:gridSpan w:val="3"/>
                  <w:vAlign w:val="center"/>
                </w:tcPr>
                <w:p w14:paraId="09B8FF9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排放情况</w:t>
                  </w:r>
                </w:p>
              </w:tc>
            </w:tr>
            <w:tr w14:paraId="75C1B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668" w:type="dxa"/>
                  <w:vMerge w:val="continue"/>
                  <w:vAlign w:val="center"/>
                </w:tcPr>
                <w:p w14:paraId="481E666A">
                  <w:pPr>
                    <w:jc w:val="center"/>
                    <w:rPr>
                      <w:color w:val="000000" w:themeColor="text1"/>
                      <w:szCs w:val="21"/>
                      <w14:textFill>
                        <w14:solidFill>
                          <w14:schemeClr w14:val="tx1"/>
                        </w14:solidFill>
                      </w14:textFill>
                    </w:rPr>
                  </w:pPr>
                </w:p>
              </w:tc>
              <w:tc>
                <w:tcPr>
                  <w:tcW w:w="2241" w:type="dxa"/>
                  <w:gridSpan w:val="2"/>
                  <w:vMerge w:val="continue"/>
                  <w:vAlign w:val="center"/>
                </w:tcPr>
                <w:p w14:paraId="2E9CED70">
                  <w:pPr>
                    <w:jc w:val="center"/>
                    <w:rPr>
                      <w:color w:val="000000" w:themeColor="text1"/>
                      <w:szCs w:val="21"/>
                      <w14:textFill>
                        <w14:solidFill>
                          <w14:schemeClr w14:val="tx1"/>
                        </w14:solidFill>
                      </w14:textFill>
                    </w:rPr>
                  </w:pPr>
                </w:p>
              </w:tc>
              <w:tc>
                <w:tcPr>
                  <w:tcW w:w="1204" w:type="dxa"/>
                  <w:vMerge w:val="continue"/>
                  <w:vAlign w:val="center"/>
                </w:tcPr>
                <w:p w14:paraId="49F0B10C">
                  <w:pPr>
                    <w:jc w:val="center"/>
                    <w:rPr>
                      <w:color w:val="000000" w:themeColor="text1"/>
                      <w:szCs w:val="21"/>
                      <w14:textFill>
                        <w14:solidFill>
                          <w14:schemeClr w14:val="tx1"/>
                        </w14:solidFill>
                      </w14:textFill>
                    </w:rPr>
                  </w:pPr>
                </w:p>
              </w:tc>
              <w:tc>
                <w:tcPr>
                  <w:tcW w:w="1055" w:type="dxa"/>
                  <w:vAlign w:val="center"/>
                </w:tcPr>
                <w:p w14:paraId="4F71FDB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产生量t/a</w:t>
                  </w:r>
                </w:p>
              </w:tc>
              <w:tc>
                <w:tcPr>
                  <w:tcW w:w="937" w:type="dxa"/>
                  <w:vAlign w:val="center"/>
                </w:tcPr>
                <w:p w14:paraId="05759C7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产生速率kg/h</w:t>
                  </w:r>
                </w:p>
              </w:tc>
              <w:tc>
                <w:tcPr>
                  <w:tcW w:w="1163" w:type="dxa"/>
                  <w:vAlign w:val="center"/>
                </w:tcPr>
                <w:p w14:paraId="041BBA8A">
                  <w:pPr>
                    <w:jc w:val="center"/>
                    <w:rPr>
                      <w:color w:val="000000" w:themeColor="text1"/>
                      <w:szCs w:val="21"/>
                      <w:lang w:val="en-GB" w:eastAsia="zh-TW"/>
                      <w14:textFill>
                        <w14:solidFill>
                          <w14:schemeClr w14:val="tx1"/>
                        </w14:solidFill>
                      </w14:textFill>
                    </w:rPr>
                  </w:pPr>
                  <w:r>
                    <w:rPr>
                      <w:color w:val="000000" w:themeColor="text1"/>
                      <w:szCs w:val="21"/>
                      <w14:textFill>
                        <w14:solidFill>
                          <w14:schemeClr w14:val="tx1"/>
                        </w14:solidFill>
                      </w14:textFill>
                    </w:rPr>
                    <w:t>产生浓度</w:t>
                  </w:r>
                </w:p>
                <w:p w14:paraId="1E59299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mg/m</w:t>
                  </w:r>
                  <w:r>
                    <w:rPr>
                      <w:color w:val="000000" w:themeColor="text1"/>
                      <w:szCs w:val="21"/>
                      <w:vertAlign w:val="superscript"/>
                      <w14:textFill>
                        <w14:solidFill>
                          <w14:schemeClr w14:val="tx1"/>
                        </w14:solidFill>
                      </w14:textFill>
                    </w:rPr>
                    <w:t>3</w:t>
                  </w:r>
                </w:p>
              </w:tc>
              <w:tc>
                <w:tcPr>
                  <w:tcW w:w="3107" w:type="dxa"/>
                  <w:vMerge w:val="continue"/>
                  <w:vAlign w:val="center"/>
                </w:tcPr>
                <w:p w14:paraId="49707536">
                  <w:pPr>
                    <w:jc w:val="center"/>
                    <w:rPr>
                      <w:color w:val="000000" w:themeColor="text1"/>
                      <w:szCs w:val="21"/>
                      <w14:textFill>
                        <w14:solidFill>
                          <w14:schemeClr w14:val="tx1"/>
                        </w14:solidFill>
                      </w14:textFill>
                    </w:rPr>
                  </w:pPr>
                </w:p>
              </w:tc>
              <w:tc>
                <w:tcPr>
                  <w:tcW w:w="917" w:type="dxa"/>
                  <w:vAlign w:val="center"/>
                </w:tcPr>
                <w:p w14:paraId="613DC1E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排放量t/a</w:t>
                  </w:r>
                </w:p>
              </w:tc>
              <w:tc>
                <w:tcPr>
                  <w:tcW w:w="900" w:type="dxa"/>
                  <w:vAlign w:val="center"/>
                </w:tcPr>
                <w:p w14:paraId="5E70B0C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排放速率kg/h</w:t>
                  </w:r>
                </w:p>
              </w:tc>
              <w:tc>
                <w:tcPr>
                  <w:tcW w:w="1068" w:type="dxa"/>
                  <w:vAlign w:val="center"/>
                </w:tcPr>
                <w:p w14:paraId="1B4F0AC1">
                  <w:pPr>
                    <w:jc w:val="center"/>
                    <w:rPr>
                      <w:color w:val="000000" w:themeColor="text1"/>
                      <w:szCs w:val="21"/>
                      <w:lang w:val="en-GB" w:eastAsia="zh-TW"/>
                      <w14:textFill>
                        <w14:solidFill>
                          <w14:schemeClr w14:val="tx1"/>
                        </w14:solidFill>
                      </w14:textFill>
                    </w:rPr>
                  </w:pPr>
                  <w:r>
                    <w:rPr>
                      <w:color w:val="000000" w:themeColor="text1"/>
                      <w:szCs w:val="21"/>
                      <w14:textFill>
                        <w14:solidFill>
                          <w14:schemeClr w14:val="tx1"/>
                        </w14:solidFill>
                      </w14:textFill>
                    </w:rPr>
                    <w:t>排放浓度</w:t>
                  </w:r>
                </w:p>
                <w:p w14:paraId="78FC408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mg/m</w:t>
                  </w:r>
                  <w:r>
                    <w:rPr>
                      <w:color w:val="000000" w:themeColor="text1"/>
                      <w:szCs w:val="21"/>
                      <w:vertAlign w:val="superscript"/>
                      <w14:textFill>
                        <w14:solidFill>
                          <w14:schemeClr w14:val="tx1"/>
                        </w14:solidFill>
                      </w14:textFill>
                    </w:rPr>
                    <w:t>3</w:t>
                  </w:r>
                </w:p>
              </w:tc>
            </w:tr>
            <w:tr w14:paraId="197C1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restart"/>
                  <w:vAlign w:val="center"/>
                </w:tcPr>
                <w:p w14:paraId="0D91361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废气</w:t>
                  </w:r>
                </w:p>
              </w:tc>
              <w:tc>
                <w:tcPr>
                  <w:tcW w:w="400" w:type="dxa"/>
                  <w:vMerge w:val="restart"/>
                  <w:vAlign w:val="center"/>
                </w:tcPr>
                <w:p w14:paraId="0462BBA0">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有组织</w:t>
                  </w:r>
                </w:p>
              </w:tc>
              <w:tc>
                <w:tcPr>
                  <w:tcW w:w="1841" w:type="dxa"/>
                  <w:shd w:val="clear" w:color="auto" w:fill="auto"/>
                  <w:vAlign w:val="center"/>
                </w:tcPr>
                <w:p w14:paraId="13283F71">
                  <w:pPr>
                    <w:jc w:val="center"/>
                    <w:outlineLvl w:val="9"/>
                    <w:rPr>
                      <w:color w:val="000000" w:themeColor="text1"/>
                      <w:szCs w:val="21"/>
                      <w14:textFill>
                        <w14:solidFill>
                          <w14:schemeClr w14:val="tx1"/>
                        </w14:solidFill>
                      </w14:textFill>
                    </w:rPr>
                  </w:pPr>
                  <w:bookmarkStart w:id="87" w:name="_Toc2010"/>
                  <w:r>
                    <w:rPr>
                      <w:rFonts w:hint="eastAsia"/>
                      <w:color w:val="000000" w:themeColor="text1"/>
                      <w:szCs w:val="21"/>
                      <w14:textFill>
                        <w14:solidFill>
                          <w14:schemeClr w14:val="tx1"/>
                        </w14:solidFill>
                      </w14:textFill>
                    </w:rPr>
                    <w:t>原料投料、粉碎工序和袋泡茶生产过程粉尘</w:t>
                  </w:r>
                  <w:bookmarkEnd w:id="87"/>
                </w:p>
              </w:tc>
              <w:tc>
                <w:tcPr>
                  <w:tcW w:w="1204" w:type="dxa"/>
                  <w:shd w:val="clear" w:color="auto" w:fill="auto"/>
                  <w:vAlign w:val="center"/>
                </w:tcPr>
                <w:p w14:paraId="4486FC79">
                  <w:pPr>
                    <w:jc w:val="center"/>
                    <w:outlineLvl w:val="9"/>
                    <w:rPr>
                      <w:color w:val="000000" w:themeColor="text1"/>
                      <w:szCs w:val="21"/>
                      <w14:textFill>
                        <w14:solidFill>
                          <w14:schemeClr w14:val="tx1"/>
                        </w14:solidFill>
                      </w14:textFill>
                    </w:rPr>
                  </w:pPr>
                  <w:bookmarkStart w:id="88" w:name="_Toc813"/>
                  <w:r>
                    <w:rPr>
                      <w:rFonts w:hint="eastAsia"/>
                      <w:color w:val="000000" w:themeColor="text1"/>
                      <w:szCs w:val="21"/>
                      <w14:textFill>
                        <w14:solidFill>
                          <w14:schemeClr w14:val="tx1"/>
                        </w14:solidFill>
                      </w14:textFill>
                    </w:rPr>
                    <w:t>颗粒物</w:t>
                  </w:r>
                  <w:bookmarkEnd w:id="88"/>
                </w:p>
              </w:tc>
              <w:tc>
                <w:tcPr>
                  <w:tcW w:w="1055" w:type="dxa"/>
                  <w:vAlign w:val="center"/>
                </w:tcPr>
                <w:p w14:paraId="3E638EF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0.626</w:t>
                  </w:r>
                </w:p>
              </w:tc>
              <w:tc>
                <w:tcPr>
                  <w:tcW w:w="937" w:type="dxa"/>
                  <w:vAlign w:val="center"/>
                </w:tcPr>
                <w:p w14:paraId="61A6297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0.941</w:t>
                  </w:r>
                </w:p>
              </w:tc>
              <w:tc>
                <w:tcPr>
                  <w:tcW w:w="1163" w:type="dxa"/>
                  <w:vAlign w:val="center"/>
                </w:tcPr>
                <w:p w14:paraId="15D3A61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268.879</w:t>
                  </w:r>
                </w:p>
              </w:tc>
              <w:tc>
                <w:tcPr>
                  <w:tcW w:w="3107" w:type="dxa"/>
                  <w:vAlign w:val="center"/>
                </w:tcPr>
                <w:p w14:paraId="30E0E6F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经集气罩收集引入1套覆膜袋式除尘器（TA001）处理后通过1根15m高排气筒（DA001）排放</w:t>
                  </w:r>
                </w:p>
              </w:tc>
              <w:tc>
                <w:tcPr>
                  <w:tcW w:w="917" w:type="dxa"/>
                  <w:shd w:val="clear" w:color="auto" w:fill="auto"/>
                  <w:vAlign w:val="center"/>
                </w:tcPr>
                <w:p w14:paraId="4FBFF65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0.006</w:t>
                  </w:r>
                </w:p>
              </w:tc>
              <w:tc>
                <w:tcPr>
                  <w:tcW w:w="900" w:type="dxa"/>
                  <w:shd w:val="clear" w:color="auto" w:fill="auto"/>
                  <w:vAlign w:val="center"/>
                </w:tcPr>
                <w:p w14:paraId="1AD60E3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0.009</w:t>
                  </w:r>
                </w:p>
              </w:tc>
              <w:tc>
                <w:tcPr>
                  <w:tcW w:w="1068" w:type="dxa"/>
                  <w:vAlign w:val="center"/>
                </w:tcPr>
                <w:p w14:paraId="5CAE96A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2.689</w:t>
                  </w:r>
                </w:p>
              </w:tc>
            </w:tr>
            <w:tr w14:paraId="63D99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0C6515F8">
                  <w:pPr>
                    <w:jc w:val="center"/>
                    <w:rPr>
                      <w:color w:val="000000" w:themeColor="text1"/>
                      <w:szCs w:val="21"/>
                      <w14:textFill>
                        <w14:solidFill>
                          <w14:schemeClr w14:val="tx1"/>
                        </w14:solidFill>
                      </w14:textFill>
                    </w:rPr>
                  </w:pPr>
                </w:p>
              </w:tc>
              <w:tc>
                <w:tcPr>
                  <w:tcW w:w="400" w:type="dxa"/>
                  <w:vMerge w:val="continue"/>
                  <w:vAlign w:val="center"/>
                </w:tcPr>
                <w:p w14:paraId="5EC1D8DB">
                  <w:pPr>
                    <w:jc w:val="center"/>
                    <w:rPr>
                      <w:bCs/>
                      <w:color w:val="000000" w:themeColor="text1"/>
                      <w:szCs w:val="21"/>
                      <w14:textFill>
                        <w14:solidFill>
                          <w14:schemeClr w14:val="tx1"/>
                        </w14:solidFill>
                      </w14:textFill>
                    </w:rPr>
                  </w:pPr>
                </w:p>
              </w:tc>
              <w:tc>
                <w:tcPr>
                  <w:tcW w:w="1841" w:type="dxa"/>
                  <w:vMerge w:val="restart"/>
                  <w:shd w:val="clear" w:color="auto" w:fill="auto"/>
                  <w:vAlign w:val="center"/>
                </w:tcPr>
                <w:p w14:paraId="113DD72D">
                  <w:pPr>
                    <w:jc w:val="center"/>
                    <w:outlineLvl w:val="9"/>
                    <w:rPr>
                      <w:color w:val="000000" w:themeColor="text1"/>
                      <w:szCs w:val="21"/>
                      <w14:textFill>
                        <w14:solidFill>
                          <w14:schemeClr w14:val="tx1"/>
                        </w14:solidFill>
                      </w14:textFill>
                    </w:rPr>
                  </w:pPr>
                  <w:bookmarkStart w:id="89" w:name="_Toc14192"/>
                  <w:r>
                    <w:rPr>
                      <w:rFonts w:hint="eastAsia"/>
                      <w:color w:val="000000" w:themeColor="text1"/>
                      <w:szCs w:val="21"/>
                      <w14:textFill>
                        <w14:solidFill>
                          <w14:schemeClr w14:val="tx1"/>
                        </w14:solidFill>
                      </w14:textFill>
                    </w:rPr>
                    <w:t>1t/h蒸汽发生器天然气燃烧废气</w:t>
                  </w:r>
                  <w:bookmarkEnd w:id="89"/>
                </w:p>
              </w:tc>
              <w:tc>
                <w:tcPr>
                  <w:tcW w:w="1204" w:type="dxa"/>
                  <w:shd w:val="clear" w:color="auto" w:fill="auto"/>
                  <w:vAlign w:val="center"/>
                </w:tcPr>
                <w:p w14:paraId="4D272025">
                  <w:pPr>
                    <w:jc w:val="center"/>
                    <w:outlineLvl w:val="9"/>
                    <w:rPr>
                      <w:color w:val="000000" w:themeColor="text1"/>
                      <w:szCs w:val="21"/>
                      <w14:textFill>
                        <w14:solidFill>
                          <w14:schemeClr w14:val="tx1"/>
                        </w14:solidFill>
                      </w14:textFill>
                    </w:rPr>
                  </w:pPr>
                  <w:bookmarkStart w:id="90" w:name="_Toc18849"/>
                  <w:r>
                    <w:rPr>
                      <w:rFonts w:hint="eastAsia"/>
                      <w:color w:val="000000" w:themeColor="text1"/>
                      <w:szCs w:val="21"/>
                      <w14:textFill>
                        <w14:solidFill>
                          <w14:schemeClr w14:val="tx1"/>
                        </w14:solidFill>
                      </w14:textFill>
                    </w:rPr>
                    <w:t>颗粒物</w:t>
                  </w:r>
                  <w:bookmarkEnd w:id="90"/>
                </w:p>
              </w:tc>
              <w:tc>
                <w:tcPr>
                  <w:tcW w:w="1055" w:type="dxa"/>
                  <w:vAlign w:val="center"/>
                </w:tcPr>
                <w:p w14:paraId="3056FFA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0.005</w:t>
                  </w:r>
                </w:p>
              </w:tc>
              <w:tc>
                <w:tcPr>
                  <w:tcW w:w="937" w:type="dxa"/>
                  <w:vAlign w:val="center"/>
                </w:tcPr>
                <w:p w14:paraId="55C8D47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0.004</w:t>
                  </w:r>
                </w:p>
              </w:tc>
              <w:tc>
                <w:tcPr>
                  <w:tcW w:w="1163" w:type="dxa"/>
                  <w:vAlign w:val="center"/>
                </w:tcPr>
                <w:p w14:paraId="46147C7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c>
                <w:tcPr>
                  <w:tcW w:w="3107" w:type="dxa"/>
                  <w:vMerge w:val="restart"/>
                  <w:vAlign w:val="center"/>
                </w:tcPr>
                <w:p w14:paraId="0C95B1E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（TA002）</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排放</w:t>
                  </w:r>
                </w:p>
              </w:tc>
              <w:tc>
                <w:tcPr>
                  <w:tcW w:w="917" w:type="dxa"/>
                  <w:shd w:val="clear" w:color="auto" w:fill="auto"/>
                  <w:vAlign w:val="center"/>
                </w:tcPr>
                <w:p w14:paraId="7FAA94D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0.005</w:t>
                  </w:r>
                </w:p>
              </w:tc>
              <w:tc>
                <w:tcPr>
                  <w:tcW w:w="900" w:type="dxa"/>
                  <w:shd w:val="clear" w:color="auto" w:fill="auto"/>
                  <w:vAlign w:val="center"/>
                </w:tcPr>
                <w:p w14:paraId="11E9A58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0.004</w:t>
                  </w:r>
                </w:p>
              </w:tc>
              <w:tc>
                <w:tcPr>
                  <w:tcW w:w="1068" w:type="dxa"/>
                  <w:shd w:val="clear" w:color="auto" w:fill="auto"/>
                  <w:vAlign w:val="center"/>
                </w:tcPr>
                <w:p w14:paraId="32D97AB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r>
            <w:tr w14:paraId="1F251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602DD5D5">
                  <w:pPr>
                    <w:jc w:val="center"/>
                    <w:rPr>
                      <w:color w:val="000000" w:themeColor="text1"/>
                      <w:szCs w:val="21"/>
                      <w14:textFill>
                        <w14:solidFill>
                          <w14:schemeClr w14:val="tx1"/>
                        </w14:solidFill>
                      </w14:textFill>
                    </w:rPr>
                  </w:pPr>
                </w:p>
              </w:tc>
              <w:tc>
                <w:tcPr>
                  <w:tcW w:w="400" w:type="dxa"/>
                  <w:vMerge w:val="continue"/>
                  <w:vAlign w:val="center"/>
                </w:tcPr>
                <w:p w14:paraId="1621B39E">
                  <w:pPr>
                    <w:jc w:val="center"/>
                    <w:rPr>
                      <w:bCs/>
                      <w:color w:val="000000" w:themeColor="text1"/>
                      <w:szCs w:val="21"/>
                      <w14:textFill>
                        <w14:solidFill>
                          <w14:schemeClr w14:val="tx1"/>
                        </w14:solidFill>
                      </w14:textFill>
                    </w:rPr>
                  </w:pPr>
                </w:p>
              </w:tc>
              <w:tc>
                <w:tcPr>
                  <w:tcW w:w="1841" w:type="dxa"/>
                  <w:vMerge w:val="continue"/>
                  <w:vAlign w:val="center"/>
                </w:tcPr>
                <w:p w14:paraId="531199B7">
                  <w:pPr>
                    <w:jc w:val="center"/>
                    <w:rPr>
                      <w:color w:val="000000" w:themeColor="text1"/>
                      <w:szCs w:val="21"/>
                      <w14:textFill>
                        <w14:solidFill>
                          <w14:schemeClr w14:val="tx1"/>
                        </w14:solidFill>
                      </w14:textFill>
                    </w:rPr>
                  </w:pPr>
                </w:p>
              </w:tc>
              <w:tc>
                <w:tcPr>
                  <w:tcW w:w="1204" w:type="dxa"/>
                  <w:shd w:val="clear" w:color="auto" w:fill="auto"/>
                  <w:vAlign w:val="center"/>
                </w:tcPr>
                <w:p w14:paraId="44BD309E">
                  <w:pPr>
                    <w:jc w:val="center"/>
                    <w:outlineLvl w:val="9"/>
                    <w:rPr>
                      <w:color w:val="000000" w:themeColor="text1"/>
                      <w:szCs w:val="21"/>
                      <w14:textFill>
                        <w14:solidFill>
                          <w14:schemeClr w14:val="tx1"/>
                        </w14:solidFill>
                      </w14:textFill>
                    </w:rPr>
                  </w:pPr>
                  <w:bookmarkStart w:id="91" w:name="_Toc24849"/>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bookmarkEnd w:id="91"/>
                </w:p>
              </w:tc>
              <w:tc>
                <w:tcPr>
                  <w:tcW w:w="1055" w:type="dxa"/>
                  <w:vAlign w:val="center"/>
                </w:tcPr>
                <w:p w14:paraId="2920252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0.004</w:t>
                  </w:r>
                </w:p>
              </w:tc>
              <w:tc>
                <w:tcPr>
                  <w:tcW w:w="937" w:type="dxa"/>
                  <w:vAlign w:val="center"/>
                </w:tcPr>
                <w:p w14:paraId="000C8FF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0.003</w:t>
                  </w:r>
                </w:p>
              </w:tc>
              <w:tc>
                <w:tcPr>
                  <w:tcW w:w="1163" w:type="dxa"/>
                  <w:vAlign w:val="center"/>
                </w:tcPr>
                <w:p w14:paraId="50E19CD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c>
                <w:tcPr>
                  <w:tcW w:w="3107" w:type="dxa"/>
                  <w:vMerge w:val="continue"/>
                  <w:vAlign w:val="center"/>
                </w:tcPr>
                <w:p w14:paraId="054E8BA7">
                  <w:pPr>
                    <w:jc w:val="center"/>
                    <w:rPr>
                      <w:color w:val="000000" w:themeColor="text1"/>
                      <w:szCs w:val="21"/>
                      <w14:textFill>
                        <w14:solidFill>
                          <w14:schemeClr w14:val="tx1"/>
                        </w14:solidFill>
                      </w14:textFill>
                    </w:rPr>
                  </w:pPr>
                </w:p>
              </w:tc>
              <w:tc>
                <w:tcPr>
                  <w:tcW w:w="917" w:type="dxa"/>
                  <w:shd w:val="clear" w:color="auto" w:fill="auto"/>
                  <w:vAlign w:val="center"/>
                </w:tcPr>
                <w:p w14:paraId="7D10F17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0.004</w:t>
                  </w:r>
                </w:p>
              </w:tc>
              <w:tc>
                <w:tcPr>
                  <w:tcW w:w="900" w:type="dxa"/>
                  <w:shd w:val="clear" w:color="auto" w:fill="auto"/>
                  <w:vAlign w:val="center"/>
                </w:tcPr>
                <w:p w14:paraId="421ADFA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0.003</w:t>
                  </w:r>
                </w:p>
              </w:tc>
              <w:tc>
                <w:tcPr>
                  <w:tcW w:w="1068" w:type="dxa"/>
                  <w:shd w:val="clear" w:color="auto" w:fill="auto"/>
                  <w:vAlign w:val="center"/>
                </w:tcPr>
                <w:p w14:paraId="3567788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r>
            <w:tr w14:paraId="72A93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2862A1BC">
                  <w:pPr>
                    <w:jc w:val="center"/>
                    <w:rPr>
                      <w:color w:val="000000" w:themeColor="text1"/>
                      <w:szCs w:val="21"/>
                      <w14:textFill>
                        <w14:solidFill>
                          <w14:schemeClr w14:val="tx1"/>
                        </w14:solidFill>
                      </w14:textFill>
                    </w:rPr>
                  </w:pPr>
                </w:p>
              </w:tc>
              <w:tc>
                <w:tcPr>
                  <w:tcW w:w="400" w:type="dxa"/>
                  <w:vMerge w:val="continue"/>
                  <w:vAlign w:val="center"/>
                </w:tcPr>
                <w:p w14:paraId="0D55908A">
                  <w:pPr>
                    <w:jc w:val="center"/>
                    <w:rPr>
                      <w:bCs/>
                      <w:color w:val="000000" w:themeColor="text1"/>
                      <w:szCs w:val="21"/>
                      <w14:textFill>
                        <w14:solidFill>
                          <w14:schemeClr w14:val="tx1"/>
                        </w14:solidFill>
                      </w14:textFill>
                    </w:rPr>
                  </w:pPr>
                </w:p>
              </w:tc>
              <w:tc>
                <w:tcPr>
                  <w:tcW w:w="1841" w:type="dxa"/>
                  <w:vMerge w:val="continue"/>
                  <w:vAlign w:val="center"/>
                </w:tcPr>
                <w:p w14:paraId="5218E6E5">
                  <w:pPr>
                    <w:jc w:val="center"/>
                    <w:rPr>
                      <w:color w:val="000000" w:themeColor="text1"/>
                      <w:szCs w:val="21"/>
                      <w14:textFill>
                        <w14:solidFill>
                          <w14:schemeClr w14:val="tx1"/>
                        </w14:solidFill>
                      </w14:textFill>
                    </w:rPr>
                  </w:pPr>
                </w:p>
              </w:tc>
              <w:tc>
                <w:tcPr>
                  <w:tcW w:w="1204" w:type="dxa"/>
                  <w:shd w:val="clear" w:color="auto" w:fill="auto"/>
                  <w:vAlign w:val="center"/>
                </w:tcPr>
                <w:p w14:paraId="4D474594">
                  <w:pPr>
                    <w:jc w:val="center"/>
                    <w:outlineLvl w:val="9"/>
                    <w:rPr>
                      <w:color w:val="000000" w:themeColor="text1"/>
                      <w:szCs w:val="21"/>
                      <w14:textFill>
                        <w14:solidFill>
                          <w14:schemeClr w14:val="tx1"/>
                        </w14:solidFill>
                      </w14:textFill>
                    </w:rPr>
                  </w:pPr>
                  <w:bookmarkStart w:id="92" w:name="_Toc24554"/>
                  <w:r>
                    <w:rPr>
                      <w:rFonts w:hint="eastAsia"/>
                      <w:color w:val="000000" w:themeColor="text1"/>
                      <w:szCs w:val="21"/>
                      <w14:textFill>
                        <w14:solidFill>
                          <w14:schemeClr w14:val="tx1"/>
                        </w14:solidFill>
                      </w14:textFill>
                    </w:rPr>
                    <w:t>NOx</w:t>
                  </w:r>
                  <w:bookmarkEnd w:id="92"/>
                </w:p>
              </w:tc>
              <w:tc>
                <w:tcPr>
                  <w:tcW w:w="1055" w:type="dxa"/>
                  <w:vAlign w:val="center"/>
                </w:tcPr>
                <w:p w14:paraId="227C24B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0.032</w:t>
                  </w:r>
                </w:p>
              </w:tc>
              <w:tc>
                <w:tcPr>
                  <w:tcW w:w="937" w:type="dxa"/>
                  <w:vAlign w:val="center"/>
                </w:tcPr>
                <w:p w14:paraId="08A3101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0.023</w:t>
                  </w:r>
                </w:p>
              </w:tc>
              <w:tc>
                <w:tcPr>
                  <w:tcW w:w="1163" w:type="dxa"/>
                  <w:vAlign w:val="center"/>
                </w:tcPr>
                <w:p w14:paraId="0D851F5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28.120</w:t>
                  </w:r>
                </w:p>
              </w:tc>
              <w:tc>
                <w:tcPr>
                  <w:tcW w:w="3107" w:type="dxa"/>
                  <w:vMerge w:val="continue"/>
                  <w:vAlign w:val="center"/>
                </w:tcPr>
                <w:p w14:paraId="12354D3E">
                  <w:pPr>
                    <w:jc w:val="center"/>
                    <w:rPr>
                      <w:color w:val="000000" w:themeColor="text1"/>
                      <w:szCs w:val="21"/>
                      <w14:textFill>
                        <w14:solidFill>
                          <w14:schemeClr w14:val="tx1"/>
                        </w14:solidFill>
                      </w14:textFill>
                    </w:rPr>
                  </w:pPr>
                </w:p>
              </w:tc>
              <w:tc>
                <w:tcPr>
                  <w:tcW w:w="917" w:type="dxa"/>
                  <w:vAlign w:val="center"/>
                </w:tcPr>
                <w:p w14:paraId="1D1E377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0.032</w:t>
                  </w:r>
                </w:p>
              </w:tc>
              <w:tc>
                <w:tcPr>
                  <w:tcW w:w="900" w:type="dxa"/>
                  <w:vAlign w:val="center"/>
                </w:tcPr>
                <w:p w14:paraId="47C0C2D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0.023</w:t>
                  </w:r>
                </w:p>
              </w:tc>
              <w:tc>
                <w:tcPr>
                  <w:tcW w:w="1068" w:type="dxa"/>
                  <w:vAlign w:val="center"/>
                </w:tcPr>
                <w:p w14:paraId="091C30B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28.120</w:t>
                  </w:r>
                </w:p>
              </w:tc>
            </w:tr>
            <w:tr w14:paraId="14287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64A765B9">
                  <w:pPr>
                    <w:jc w:val="center"/>
                    <w:rPr>
                      <w:color w:val="000000" w:themeColor="text1"/>
                      <w:szCs w:val="21"/>
                      <w14:textFill>
                        <w14:solidFill>
                          <w14:schemeClr w14:val="tx1"/>
                        </w14:solidFill>
                      </w14:textFill>
                    </w:rPr>
                  </w:pPr>
                </w:p>
              </w:tc>
              <w:tc>
                <w:tcPr>
                  <w:tcW w:w="400" w:type="dxa"/>
                  <w:vMerge w:val="continue"/>
                  <w:vAlign w:val="center"/>
                </w:tcPr>
                <w:p w14:paraId="738E8F64">
                  <w:pPr>
                    <w:jc w:val="center"/>
                    <w:rPr>
                      <w:bCs/>
                      <w:color w:val="000000" w:themeColor="text1"/>
                      <w:szCs w:val="21"/>
                      <w14:textFill>
                        <w14:solidFill>
                          <w14:schemeClr w14:val="tx1"/>
                        </w14:solidFill>
                      </w14:textFill>
                    </w:rPr>
                  </w:pPr>
                </w:p>
              </w:tc>
              <w:tc>
                <w:tcPr>
                  <w:tcW w:w="1841" w:type="dxa"/>
                  <w:vMerge w:val="restart"/>
                  <w:vAlign w:val="center"/>
                </w:tcPr>
                <w:p w14:paraId="140E6B5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0.3t/h蒸汽发生器天然气燃烧废气</w:t>
                  </w:r>
                </w:p>
              </w:tc>
              <w:tc>
                <w:tcPr>
                  <w:tcW w:w="1204" w:type="dxa"/>
                  <w:shd w:val="clear" w:color="auto" w:fill="auto"/>
                  <w:vAlign w:val="center"/>
                </w:tcPr>
                <w:p w14:paraId="51CDBA3E">
                  <w:pPr>
                    <w:jc w:val="center"/>
                    <w:outlineLvl w:val="9"/>
                    <w:rPr>
                      <w:color w:val="000000" w:themeColor="text1"/>
                      <w:szCs w:val="21"/>
                      <w14:textFill>
                        <w14:solidFill>
                          <w14:schemeClr w14:val="tx1"/>
                        </w14:solidFill>
                      </w14:textFill>
                    </w:rPr>
                  </w:pPr>
                  <w:bookmarkStart w:id="93" w:name="_Toc18001"/>
                  <w:r>
                    <w:rPr>
                      <w:rFonts w:hint="eastAsia"/>
                      <w:color w:val="000000" w:themeColor="text1"/>
                      <w:szCs w:val="21"/>
                      <w14:textFill>
                        <w14:solidFill>
                          <w14:schemeClr w14:val="tx1"/>
                        </w14:solidFill>
                      </w14:textFill>
                    </w:rPr>
                    <w:t>颗粒物</w:t>
                  </w:r>
                  <w:bookmarkEnd w:id="93"/>
                </w:p>
              </w:tc>
              <w:tc>
                <w:tcPr>
                  <w:tcW w:w="1055" w:type="dxa"/>
                  <w:vAlign w:val="center"/>
                </w:tcPr>
                <w:p w14:paraId="25B865A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937" w:type="dxa"/>
                  <w:vAlign w:val="center"/>
                </w:tcPr>
                <w:p w14:paraId="17D5A51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1163" w:type="dxa"/>
                  <w:vAlign w:val="center"/>
                </w:tcPr>
                <w:p w14:paraId="0BD05DA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c>
                <w:tcPr>
                  <w:tcW w:w="3107" w:type="dxa"/>
                  <w:vMerge w:val="restart"/>
                  <w:shd w:val="clear" w:color="auto" w:fill="auto"/>
                  <w:vAlign w:val="center"/>
                </w:tcPr>
                <w:p w14:paraId="78C56A5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（TA003）</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排放</w:t>
                  </w:r>
                </w:p>
              </w:tc>
              <w:tc>
                <w:tcPr>
                  <w:tcW w:w="917" w:type="dxa"/>
                  <w:shd w:val="clear" w:color="auto" w:fill="auto"/>
                  <w:vAlign w:val="center"/>
                </w:tcPr>
                <w:p w14:paraId="4F66F16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900" w:type="dxa"/>
                  <w:shd w:val="clear" w:color="auto" w:fill="auto"/>
                  <w:vAlign w:val="center"/>
                </w:tcPr>
                <w:p w14:paraId="3876193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1068" w:type="dxa"/>
                  <w:shd w:val="clear" w:color="auto" w:fill="auto"/>
                  <w:vAlign w:val="center"/>
                </w:tcPr>
                <w:p w14:paraId="0273CFB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r>
            <w:tr w14:paraId="2AD93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0D8B0D26">
                  <w:pPr>
                    <w:jc w:val="center"/>
                    <w:rPr>
                      <w:color w:val="000000" w:themeColor="text1"/>
                      <w:szCs w:val="21"/>
                      <w14:textFill>
                        <w14:solidFill>
                          <w14:schemeClr w14:val="tx1"/>
                        </w14:solidFill>
                      </w14:textFill>
                    </w:rPr>
                  </w:pPr>
                </w:p>
              </w:tc>
              <w:tc>
                <w:tcPr>
                  <w:tcW w:w="400" w:type="dxa"/>
                  <w:vMerge w:val="continue"/>
                  <w:vAlign w:val="center"/>
                </w:tcPr>
                <w:p w14:paraId="46BE2485">
                  <w:pPr>
                    <w:jc w:val="center"/>
                    <w:rPr>
                      <w:bCs/>
                      <w:color w:val="000000" w:themeColor="text1"/>
                      <w:szCs w:val="21"/>
                      <w14:textFill>
                        <w14:solidFill>
                          <w14:schemeClr w14:val="tx1"/>
                        </w14:solidFill>
                      </w14:textFill>
                    </w:rPr>
                  </w:pPr>
                </w:p>
              </w:tc>
              <w:tc>
                <w:tcPr>
                  <w:tcW w:w="1841" w:type="dxa"/>
                  <w:vMerge w:val="continue"/>
                  <w:vAlign w:val="center"/>
                </w:tcPr>
                <w:p w14:paraId="69E391AC">
                  <w:pPr>
                    <w:jc w:val="center"/>
                    <w:rPr>
                      <w:color w:val="000000" w:themeColor="text1"/>
                      <w:szCs w:val="21"/>
                      <w14:textFill>
                        <w14:solidFill>
                          <w14:schemeClr w14:val="tx1"/>
                        </w14:solidFill>
                      </w14:textFill>
                    </w:rPr>
                  </w:pPr>
                </w:p>
              </w:tc>
              <w:tc>
                <w:tcPr>
                  <w:tcW w:w="1204" w:type="dxa"/>
                  <w:shd w:val="clear" w:color="auto" w:fill="auto"/>
                  <w:vAlign w:val="center"/>
                </w:tcPr>
                <w:p w14:paraId="3446F6D3">
                  <w:pPr>
                    <w:jc w:val="center"/>
                    <w:outlineLvl w:val="9"/>
                    <w:rPr>
                      <w:color w:val="000000" w:themeColor="text1"/>
                      <w:szCs w:val="21"/>
                      <w14:textFill>
                        <w14:solidFill>
                          <w14:schemeClr w14:val="tx1"/>
                        </w14:solidFill>
                      </w14:textFill>
                    </w:rPr>
                  </w:pPr>
                  <w:bookmarkStart w:id="94" w:name="_Toc4855"/>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bookmarkEnd w:id="94"/>
                </w:p>
              </w:tc>
              <w:tc>
                <w:tcPr>
                  <w:tcW w:w="1055" w:type="dxa"/>
                  <w:vAlign w:val="center"/>
                </w:tcPr>
                <w:p w14:paraId="77EE3B9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937" w:type="dxa"/>
                  <w:vAlign w:val="center"/>
                </w:tcPr>
                <w:p w14:paraId="58DCFDC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1163" w:type="dxa"/>
                  <w:vAlign w:val="center"/>
                </w:tcPr>
                <w:p w14:paraId="1C2134B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c>
                <w:tcPr>
                  <w:tcW w:w="3107" w:type="dxa"/>
                  <w:vMerge w:val="continue"/>
                  <w:vAlign w:val="center"/>
                </w:tcPr>
                <w:p w14:paraId="77BBA1B0">
                  <w:pPr>
                    <w:jc w:val="center"/>
                    <w:rPr>
                      <w:color w:val="000000" w:themeColor="text1"/>
                      <w:szCs w:val="21"/>
                      <w14:textFill>
                        <w14:solidFill>
                          <w14:schemeClr w14:val="tx1"/>
                        </w14:solidFill>
                      </w14:textFill>
                    </w:rPr>
                  </w:pPr>
                </w:p>
              </w:tc>
              <w:tc>
                <w:tcPr>
                  <w:tcW w:w="917" w:type="dxa"/>
                  <w:shd w:val="clear" w:color="auto" w:fill="auto"/>
                  <w:vAlign w:val="center"/>
                </w:tcPr>
                <w:p w14:paraId="5EF0606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900" w:type="dxa"/>
                  <w:shd w:val="clear" w:color="auto" w:fill="auto"/>
                  <w:vAlign w:val="center"/>
                </w:tcPr>
                <w:p w14:paraId="2773E02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1068" w:type="dxa"/>
                  <w:shd w:val="clear" w:color="auto" w:fill="auto"/>
                  <w:vAlign w:val="center"/>
                </w:tcPr>
                <w:p w14:paraId="47A7FEC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r>
            <w:tr w14:paraId="66DFA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6D53DC77">
                  <w:pPr>
                    <w:jc w:val="center"/>
                    <w:rPr>
                      <w:color w:val="000000" w:themeColor="text1"/>
                      <w:szCs w:val="21"/>
                      <w14:textFill>
                        <w14:solidFill>
                          <w14:schemeClr w14:val="tx1"/>
                        </w14:solidFill>
                      </w14:textFill>
                    </w:rPr>
                  </w:pPr>
                </w:p>
              </w:tc>
              <w:tc>
                <w:tcPr>
                  <w:tcW w:w="400" w:type="dxa"/>
                  <w:vMerge w:val="continue"/>
                  <w:vAlign w:val="center"/>
                </w:tcPr>
                <w:p w14:paraId="6BB008D8">
                  <w:pPr>
                    <w:jc w:val="center"/>
                    <w:rPr>
                      <w:bCs/>
                      <w:color w:val="000000" w:themeColor="text1"/>
                      <w:szCs w:val="21"/>
                      <w14:textFill>
                        <w14:solidFill>
                          <w14:schemeClr w14:val="tx1"/>
                        </w14:solidFill>
                      </w14:textFill>
                    </w:rPr>
                  </w:pPr>
                </w:p>
              </w:tc>
              <w:tc>
                <w:tcPr>
                  <w:tcW w:w="1841" w:type="dxa"/>
                  <w:vMerge w:val="continue"/>
                  <w:vAlign w:val="center"/>
                </w:tcPr>
                <w:p w14:paraId="08E540CD">
                  <w:pPr>
                    <w:jc w:val="center"/>
                    <w:rPr>
                      <w:color w:val="000000" w:themeColor="text1"/>
                      <w:szCs w:val="21"/>
                      <w14:textFill>
                        <w14:solidFill>
                          <w14:schemeClr w14:val="tx1"/>
                        </w14:solidFill>
                      </w14:textFill>
                    </w:rPr>
                  </w:pPr>
                </w:p>
              </w:tc>
              <w:tc>
                <w:tcPr>
                  <w:tcW w:w="1204" w:type="dxa"/>
                  <w:shd w:val="clear" w:color="auto" w:fill="auto"/>
                  <w:vAlign w:val="center"/>
                </w:tcPr>
                <w:p w14:paraId="52FB14ED">
                  <w:pPr>
                    <w:jc w:val="center"/>
                    <w:outlineLvl w:val="9"/>
                    <w:rPr>
                      <w:color w:val="000000" w:themeColor="text1"/>
                      <w:szCs w:val="21"/>
                      <w14:textFill>
                        <w14:solidFill>
                          <w14:schemeClr w14:val="tx1"/>
                        </w14:solidFill>
                      </w14:textFill>
                    </w:rPr>
                  </w:pPr>
                  <w:bookmarkStart w:id="95" w:name="_Toc29547"/>
                  <w:r>
                    <w:rPr>
                      <w:rFonts w:hint="eastAsia"/>
                      <w:color w:val="000000" w:themeColor="text1"/>
                      <w:szCs w:val="21"/>
                      <w14:textFill>
                        <w14:solidFill>
                          <w14:schemeClr w14:val="tx1"/>
                        </w14:solidFill>
                      </w14:textFill>
                    </w:rPr>
                    <w:t>NOx</w:t>
                  </w:r>
                  <w:bookmarkEnd w:id="95"/>
                </w:p>
              </w:tc>
              <w:tc>
                <w:tcPr>
                  <w:tcW w:w="1055" w:type="dxa"/>
                  <w:vAlign w:val="center"/>
                </w:tcPr>
                <w:p w14:paraId="514724F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0.006</w:t>
                  </w:r>
                </w:p>
              </w:tc>
              <w:tc>
                <w:tcPr>
                  <w:tcW w:w="937" w:type="dxa"/>
                  <w:vAlign w:val="center"/>
                </w:tcPr>
                <w:p w14:paraId="65817E3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0.007</w:t>
                  </w:r>
                </w:p>
              </w:tc>
              <w:tc>
                <w:tcPr>
                  <w:tcW w:w="1163" w:type="dxa"/>
                  <w:vAlign w:val="center"/>
                </w:tcPr>
                <w:p w14:paraId="6D5FD68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28.120</w:t>
                  </w:r>
                </w:p>
              </w:tc>
              <w:tc>
                <w:tcPr>
                  <w:tcW w:w="3107" w:type="dxa"/>
                  <w:vMerge w:val="continue"/>
                  <w:vAlign w:val="center"/>
                </w:tcPr>
                <w:p w14:paraId="0F22772A">
                  <w:pPr>
                    <w:jc w:val="center"/>
                    <w:rPr>
                      <w:color w:val="000000" w:themeColor="text1"/>
                      <w:szCs w:val="21"/>
                      <w14:textFill>
                        <w14:solidFill>
                          <w14:schemeClr w14:val="tx1"/>
                        </w14:solidFill>
                      </w14:textFill>
                    </w:rPr>
                  </w:pPr>
                </w:p>
              </w:tc>
              <w:tc>
                <w:tcPr>
                  <w:tcW w:w="917" w:type="dxa"/>
                  <w:vAlign w:val="center"/>
                </w:tcPr>
                <w:p w14:paraId="59B8369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0.006</w:t>
                  </w:r>
                </w:p>
              </w:tc>
              <w:tc>
                <w:tcPr>
                  <w:tcW w:w="900" w:type="dxa"/>
                  <w:vAlign w:val="center"/>
                </w:tcPr>
                <w:p w14:paraId="59F7D10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0.007</w:t>
                  </w:r>
                </w:p>
              </w:tc>
              <w:tc>
                <w:tcPr>
                  <w:tcW w:w="1068" w:type="dxa"/>
                  <w:vAlign w:val="center"/>
                </w:tcPr>
                <w:p w14:paraId="2DE324D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28.120</w:t>
                  </w:r>
                </w:p>
              </w:tc>
            </w:tr>
            <w:tr w14:paraId="0928F2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3EA91FB8">
                  <w:pPr>
                    <w:jc w:val="center"/>
                    <w:rPr>
                      <w:color w:val="000000" w:themeColor="text1"/>
                      <w:szCs w:val="21"/>
                      <w14:textFill>
                        <w14:solidFill>
                          <w14:schemeClr w14:val="tx1"/>
                        </w14:solidFill>
                      </w14:textFill>
                    </w:rPr>
                  </w:pPr>
                </w:p>
              </w:tc>
              <w:tc>
                <w:tcPr>
                  <w:tcW w:w="400" w:type="dxa"/>
                  <w:vMerge w:val="continue"/>
                  <w:vAlign w:val="center"/>
                </w:tcPr>
                <w:p w14:paraId="7A7C2745">
                  <w:pPr>
                    <w:jc w:val="center"/>
                    <w:rPr>
                      <w:bCs/>
                      <w:color w:val="000000" w:themeColor="text1"/>
                      <w:szCs w:val="21"/>
                      <w14:textFill>
                        <w14:solidFill>
                          <w14:schemeClr w14:val="tx1"/>
                        </w14:solidFill>
                      </w14:textFill>
                    </w:rPr>
                  </w:pPr>
                </w:p>
              </w:tc>
              <w:tc>
                <w:tcPr>
                  <w:tcW w:w="1841" w:type="dxa"/>
                  <w:vMerge w:val="restart"/>
                  <w:vAlign w:val="center"/>
                </w:tcPr>
                <w:p w14:paraId="5044718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0.5t/h蒸汽发生器天然气燃烧废气</w:t>
                  </w:r>
                </w:p>
              </w:tc>
              <w:tc>
                <w:tcPr>
                  <w:tcW w:w="1204" w:type="dxa"/>
                  <w:shd w:val="clear" w:color="auto" w:fill="auto"/>
                  <w:vAlign w:val="center"/>
                </w:tcPr>
                <w:p w14:paraId="471B6CE8">
                  <w:pPr>
                    <w:jc w:val="center"/>
                    <w:outlineLvl w:val="9"/>
                    <w:rPr>
                      <w:color w:val="000000" w:themeColor="text1"/>
                      <w:szCs w:val="21"/>
                      <w14:textFill>
                        <w14:solidFill>
                          <w14:schemeClr w14:val="tx1"/>
                        </w14:solidFill>
                      </w14:textFill>
                    </w:rPr>
                  </w:pPr>
                  <w:bookmarkStart w:id="96" w:name="_Toc27917"/>
                  <w:r>
                    <w:rPr>
                      <w:rFonts w:hint="eastAsia"/>
                      <w:color w:val="000000" w:themeColor="text1"/>
                      <w:szCs w:val="21"/>
                      <w14:textFill>
                        <w14:solidFill>
                          <w14:schemeClr w14:val="tx1"/>
                        </w14:solidFill>
                      </w14:textFill>
                    </w:rPr>
                    <w:t>颗粒物</w:t>
                  </w:r>
                  <w:bookmarkEnd w:id="96"/>
                </w:p>
              </w:tc>
              <w:tc>
                <w:tcPr>
                  <w:tcW w:w="1055" w:type="dxa"/>
                  <w:vAlign w:val="center"/>
                </w:tcPr>
                <w:p w14:paraId="43442AF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937" w:type="dxa"/>
                  <w:vAlign w:val="center"/>
                </w:tcPr>
                <w:p w14:paraId="6156608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1163" w:type="dxa"/>
                  <w:vAlign w:val="center"/>
                </w:tcPr>
                <w:p w14:paraId="5ABFA17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c>
                <w:tcPr>
                  <w:tcW w:w="3107" w:type="dxa"/>
                  <w:vMerge w:val="restart"/>
                  <w:vAlign w:val="center"/>
                </w:tcPr>
                <w:p w14:paraId="49A9754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（TA004）</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排放</w:t>
                  </w:r>
                </w:p>
              </w:tc>
              <w:tc>
                <w:tcPr>
                  <w:tcW w:w="917" w:type="dxa"/>
                  <w:vAlign w:val="center"/>
                </w:tcPr>
                <w:p w14:paraId="0457F9C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900" w:type="dxa"/>
                  <w:vAlign w:val="center"/>
                </w:tcPr>
                <w:p w14:paraId="068DA9C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1068" w:type="dxa"/>
                  <w:vAlign w:val="center"/>
                </w:tcPr>
                <w:p w14:paraId="1C1B44A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r>
            <w:tr w14:paraId="3D6D2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2B8DFFE8">
                  <w:pPr>
                    <w:jc w:val="center"/>
                    <w:rPr>
                      <w:color w:val="000000" w:themeColor="text1"/>
                      <w:szCs w:val="21"/>
                      <w14:textFill>
                        <w14:solidFill>
                          <w14:schemeClr w14:val="tx1"/>
                        </w14:solidFill>
                      </w14:textFill>
                    </w:rPr>
                  </w:pPr>
                </w:p>
              </w:tc>
              <w:tc>
                <w:tcPr>
                  <w:tcW w:w="400" w:type="dxa"/>
                  <w:vMerge w:val="continue"/>
                  <w:vAlign w:val="center"/>
                </w:tcPr>
                <w:p w14:paraId="1D475E12">
                  <w:pPr>
                    <w:jc w:val="center"/>
                    <w:rPr>
                      <w:bCs/>
                      <w:color w:val="000000" w:themeColor="text1"/>
                      <w:szCs w:val="21"/>
                      <w14:textFill>
                        <w14:solidFill>
                          <w14:schemeClr w14:val="tx1"/>
                        </w14:solidFill>
                      </w14:textFill>
                    </w:rPr>
                  </w:pPr>
                </w:p>
              </w:tc>
              <w:tc>
                <w:tcPr>
                  <w:tcW w:w="1841" w:type="dxa"/>
                  <w:vMerge w:val="continue"/>
                  <w:vAlign w:val="center"/>
                </w:tcPr>
                <w:p w14:paraId="3B75C68D">
                  <w:pPr>
                    <w:jc w:val="center"/>
                    <w:rPr>
                      <w:color w:val="000000" w:themeColor="text1"/>
                      <w:szCs w:val="21"/>
                      <w14:textFill>
                        <w14:solidFill>
                          <w14:schemeClr w14:val="tx1"/>
                        </w14:solidFill>
                      </w14:textFill>
                    </w:rPr>
                  </w:pPr>
                </w:p>
              </w:tc>
              <w:tc>
                <w:tcPr>
                  <w:tcW w:w="1204" w:type="dxa"/>
                  <w:shd w:val="clear" w:color="auto" w:fill="auto"/>
                  <w:vAlign w:val="center"/>
                </w:tcPr>
                <w:p w14:paraId="26E783E3">
                  <w:pPr>
                    <w:jc w:val="center"/>
                    <w:outlineLvl w:val="9"/>
                    <w:rPr>
                      <w:color w:val="000000" w:themeColor="text1"/>
                      <w:szCs w:val="21"/>
                      <w14:textFill>
                        <w14:solidFill>
                          <w14:schemeClr w14:val="tx1"/>
                        </w14:solidFill>
                      </w14:textFill>
                    </w:rPr>
                  </w:pPr>
                  <w:bookmarkStart w:id="97" w:name="_Toc9370"/>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bookmarkEnd w:id="97"/>
                </w:p>
              </w:tc>
              <w:tc>
                <w:tcPr>
                  <w:tcW w:w="1055" w:type="dxa"/>
                  <w:vAlign w:val="center"/>
                </w:tcPr>
                <w:p w14:paraId="2723A1B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937" w:type="dxa"/>
                  <w:vAlign w:val="center"/>
                </w:tcPr>
                <w:p w14:paraId="3188D1A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1163" w:type="dxa"/>
                  <w:vAlign w:val="center"/>
                </w:tcPr>
                <w:p w14:paraId="053114C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c>
                <w:tcPr>
                  <w:tcW w:w="3107" w:type="dxa"/>
                  <w:vMerge w:val="continue"/>
                  <w:vAlign w:val="center"/>
                </w:tcPr>
                <w:p w14:paraId="7BE0F87C">
                  <w:pPr>
                    <w:jc w:val="center"/>
                    <w:rPr>
                      <w:color w:val="000000" w:themeColor="text1"/>
                      <w:szCs w:val="21"/>
                      <w14:textFill>
                        <w14:solidFill>
                          <w14:schemeClr w14:val="tx1"/>
                        </w14:solidFill>
                      </w14:textFill>
                    </w:rPr>
                  </w:pPr>
                </w:p>
              </w:tc>
              <w:tc>
                <w:tcPr>
                  <w:tcW w:w="917" w:type="dxa"/>
                  <w:vAlign w:val="center"/>
                </w:tcPr>
                <w:p w14:paraId="69B3BB2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900" w:type="dxa"/>
                  <w:vAlign w:val="center"/>
                </w:tcPr>
                <w:p w14:paraId="62603EA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1068" w:type="dxa"/>
                  <w:vAlign w:val="center"/>
                </w:tcPr>
                <w:p w14:paraId="1DCE91C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r>
            <w:tr w14:paraId="545EB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3B9A8AAC">
                  <w:pPr>
                    <w:jc w:val="center"/>
                    <w:rPr>
                      <w:color w:val="000000" w:themeColor="text1"/>
                      <w:szCs w:val="21"/>
                      <w14:textFill>
                        <w14:solidFill>
                          <w14:schemeClr w14:val="tx1"/>
                        </w14:solidFill>
                      </w14:textFill>
                    </w:rPr>
                  </w:pPr>
                </w:p>
              </w:tc>
              <w:tc>
                <w:tcPr>
                  <w:tcW w:w="400" w:type="dxa"/>
                  <w:vMerge w:val="continue"/>
                  <w:vAlign w:val="center"/>
                </w:tcPr>
                <w:p w14:paraId="3090A01F">
                  <w:pPr>
                    <w:jc w:val="center"/>
                    <w:rPr>
                      <w:bCs/>
                      <w:color w:val="000000" w:themeColor="text1"/>
                      <w:szCs w:val="21"/>
                      <w14:textFill>
                        <w14:solidFill>
                          <w14:schemeClr w14:val="tx1"/>
                        </w14:solidFill>
                      </w14:textFill>
                    </w:rPr>
                  </w:pPr>
                </w:p>
              </w:tc>
              <w:tc>
                <w:tcPr>
                  <w:tcW w:w="1841" w:type="dxa"/>
                  <w:vMerge w:val="continue"/>
                  <w:vAlign w:val="center"/>
                </w:tcPr>
                <w:p w14:paraId="045D1537">
                  <w:pPr>
                    <w:jc w:val="center"/>
                    <w:rPr>
                      <w:color w:val="000000" w:themeColor="text1"/>
                      <w:szCs w:val="21"/>
                      <w14:textFill>
                        <w14:solidFill>
                          <w14:schemeClr w14:val="tx1"/>
                        </w14:solidFill>
                      </w14:textFill>
                    </w:rPr>
                  </w:pPr>
                </w:p>
              </w:tc>
              <w:tc>
                <w:tcPr>
                  <w:tcW w:w="1204" w:type="dxa"/>
                  <w:shd w:val="clear" w:color="auto" w:fill="auto"/>
                  <w:vAlign w:val="center"/>
                </w:tcPr>
                <w:p w14:paraId="1E783761">
                  <w:pPr>
                    <w:jc w:val="center"/>
                    <w:outlineLvl w:val="9"/>
                    <w:rPr>
                      <w:color w:val="000000" w:themeColor="text1"/>
                      <w:szCs w:val="21"/>
                      <w14:textFill>
                        <w14:solidFill>
                          <w14:schemeClr w14:val="tx1"/>
                        </w14:solidFill>
                      </w14:textFill>
                    </w:rPr>
                  </w:pPr>
                  <w:bookmarkStart w:id="98" w:name="_Toc28742"/>
                  <w:r>
                    <w:rPr>
                      <w:rFonts w:hint="eastAsia"/>
                      <w:color w:val="000000" w:themeColor="text1"/>
                      <w:szCs w:val="21"/>
                      <w14:textFill>
                        <w14:solidFill>
                          <w14:schemeClr w14:val="tx1"/>
                        </w14:solidFill>
                      </w14:textFill>
                    </w:rPr>
                    <w:t>NOx</w:t>
                  </w:r>
                  <w:bookmarkEnd w:id="98"/>
                </w:p>
              </w:tc>
              <w:tc>
                <w:tcPr>
                  <w:tcW w:w="1055" w:type="dxa"/>
                  <w:vAlign w:val="center"/>
                </w:tcPr>
                <w:p w14:paraId="7935CD9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0.011</w:t>
                  </w:r>
                </w:p>
              </w:tc>
              <w:tc>
                <w:tcPr>
                  <w:tcW w:w="937" w:type="dxa"/>
                  <w:vAlign w:val="center"/>
                </w:tcPr>
                <w:p w14:paraId="732699A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0.012</w:t>
                  </w:r>
                </w:p>
              </w:tc>
              <w:tc>
                <w:tcPr>
                  <w:tcW w:w="1163" w:type="dxa"/>
                  <w:vAlign w:val="center"/>
                </w:tcPr>
                <w:p w14:paraId="2C581FE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28.120</w:t>
                  </w:r>
                </w:p>
              </w:tc>
              <w:tc>
                <w:tcPr>
                  <w:tcW w:w="3107" w:type="dxa"/>
                  <w:vMerge w:val="continue"/>
                  <w:vAlign w:val="center"/>
                </w:tcPr>
                <w:p w14:paraId="6D54C6A7">
                  <w:pPr>
                    <w:jc w:val="center"/>
                    <w:rPr>
                      <w:color w:val="000000" w:themeColor="text1"/>
                      <w:szCs w:val="21"/>
                      <w14:textFill>
                        <w14:solidFill>
                          <w14:schemeClr w14:val="tx1"/>
                        </w14:solidFill>
                      </w14:textFill>
                    </w:rPr>
                  </w:pPr>
                </w:p>
              </w:tc>
              <w:tc>
                <w:tcPr>
                  <w:tcW w:w="917" w:type="dxa"/>
                  <w:vAlign w:val="center"/>
                </w:tcPr>
                <w:p w14:paraId="03265EB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0.011</w:t>
                  </w:r>
                </w:p>
              </w:tc>
              <w:tc>
                <w:tcPr>
                  <w:tcW w:w="900" w:type="dxa"/>
                  <w:vAlign w:val="center"/>
                </w:tcPr>
                <w:p w14:paraId="2156B73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0.012</w:t>
                  </w:r>
                </w:p>
              </w:tc>
              <w:tc>
                <w:tcPr>
                  <w:tcW w:w="1068" w:type="dxa"/>
                  <w:vAlign w:val="center"/>
                </w:tcPr>
                <w:p w14:paraId="4654313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28.120</w:t>
                  </w:r>
                </w:p>
              </w:tc>
            </w:tr>
            <w:tr w14:paraId="54C19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5603D259">
                  <w:pPr>
                    <w:jc w:val="center"/>
                    <w:rPr>
                      <w:color w:val="000000" w:themeColor="text1"/>
                      <w:szCs w:val="21"/>
                      <w14:textFill>
                        <w14:solidFill>
                          <w14:schemeClr w14:val="tx1"/>
                        </w14:solidFill>
                      </w14:textFill>
                    </w:rPr>
                  </w:pPr>
                </w:p>
              </w:tc>
              <w:tc>
                <w:tcPr>
                  <w:tcW w:w="400" w:type="dxa"/>
                  <w:vMerge w:val="continue"/>
                  <w:vAlign w:val="center"/>
                </w:tcPr>
                <w:p w14:paraId="67BA8802">
                  <w:pPr>
                    <w:jc w:val="center"/>
                    <w:rPr>
                      <w:bCs/>
                      <w:color w:val="000000" w:themeColor="text1"/>
                      <w:szCs w:val="21"/>
                      <w14:textFill>
                        <w14:solidFill>
                          <w14:schemeClr w14:val="tx1"/>
                        </w14:solidFill>
                      </w14:textFill>
                    </w:rPr>
                  </w:pPr>
                </w:p>
              </w:tc>
              <w:tc>
                <w:tcPr>
                  <w:tcW w:w="1841" w:type="dxa"/>
                  <w:vAlign w:val="center"/>
                </w:tcPr>
                <w:p w14:paraId="6D0D1DA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治疗凝胶生产线乳化工序废气</w:t>
                  </w:r>
                </w:p>
              </w:tc>
              <w:tc>
                <w:tcPr>
                  <w:tcW w:w="1204" w:type="dxa"/>
                  <w:shd w:val="clear" w:color="auto" w:fill="auto"/>
                  <w:vAlign w:val="center"/>
                </w:tcPr>
                <w:p w14:paraId="2AE3937C">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1055" w:type="dxa"/>
                  <w:vAlign w:val="center"/>
                </w:tcPr>
                <w:p w14:paraId="12B0509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0.011</w:t>
                  </w:r>
                </w:p>
              </w:tc>
              <w:tc>
                <w:tcPr>
                  <w:tcW w:w="937" w:type="dxa"/>
                  <w:vAlign w:val="center"/>
                </w:tcPr>
                <w:p w14:paraId="16A7ED81">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0.011</w:t>
                  </w:r>
                </w:p>
              </w:tc>
              <w:tc>
                <w:tcPr>
                  <w:tcW w:w="1163" w:type="dxa"/>
                  <w:vAlign w:val="center"/>
                </w:tcPr>
                <w:p w14:paraId="207FED5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11.0</w:t>
                  </w:r>
                </w:p>
              </w:tc>
              <w:tc>
                <w:tcPr>
                  <w:tcW w:w="3107" w:type="dxa"/>
                  <w:vAlign w:val="center"/>
                </w:tcPr>
                <w:p w14:paraId="74D179D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w:t>
                  </w: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套</w:t>
                  </w:r>
                  <w:r>
                    <w:rPr>
                      <w:rFonts w:hint="eastAsia"/>
                      <w:color w:val="000000" w:themeColor="text1"/>
                      <w:szCs w:val="21"/>
                      <w14:textFill>
                        <w14:solidFill>
                          <w14:schemeClr w14:val="tx1"/>
                        </w14:solidFill>
                      </w14:textFill>
                    </w:rPr>
                    <w:t>“二级</w:t>
                  </w:r>
                  <w:r>
                    <w:rPr>
                      <w:color w:val="000000" w:themeColor="text1"/>
                      <w:szCs w:val="21"/>
                      <w14:textFill>
                        <w14:solidFill>
                          <w14:schemeClr w14:val="tx1"/>
                        </w14:solidFill>
                      </w14:textFill>
                    </w:rPr>
                    <w:t>活性炭吸附</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（TA00</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）设施</w:t>
                  </w:r>
                  <w:r>
                    <w:rPr>
                      <w:rFonts w:hint="eastAsia"/>
                      <w:color w:val="000000" w:themeColor="text1"/>
                      <w:szCs w:val="21"/>
                      <w14:textFill>
                        <w14:solidFill>
                          <w14:schemeClr w14:val="tx1"/>
                        </w14:solidFill>
                      </w14:textFill>
                    </w:rPr>
                    <w:t>处理</w:t>
                  </w:r>
                  <w:r>
                    <w:rPr>
                      <w:color w:val="000000" w:themeColor="text1"/>
                      <w:szCs w:val="21"/>
                      <w14:textFill>
                        <w14:solidFill>
                          <w14:schemeClr w14:val="tx1"/>
                        </w14:solidFill>
                      </w14:textFill>
                    </w:rPr>
                    <w:t>后通过</w:t>
                  </w:r>
                  <w:r>
                    <w:rPr>
                      <w:rFonts w:hint="eastAsia"/>
                      <w:color w:val="000000" w:themeColor="text1"/>
                      <w:szCs w:val="21"/>
                      <w14:textFill>
                        <w14:solidFill>
                          <w14:schemeClr w14:val="tx1"/>
                        </w14:solidFill>
                      </w14:textFill>
                    </w:rPr>
                    <w:t>1根15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排放</w:t>
                  </w:r>
                </w:p>
              </w:tc>
              <w:tc>
                <w:tcPr>
                  <w:tcW w:w="917" w:type="dxa"/>
                  <w:shd w:val="clear" w:color="auto" w:fill="auto"/>
                  <w:vAlign w:val="center"/>
                </w:tcPr>
                <w:p w14:paraId="3A6C6345">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900" w:type="dxa"/>
                  <w:shd w:val="clear" w:color="auto" w:fill="auto"/>
                  <w:vAlign w:val="center"/>
                </w:tcPr>
                <w:p w14:paraId="309471F2">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1068" w:type="dxa"/>
                  <w:shd w:val="clear" w:color="auto" w:fill="auto"/>
                  <w:vAlign w:val="center"/>
                </w:tcPr>
                <w:p w14:paraId="4860D0CF">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r>
            <w:tr w14:paraId="466CA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4B02921A">
                  <w:pPr>
                    <w:jc w:val="center"/>
                    <w:rPr>
                      <w:color w:val="000000" w:themeColor="text1"/>
                      <w:szCs w:val="21"/>
                      <w14:textFill>
                        <w14:solidFill>
                          <w14:schemeClr w14:val="tx1"/>
                        </w14:solidFill>
                      </w14:textFill>
                    </w:rPr>
                  </w:pPr>
                </w:p>
              </w:tc>
              <w:tc>
                <w:tcPr>
                  <w:tcW w:w="400" w:type="dxa"/>
                  <w:vMerge w:val="continue"/>
                  <w:vAlign w:val="center"/>
                </w:tcPr>
                <w:p w14:paraId="58F901F0">
                  <w:pPr>
                    <w:jc w:val="center"/>
                    <w:rPr>
                      <w:bCs/>
                      <w:color w:val="000000" w:themeColor="text1"/>
                      <w:szCs w:val="21"/>
                      <w14:textFill>
                        <w14:solidFill>
                          <w14:schemeClr w14:val="tx1"/>
                        </w14:solidFill>
                      </w14:textFill>
                    </w:rPr>
                  </w:pPr>
                </w:p>
              </w:tc>
              <w:tc>
                <w:tcPr>
                  <w:tcW w:w="1841" w:type="dxa"/>
                  <w:vAlign w:val="center"/>
                </w:tcPr>
                <w:p w14:paraId="546E3B7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热敷理疗产品上料粉尘</w:t>
                  </w:r>
                </w:p>
              </w:tc>
              <w:tc>
                <w:tcPr>
                  <w:tcW w:w="1204" w:type="dxa"/>
                  <w:shd w:val="clear" w:color="auto" w:fill="auto"/>
                  <w:vAlign w:val="center"/>
                </w:tcPr>
                <w:p w14:paraId="6B4DA7AA">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1055" w:type="dxa"/>
                  <w:vAlign w:val="center"/>
                </w:tcPr>
                <w:p w14:paraId="14B36ED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w:t>
                  </w:r>
                  <w:r>
                    <w:rPr>
                      <w:rFonts w:hint="eastAsia"/>
                      <w:color w:val="000000" w:themeColor="text1"/>
                      <w:szCs w:val="21"/>
                      <w14:textFill>
                        <w14:solidFill>
                          <w14:schemeClr w14:val="tx1"/>
                        </w14:solidFill>
                      </w14:textFill>
                    </w:rPr>
                    <w:t>9</w:t>
                  </w:r>
                </w:p>
              </w:tc>
              <w:tc>
                <w:tcPr>
                  <w:tcW w:w="937" w:type="dxa"/>
                  <w:vAlign w:val="center"/>
                </w:tcPr>
                <w:p w14:paraId="57C403A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r>
                    <w:rPr>
                      <w:rFonts w:hint="eastAsia"/>
                      <w:color w:val="000000" w:themeColor="text1"/>
                      <w:szCs w:val="21"/>
                      <w14:textFill>
                        <w14:solidFill>
                          <w14:schemeClr w14:val="tx1"/>
                        </w14:solidFill>
                      </w14:textFill>
                    </w:rPr>
                    <w:t>197</w:t>
                  </w:r>
                </w:p>
              </w:tc>
              <w:tc>
                <w:tcPr>
                  <w:tcW w:w="1163" w:type="dxa"/>
                  <w:vAlign w:val="center"/>
                </w:tcPr>
                <w:p w14:paraId="78FBBFA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197.368</w:t>
                  </w:r>
                </w:p>
              </w:tc>
              <w:tc>
                <w:tcPr>
                  <w:tcW w:w="3107" w:type="dxa"/>
                  <w:vAlign w:val="center"/>
                </w:tcPr>
                <w:p w14:paraId="2F65AE4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覆膜袋式除尘器</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（TA00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处理后通过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排放</w:t>
                  </w:r>
                </w:p>
              </w:tc>
              <w:tc>
                <w:tcPr>
                  <w:tcW w:w="917" w:type="dxa"/>
                  <w:shd w:val="clear" w:color="auto" w:fill="auto"/>
                  <w:vAlign w:val="center"/>
                </w:tcPr>
                <w:p w14:paraId="3CC4754B">
                  <w:pPr>
                    <w:pStyle w:val="49"/>
                    <w:rPr>
                      <w:color w:val="000000" w:themeColor="text1"/>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1</w:t>
                  </w:r>
                </w:p>
              </w:tc>
              <w:tc>
                <w:tcPr>
                  <w:tcW w:w="900" w:type="dxa"/>
                  <w:shd w:val="clear" w:color="auto" w:fill="auto"/>
                  <w:vAlign w:val="center"/>
                </w:tcPr>
                <w:p w14:paraId="469D7AE9">
                  <w:pPr>
                    <w:pStyle w:val="49"/>
                    <w:rPr>
                      <w:color w:val="000000" w:themeColor="text1"/>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2</w:t>
                  </w:r>
                </w:p>
              </w:tc>
              <w:tc>
                <w:tcPr>
                  <w:tcW w:w="1068" w:type="dxa"/>
                  <w:shd w:val="clear" w:color="auto" w:fill="auto"/>
                  <w:vAlign w:val="center"/>
                </w:tcPr>
                <w:p w14:paraId="5111B33D">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1.974</w:t>
                  </w:r>
                </w:p>
              </w:tc>
            </w:tr>
            <w:tr w14:paraId="51F68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74F0354F">
                  <w:pPr>
                    <w:jc w:val="center"/>
                    <w:rPr>
                      <w:color w:val="000000" w:themeColor="text1"/>
                      <w14:textFill>
                        <w14:solidFill>
                          <w14:schemeClr w14:val="tx1"/>
                        </w14:solidFill>
                      </w14:textFill>
                    </w:rPr>
                  </w:pPr>
                </w:p>
              </w:tc>
              <w:tc>
                <w:tcPr>
                  <w:tcW w:w="400" w:type="dxa"/>
                  <w:vMerge w:val="continue"/>
                  <w:vAlign w:val="center"/>
                </w:tcPr>
                <w:p w14:paraId="08C11A9A">
                  <w:pPr>
                    <w:jc w:val="center"/>
                    <w:rPr>
                      <w:color w:val="000000" w:themeColor="text1"/>
                      <w14:textFill>
                        <w14:solidFill>
                          <w14:schemeClr w14:val="tx1"/>
                        </w14:solidFill>
                      </w14:textFill>
                    </w:rPr>
                  </w:pPr>
                </w:p>
              </w:tc>
              <w:tc>
                <w:tcPr>
                  <w:tcW w:w="1841" w:type="dxa"/>
                  <w:vMerge w:val="restart"/>
                  <w:vAlign w:val="center"/>
                </w:tcPr>
                <w:p w14:paraId="01B36BFF">
                  <w:pPr>
                    <w:jc w:val="center"/>
                    <w:rPr>
                      <w:color w:val="000000" w:themeColor="text1"/>
                      <w14:textFill>
                        <w14:solidFill>
                          <w14:schemeClr w14:val="tx1"/>
                        </w14:solidFill>
                      </w14:textFill>
                    </w:rPr>
                  </w:pPr>
                  <w:r>
                    <w:rPr>
                      <w:color w:val="000000" w:themeColor="text1"/>
                      <w:kern w:val="52"/>
                      <w14:textFill>
                        <w14:solidFill>
                          <w14:schemeClr w14:val="tx1"/>
                        </w14:solidFill>
                      </w14:textFill>
                    </w:rPr>
                    <w:t>污水处理站</w:t>
                  </w:r>
                  <w:r>
                    <w:rPr>
                      <w:rFonts w:hint="eastAsia"/>
                      <w:color w:val="000000" w:themeColor="text1"/>
                      <w:kern w:val="52"/>
                      <w14:textFill>
                        <w14:solidFill>
                          <w14:schemeClr w14:val="tx1"/>
                        </w14:solidFill>
                      </w14:textFill>
                    </w:rPr>
                    <w:t>及酒糟暂存恶臭气体</w:t>
                  </w:r>
                </w:p>
              </w:tc>
              <w:tc>
                <w:tcPr>
                  <w:tcW w:w="1204" w:type="dxa"/>
                  <w:shd w:val="clear" w:color="auto" w:fill="auto"/>
                  <w:vAlign w:val="center"/>
                </w:tcPr>
                <w:p w14:paraId="57502750">
                  <w:pPr>
                    <w:pStyle w:val="49"/>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1055" w:type="dxa"/>
                  <w:vAlign w:val="center"/>
                </w:tcPr>
                <w:p w14:paraId="580899A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0.0076</w:t>
                  </w:r>
                </w:p>
              </w:tc>
              <w:tc>
                <w:tcPr>
                  <w:tcW w:w="937" w:type="dxa"/>
                  <w:vAlign w:val="center"/>
                </w:tcPr>
                <w:p w14:paraId="3B98DFF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0.0014</w:t>
                  </w:r>
                </w:p>
              </w:tc>
              <w:tc>
                <w:tcPr>
                  <w:tcW w:w="1163" w:type="dxa"/>
                  <w:vAlign w:val="center"/>
                </w:tcPr>
                <w:p w14:paraId="0CC3A01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1.389</w:t>
                  </w:r>
                </w:p>
              </w:tc>
              <w:tc>
                <w:tcPr>
                  <w:tcW w:w="3107" w:type="dxa"/>
                  <w:vMerge w:val="restart"/>
                  <w:vAlign w:val="center"/>
                </w:tcPr>
                <w:p w14:paraId="0D8D749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污水处理站加盖密闭，通过管道收集后经1套“UV光氧+活性炭吸附装置”（TA007）进行处理，处理达标后由1根15m高排气筒（DA007）排放</w:t>
                  </w:r>
                </w:p>
              </w:tc>
              <w:tc>
                <w:tcPr>
                  <w:tcW w:w="917" w:type="dxa"/>
                  <w:shd w:val="clear" w:color="auto" w:fill="auto"/>
                  <w:vAlign w:val="center"/>
                </w:tcPr>
                <w:p w14:paraId="464920B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0.0030</w:t>
                  </w:r>
                </w:p>
              </w:tc>
              <w:tc>
                <w:tcPr>
                  <w:tcW w:w="900" w:type="dxa"/>
                  <w:shd w:val="clear" w:color="auto" w:fill="auto"/>
                  <w:vAlign w:val="center"/>
                </w:tcPr>
                <w:p w14:paraId="5ABAB0C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0.0006</w:t>
                  </w:r>
                </w:p>
              </w:tc>
              <w:tc>
                <w:tcPr>
                  <w:tcW w:w="1068" w:type="dxa"/>
                  <w:shd w:val="clear" w:color="auto" w:fill="auto"/>
                  <w:vAlign w:val="center"/>
                </w:tcPr>
                <w:p w14:paraId="53ECCF6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0.556</w:t>
                  </w:r>
                </w:p>
              </w:tc>
            </w:tr>
            <w:tr w14:paraId="01DB5B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11CB642A">
                  <w:pPr>
                    <w:jc w:val="center"/>
                    <w:rPr>
                      <w:color w:val="000000" w:themeColor="text1"/>
                      <w14:textFill>
                        <w14:solidFill>
                          <w14:schemeClr w14:val="tx1"/>
                        </w14:solidFill>
                      </w14:textFill>
                    </w:rPr>
                  </w:pPr>
                </w:p>
              </w:tc>
              <w:tc>
                <w:tcPr>
                  <w:tcW w:w="400" w:type="dxa"/>
                  <w:vMerge w:val="continue"/>
                  <w:vAlign w:val="center"/>
                </w:tcPr>
                <w:p w14:paraId="01A9124F">
                  <w:pPr>
                    <w:jc w:val="center"/>
                    <w:rPr>
                      <w:color w:val="000000" w:themeColor="text1"/>
                      <w14:textFill>
                        <w14:solidFill>
                          <w14:schemeClr w14:val="tx1"/>
                        </w14:solidFill>
                      </w14:textFill>
                    </w:rPr>
                  </w:pPr>
                </w:p>
              </w:tc>
              <w:tc>
                <w:tcPr>
                  <w:tcW w:w="1841" w:type="dxa"/>
                  <w:vMerge w:val="continue"/>
                  <w:vAlign w:val="center"/>
                </w:tcPr>
                <w:p w14:paraId="712D37AC">
                  <w:pPr>
                    <w:jc w:val="center"/>
                    <w:rPr>
                      <w:color w:val="000000" w:themeColor="text1"/>
                      <w14:textFill>
                        <w14:solidFill>
                          <w14:schemeClr w14:val="tx1"/>
                        </w14:solidFill>
                      </w14:textFill>
                    </w:rPr>
                  </w:pPr>
                </w:p>
              </w:tc>
              <w:tc>
                <w:tcPr>
                  <w:tcW w:w="1204" w:type="dxa"/>
                  <w:shd w:val="clear" w:color="auto" w:fill="auto"/>
                  <w:vAlign w:val="center"/>
                </w:tcPr>
                <w:p w14:paraId="4B0A4B2F">
                  <w:pPr>
                    <w:pStyle w:val="49"/>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1055" w:type="dxa"/>
                  <w:vAlign w:val="center"/>
                </w:tcPr>
                <w:p w14:paraId="3D3633E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0.00029</w:t>
                  </w:r>
                </w:p>
              </w:tc>
              <w:tc>
                <w:tcPr>
                  <w:tcW w:w="937" w:type="dxa"/>
                  <w:vAlign w:val="center"/>
                </w:tcPr>
                <w:p w14:paraId="71C7D9A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0.00005</w:t>
                  </w:r>
                </w:p>
              </w:tc>
              <w:tc>
                <w:tcPr>
                  <w:tcW w:w="1163" w:type="dxa"/>
                  <w:vAlign w:val="center"/>
                </w:tcPr>
                <w:p w14:paraId="672BF64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0.052</w:t>
                  </w:r>
                </w:p>
              </w:tc>
              <w:tc>
                <w:tcPr>
                  <w:tcW w:w="3107" w:type="dxa"/>
                  <w:vMerge w:val="continue"/>
                  <w:vAlign w:val="center"/>
                </w:tcPr>
                <w:p w14:paraId="1330C2F1">
                  <w:pPr>
                    <w:jc w:val="center"/>
                    <w:rPr>
                      <w:color w:val="000000" w:themeColor="text1"/>
                      <w:szCs w:val="21"/>
                      <w14:textFill>
                        <w14:solidFill>
                          <w14:schemeClr w14:val="tx1"/>
                        </w14:solidFill>
                      </w14:textFill>
                    </w:rPr>
                  </w:pPr>
                </w:p>
              </w:tc>
              <w:tc>
                <w:tcPr>
                  <w:tcW w:w="917" w:type="dxa"/>
                  <w:shd w:val="clear" w:color="auto" w:fill="auto"/>
                  <w:vAlign w:val="center"/>
                </w:tcPr>
                <w:p w14:paraId="510359D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0.00011</w:t>
                  </w:r>
                </w:p>
              </w:tc>
              <w:tc>
                <w:tcPr>
                  <w:tcW w:w="900" w:type="dxa"/>
                  <w:shd w:val="clear" w:color="auto" w:fill="auto"/>
                  <w:vAlign w:val="center"/>
                </w:tcPr>
                <w:p w14:paraId="27D6915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0.00002</w:t>
                  </w:r>
                </w:p>
              </w:tc>
              <w:tc>
                <w:tcPr>
                  <w:tcW w:w="1068" w:type="dxa"/>
                  <w:shd w:val="clear" w:color="auto" w:fill="auto"/>
                  <w:vAlign w:val="center"/>
                </w:tcPr>
                <w:p w14:paraId="345D554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0.021</w:t>
                  </w:r>
                </w:p>
              </w:tc>
            </w:tr>
            <w:tr w14:paraId="72DF0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79C6BD24">
                  <w:pPr>
                    <w:jc w:val="center"/>
                    <w:rPr>
                      <w:color w:val="000000" w:themeColor="text1"/>
                      <w:szCs w:val="21"/>
                      <w14:textFill>
                        <w14:solidFill>
                          <w14:schemeClr w14:val="tx1"/>
                        </w14:solidFill>
                      </w14:textFill>
                    </w:rPr>
                  </w:pPr>
                </w:p>
              </w:tc>
              <w:tc>
                <w:tcPr>
                  <w:tcW w:w="400" w:type="dxa"/>
                  <w:vMerge w:val="restart"/>
                  <w:vAlign w:val="center"/>
                </w:tcPr>
                <w:p w14:paraId="026DE5AB">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无组织</w:t>
                  </w:r>
                </w:p>
              </w:tc>
              <w:tc>
                <w:tcPr>
                  <w:tcW w:w="1841" w:type="dxa"/>
                  <w:shd w:val="clear" w:color="auto" w:fill="auto"/>
                  <w:vAlign w:val="center"/>
                </w:tcPr>
                <w:p w14:paraId="15FF83F6">
                  <w:pPr>
                    <w:jc w:val="center"/>
                    <w:outlineLvl w:val="9"/>
                    <w:rPr>
                      <w:color w:val="000000" w:themeColor="text1"/>
                      <w:szCs w:val="21"/>
                      <w14:textFill>
                        <w14:solidFill>
                          <w14:schemeClr w14:val="tx1"/>
                        </w14:solidFill>
                      </w14:textFill>
                    </w:rPr>
                  </w:pPr>
                  <w:bookmarkStart w:id="99" w:name="_Toc22328"/>
                  <w:r>
                    <w:rPr>
                      <w:rFonts w:hint="eastAsia"/>
                      <w:color w:val="000000" w:themeColor="text1"/>
                      <w:szCs w:val="21"/>
                      <w14:textFill>
                        <w14:solidFill>
                          <w14:schemeClr w14:val="tx1"/>
                        </w14:solidFill>
                      </w14:textFill>
                    </w:rPr>
                    <w:t>白酒、啤酒生产线辅料投料粉尘</w:t>
                  </w:r>
                  <w:bookmarkEnd w:id="99"/>
                </w:p>
              </w:tc>
              <w:tc>
                <w:tcPr>
                  <w:tcW w:w="1204" w:type="dxa"/>
                  <w:shd w:val="clear" w:color="auto" w:fill="auto"/>
                  <w:vAlign w:val="center"/>
                </w:tcPr>
                <w:p w14:paraId="00E2E478">
                  <w:pPr>
                    <w:jc w:val="center"/>
                    <w:outlineLvl w:val="9"/>
                    <w:rPr>
                      <w:color w:val="000000" w:themeColor="text1"/>
                      <w:szCs w:val="21"/>
                      <w14:textFill>
                        <w14:solidFill>
                          <w14:schemeClr w14:val="tx1"/>
                        </w14:solidFill>
                      </w14:textFill>
                    </w:rPr>
                  </w:pPr>
                  <w:bookmarkStart w:id="100" w:name="_Toc8627"/>
                  <w:r>
                    <w:rPr>
                      <w:rFonts w:hint="eastAsia"/>
                      <w:color w:val="000000" w:themeColor="text1"/>
                      <w:szCs w:val="21"/>
                      <w14:textFill>
                        <w14:solidFill>
                          <w14:schemeClr w14:val="tx1"/>
                        </w14:solidFill>
                      </w14:textFill>
                    </w:rPr>
                    <w:t>颗粒物</w:t>
                  </w:r>
                  <w:bookmarkEnd w:id="100"/>
                </w:p>
              </w:tc>
              <w:tc>
                <w:tcPr>
                  <w:tcW w:w="1055" w:type="dxa"/>
                  <w:vAlign w:val="center"/>
                </w:tcPr>
                <w:p w14:paraId="326EFD4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0.0132</w:t>
                  </w:r>
                </w:p>
              </w:tc>
              <w:tc>
                <w:tcPr>
                  <w:tcW w:w="937" w:type="dxa"/>
                  <w:vAlign w:val="center"/>
                </w:tcPr>
                <w:p w14:paraId="4A4B0833">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0.044</w:t>
                  </w:r>
                </w:p>
              </w:tc>
              <w:tc>
                <w:tcPr>
                  <w:tcW w:w="1163" w:type="dxa"/>
                  <w:vAlign w:val="center"/>
                </w:tcPr>
                <w:p w14:paraId="22AAF2A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Merge w:val="restart"/>
                  <w:vAlign w:val="center"/>
                </w:tcPr>
                <w:p w14:paraId="33CF395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车间密闭，定期对废气环保设备维护，保证废气收集效率</w:t>
                  </w:r>
                </w:p>
              </w:tc>
              <w:tc>
                <w:tcPr>
                  <w:tcW w:w="917" w:type="dxa"/>
                  <w:shd w:val="clear" w:color="auto" w:fill="auto"/>
                  <w:vAlign w:val="center"/>
                </w:tcPr>
                <w:p w14:paraId="7F325D4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0.0132</w:t>
                  </w:r>
                </w:p>
              </w:tc>
              <w:tc>
                <w:tcPr>
                  <w:tcW w:w="900" w:type="dxa"/>
                  <w:shd w:val="clear" w:color="auto" w:fill="auto"/>
                  <w:vAlign w:val="center"/>
                </w:tcPr>
                <w:p w14:paraId="0F5B8170">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0.044</w:t>
                  </w:r>
                </w:p>
              </w:tc>
              <w:tc>
                <w:tcPr>
                  <w:tcW w:w="1068" w:type="dxa"/>
                  <w:shd w:val="clear" w:color="auto" w:fill="auto"/>
                  <w:vAlign w:val="center"/>
                </w:tcPr>
                <w:p w14:paraId="4EFB23E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34619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37C4FA42">
                  <w:pPr>
                    <w:jc w:val="center"/>
                    <w:rPr>
                      <w:color w:val="000000" w:themeColor="text1"/>
                      <w:szCs w:val="21"/>
                      <w14:textFill>
                        <w14:solidFill>
                          <w14:schemeClr w14:val="tx1"/>
                        </w14:solidFill>
                      </w14:textFill>
                    </w:rPr>
                  </w:pPr>
                </w:p>
              </w:tc>
              <w:tc>
                <w:tcPr>
                  <w:tcW w:w="400" w:type="dxa"/>
                  <w:vMerge w:val="continue"/>
                  <w:vAlign w:val="center"/>
                </w:tcPr>
                <w:p w14:paraId="606D3C4C">
                  <w:pPr>
                    <w:jc w:val="center"/>
                    <w:rPr>
                      <w:bCs/>
                      <w:color w:val="000000" w:themeColor="text1"/>
                      <w:szCs w:val="21"/>
                      <w14:textFill>
                        <w14:solidFill>
                          <w14:schemeClr w14:val="tx1"/>
                        </w14:solidFill>
                      </w14:textFill>
                    </w:rPr>
                  </w:pPr>
                </w:p>
              </w:tc>
              <w:tc>
                <w:tcPr>
                  <w:tcW w:w="1841" w:type="dxa"/>
                  <w:shd w:val="clear" w:color="auto" w:fill="auto"/>
                  <w:vAlign w:val="center"/>
                </w:tcPr>
                <w:p w14:paraId="2F9B3B4A">
                  <w:pPr>
                    <w:jc w:val="center"/>
                    <w:outlineLvl w:val="9"/>
                    <w:rPr>
                      <w:color w:val="000000" w:themeColor="text1"/>
                      <w:szCs w:val="21"/>
                      <w14:textFill>
                        <w14:solidFill>
                          <w14:schemeClr w14:val="tx1"/>
                        </w14:solidFill>
                      </w14:textFill>
                    </w:rPr>
                  </w:pPr>
                  <w:bookmarkStart w:id="101" w:name="_Toc27844"/>
                  <w:r>
                    <w:rPr>
                      <w:rFonts w:hint="eastAsia"/>
                      <w:color w:val="000000" w:themeColor="text1"/>
                      <w:szCs w:val="21"/>
                      <w14:textFill>
                        <w14:solidFill>
                          <w14:schemeClr w14:val="tx1"/>
                        </w14:solidFill>
                      </w14:textFill>
                    </w:rPr>
                    <w:t>白酒、啤酒以及植物饮料生产线原料投料、破碎工序和袋泡茶生产过程未收集粉尘</w:t>
                  </w:r>
                  <w:bookmarkEnd w:id="101"/>
                </w:p>
              </w:tc>
              <w:tc>
                <w:tcPr>
                  <w:tcW w:w="1204" w:type="dxa"/>
                  <w:shd w:val="clear" w:color="auto" w:fill="auto"/>
                  <w:vAlign w:val="center"/>
                </w:tcPr>
                <w:p w14:paraId="1436FEFA">
                  <w:pPr>
                    <w:jc w:val="center"/>
                    <w:outlineLvl w:val="9"/>
                    <w:rPr>
                      <w:color w:val="000000" w:themeColor="text1"/>
                      <w:szCs w:val="21"/>
                      <w14:textFill>
                        <w14:solidFill>
                          <w14:schemeClr w14:val="tx1"/>
                        </w14:solidFill>
                      </w14:textFill>
                    </w:rPr>
                  </w:pPr>
                  <w:bookmarkStart w:id="102" w:name="_Toc21179"/>
                  <w:r>
                    <w:rPr>
                      <w:rFonts w:hint="eastAsia"/>
                      <w:color w:val="000000" w:themeColor="text1"/>
                      <w:szCs w:val="21"/>
                      <w14:textFill>
                        <w14:solidFill>
                          <w14:schemeClr w14:val="tx1"/>
                        </w14:solidFill>
                      </w14:textFill>
                    </w:rPr>
                    <w:t>颗粒物</w:t>
                  </w:r>
                  <w:bookmarkEnd w:id="102"/>
                </w:p>
              </w:tc>
              <w:tc>
                <w:tcPr>
                  <w:tcW w:w="1055" w:type="dxa"/>
                  <w:vAlign w:val="center"/>
                </w:tcPr>
                <w:p w14:paraId="1A156B2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0.070</w:t>
                  </w:r>
                </w:p>
              </w:tc>
              <w:tc>
                <w:tcPr>
                  <w:tcW w:w="937" w:type="dxa"/>
                  <w:vAlign w:val="center"/>
                </w:tcPr>
                <w:p w14:paraId="09CB29D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0.105</w:t>
                  </w:r>
                </w:p>
              </w:tc>
              <w:tc>
                <w:tcPr>
                  <w:tcW w:w="1163" w:type="dxa"/>
                  <w:vAlign w:val="center"/>
                </w:tcPr>
                <w:p w14:paraId="2D86A39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Merge w:val="continue"/>
                  <w:vAlign w:val="center"/>
                </w:tcPr>
                <w:p w14:paraId="1EE4F7F1">
                  <w:pPr>
                    <w:jc w:val="center"/>
                    <w:rPr>
                      <w:color w:val="000000" w:themeColor="text1"/>
                      <w:szCs w:val="21"/>
                      <w14:textFill>
                        <w14:solidFill>
                          <w14:schemeClr w14:val="tx1"/>
                        </w14:solidFill>
                      </w14:textFill>
                    </w:rPr>
                  </w:pPr>
                </w:p>
              </w:tc>
              <w:tc>
                <w:tcPr>
                  <w:tcW w:w="917" w:type="dxa"/>
                  <w:shd w:val="clear" w:color="auto" w:fill="auto"/>
                  <w:vAlign w:val="center"/>
                </w:tcPr>
                <w:p w14:paraId="61A615E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0.070</w:t>
                  </w:r>
                </w:p>
              </w:tc>
              <w:tc>
                <w:tcPr>
                  <w:tcW w:w="900" w:type="dxa"/>
                  <w:shd w:val="clear" w:color="auto" w:fill="auto"/>
                  <w:vAlign w:val="center"/>
                </w:tcPr>
                <w:p w14:paraId="6FDB5980">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0.105</w:t>
                  </w:r>
                </w:p>
              </w:tc>
              <w:tc>
                <w:tcPr>
                  <w:tcW w:w="1068" w:type="dxa"/>
                  <w:shd w:val="clear" w:color="auto" w:fill="auto"/>
                  <w:vAlign w:val="center"/>
                </w:tcPr>
                <w:p w14:paraId="477DD6E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73F7BC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60A3720B">
                  <w:pPr>
                    <w:jc w:val="center"/>
                    <w:rPr>
                      <w:color w:val="000000" w:themeColor="text1"/>
                      <w:szCs w:val="21"/>
                      <w14:textFill>
                        <w14:solidFill>
                          <w14:schemeClr w14:val="tx1"/>
                        </w14:solidFill>
                      </w14:textFill>
                    </w:rPr>
                  </w:pPr>
                </w:p>
              </w:tc>
              <w:tc>
                <w:tcPr>
                  <w:tcW w:w="400" w:type="dxa"/>
                  <w:vMerge w:val="continue"/>
                  <w:vAlign w:val="center"/>
                </w:tcPr>
                <w:p w14:paraId="2CFB4F0E">
                  <w:pPr>
                    <w:jc w:val="center"/>
                    <w:rPr>
                      <w:bCs/>
                      <w:color w:val="000000" w:themeColor="text1"/>
                      <w:szCs w:val="21"/>
                      <w14:textFill>
                        <w14:solidFill>
                          <w14:schemeClr w14:val="tx1"/>
                        </w14:solidFill>
                      </w14:textFill>
                    </w:rPr>
                  </w:pPr>
                </w:p>
              </w:tc>
              <w:tc>
                <w:tcPr>
                  <w:tcW w:w="1841" w:type="dxa"/>
                  <w:shd w:val="clear" w:color="auto" w:fill="auto"/>
                  <w:vAlign w:val="center"/>
                </w:tcPr>
                <w:p w14:paraId="613E75C9">
                  <w:pPr>
                    <w:jc w:val="center"/>
                    <w:outlineLvl w:val="9"/>
                    <w:rPr>
                      <w:color w:val="000000" w:themeColor="text1"/>
                      <w:szCs w:val="21"/>
                      <w14:textFill>
                        <w14:solidFill>
                          <w14:schemeClr w14:val="tx1"/>
                        </w14:solidFill>
                      </w14:textFill>
                    </w:rPr>
                  </w:pPr>
                  <w:bookmarkStart w:id="103" w:name="_Toc14150"/>
                  <w:r>
                    <w:rPr>
                      <w:rFonts w:hint="eastAsia"/>
                      <w:color w:val="000000" w:themeColor="text1"/>
                      <w:szCs w:val="21"/>
                      <w14:textFill>
                        <w14:solidFill>
                          <w14:schemeClr w14:val="tx1"/>
                        </w14:solidFill>
                      </w14:textFill>
                    </w:rPr>
                    <w:t>综合车间发酵工序废气</w:t>
                  </w:r>
                  <w:bookmarkEnd w:id="103"/>
                </w:p>
              </w:tc>
              <w:tc>
                <w:tcPr>
                  <w:tcW w:w="1204" w:type="dxa"/>
                  <w:shd w:val="clear" w:color="auto" w:fill="auto"/>
                  <w:vAlign w:val="center"/>
                </w:tcPr>
                <w:p w14:paraId="5DBE6B2B">
                  <w:pPr>
                    <w:jc w:val="center"/>
                    <w:outlineLvl w:val="9"/>
                    <w:rPr>
                      <w:color w:val="000000" w:themeColor="text1"/>
                      <w:szCs w:val="21"/>
                      <w14:textFill>
                        <w14:solidFill>
                          <w14:schemeClr w14:val="tx1"/>
                        </w14:solidFill>
                      </w14:textFill>
                    </w:rPr>
                  </w:pPr>
                  <w:bookmarkStart w:id="104" w:name="_Toc17025"/>
                  <w:r>
                    <w:rPr>
                      <w:rFonts w:hint="eastAsia"/>
                      <w:color w:val="000000" w:themeColor="text1"/>
                      <w:szCs w:val="21"/>
                      <w14:textFill>
                        <w14:solidFill>
                          <w14:schemeClr w14:val="tx1"/>
                        </w14:solidFill>
                      </w14:textFill>
                    </w:rPr>
                    <w:t>二氧化碳</w:t>
                  </w:r>
                  <w:bookmarkEnd w:id="104"/>
                </w:p>
              </w:tc>
              <w:tc>
                <w:tcPr>
                  <w:tcW w:w="1055" w:type="dxa"/>
                  <w:vAlign w:val="center"/>
                </w:tcPr>
                <w:p w14:paraId="4D4A236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55.334</w:t>
                  </w:r>
                </w:p>
              </w:tc>
              <w:tc>
                <w:tcPr>
                  <w:tcW w:w="937" w:type="dxa"/>
                  <w:vAlign w:val="center"/>
                </w:tcPr>
                <w:p w14:paraId="557263F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163" w:type="dxa"/>
                  <w:vAlign w:val="center"/>
                </w:tcPr>
                <w:p w14:paraId="307455C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Merge w:val="continue"/>
                  <w:vAlign w:val="center"/>
                </w:tcPr>
                <w:p w14:paraId="2110EE6A">
                  <w:pPr>
                    <w:jc w:val="center"/>
                    <w:rPr>
                      <w:color w:val="000000" w:themeColor="text1"/>
                      <w:szCs w:val="21"/>
                      <w14:textFill>
                        <w14:solidFill>
                          <w14:schemeClr w14:val="tx1"/>
                        </w14:solidFill>
                      </w14:textFill>
                    </w:rPr>
                  </w:pPr>
                </w:p>
              </w:tc>
              <w:tc>
                <w:tcPr>
                  <w:tcW w:w="917" w:type="dxa"/>
                  <w:shd w:val="clear" w:color="auto" w:fill="auto"/>
                  <w:vAlign w:val="center"/>
                </w:tcPr>
                <w:p w14:paraId="31BC3D8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55.334</w:t>
                  </w:r>
                </w:p>
              </w:tc>
              <w:tc>
                <w:tcPr>
                  <w:tcW w:w="900" w:type="dxa"/>
                  <w:shd w:val="clear" w:color="auto" w:fill="auto"/>
                  <w:vAlign w:val="center"/>
                </w:tcPr>
                <w:p w14:paraId="11471E9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068" w:type="dxa"/>
                  <w:shd w:val="clear" w:color="auto" w:fill="auto"/>
                  <w:vAlign w:val="center"/>
                </w:tcPr>
                <w:p w14:paraId="7E2857E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042B0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63F8A733">
                  <w:pPr>
                    <w:jc w:val="center"/>
                    <w:rPr>
                      <w:color w:val="000000" w:themeColor="text1"/>
                      <w:szCs w:val="21"/>
                      <w14:textFill>
                        <w14:solidFill>
                          <w14:schemeClr w14:val="tx1"/>
                        </w14:solidFill>
                      </w14:textFill>
                    </w:rPr>
                  </w:pPr>
                </w:p>
              </w:tc>
              <w:tc>
                <w:tcPr>
                  <w:tcW w:w="400" w:type="dxa"/>
                  <w:vMerge w:val="continue"/>
                  <w:vAlign w:val="center"/>
                </w:tcPr>
                <w:p w14:paraId="040F8FD9">
                  <w:pPr>
                    <w:jc w:val="center"/>
                    <w:rPr>
                      <w:bCs/>
                      <w:color w:val="000000" w:themeColor="text1"/>
                      <w:szCs w:val="21"/>
                      <w14:textFill>
                        <w14:solidFill>
                          <w14:schemeClr w14:val="tx1"/>
                        </w14:solidFill>
                      </w14:textFill>
                    </w:rPr>
                  </w:pPr>
                </w:p>
              </w:tc>
              <w:tc>
                <w:tcPr>
                  <w:tcW w:w="1841" w:type="dxa"/>
                  <w:shd w:val="clear" w:color="auto" w:fill="auto"/>
                  <w:vAlign w:val="center"/>
                </w:tcPr>
                <w:p w14:paraId="6EE18711">
                  <w:pPr>
                    <w:jc w:val="center"/>
                    <w:outlineLvl w:val="9"/>
                    <w:rPr>
                      <w:color w:val="000000" w:themeColor="text1"/>
                      <w:szCs w:val="21"/>
                      <w14:textFill>
                        <w14:solidFill>
                          <w14:schemeClr w14:val="tx1"/>
                        </w14:solidFill>
                      </w14:textFill>
                    </w:rPr>
                  </w:pPr>
                  <w:bookmarkStart w:id="105" w:name="_Toc16811"/>
                  <w:r>
                    <w:rPr>
                      <w:rFonts w:hint="eastAsia"/>
                      <w:color w:val="000000" w:themeColor="text1"/>
                      <w:szCs w:val="21"/>
                      <w14:textFill>
                        <w14:solidFill>
                          <w14:schemeClr w14:val="tx1"/>
                        </w14:solidFill>
                      </w14:textFill>
                    </w:rPr>
                    <w:t>白酒储存过程产生的废气</w:t>
                  </w:r>
                  <w:bookmarkEnd w:id="105"/>
                </w:p>
              </w:tc>
              <w:tc>
                <w:tcPr>
                  <w:tcW w:w="1204" w:type="dxa"/>
                  <w:shd w:val="clear" w:color="auto" w:fill="auto"/>
                  <w:vAlign w:val="center"/>
                </w:tcPr>
                <w:p w14:paraId="7F7E4A18">
                  <w:pPr>
                    <w:jc w:val="center"/>
                    <w:outlineLvl w:val="9"/>
                    <w:rPr>
                      <w:color w:val="000000" w:themeColor="text1"/>
                      <w:szCs w:val="21"/>
                      <w14:textFill>
                        <w14:solidFill>
                          <w14:schemeClr w14:val="tx1"/>
                        </w14:solidFill>
                      </w14:textFill>
                    </w:rPr>
                  </w:pPr>
                  <w:bookmarkStart w:id="106" w:name="_Toc16203"/>
                  <w:r>
                    <w:rPr>
                      <w:rFonts w:hint="eastAsia"/>
                      <w:color w:val="000000" w:themeColor="text1"/>
                      <w:szCs w:val="21"/>
                      <w14:textFill>
                        <w14:solidFill>
                          <w14:schemeClr w14:val="tx1"/>
                        </w14:solidFill>
                      </w14:textFill>
                    </w:rPr>
                    <w:t>非甲烷总烃</w:t>
                  </w:r>
                  <w:bookmarkEnd w:id="106"/>
                </w:p>
              </w:tc>
              <w:tc>
                <w:tcPr>
                  <w:tcW w:w="1055" w:type="dxa"/>
                  <w:vAlign w:val="center"/>
                </w:tcPr>
                <w:p w14:paraId="6EB2764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0.069</w:t>
                  </w:r>
                </w:p>
              </w:tc>
              <w:tc>
                <w:tcPr>
                  <w:tcW w:w="937" w:type="dxa"/>
                  <w:vAlign w:val="center"/>
                </w:tcPr>
                <w:p w14:paraId="10CA6E2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0.008</w:t>
                  </w:r>
                </w:p>
              </w:tc>
              <w:tc>
                <w:tcPr>
                  <w:tcW w:w="1163" w:type="dxa"/>
                  <w:vAlign w:val="center"/>
                </w:tcPr>
                <w:p w14:paraId="2AE9081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Merge w:val="continue"/>
                  <w:vAlign w:val="center"/>
                </w:tcPr>
                <w:p w14:paraId="26A3ACE6">
                  <w:pPr>
                    <w:jc w:val="center"/>
                    <w:rPr>
                      <w:color w:val="000000" w:themeColor="text1"/>
                      <w:szCs w:val="21"/>
                      <w14:textFill>
                        <w14:solidFill>
                          <w14:schemeClr w14:val="tx1"/>
                        </w14:solidFill>
                      </w14:textFill>
                    </w:rPr>
                  </w:pPr>
                </w:p>
              </w:tc>
              <w:tc>
                <w:tcPr>
                  <w:tcW w:w="917" w:type="dxa"/>
                  <w:shd w:val="clear" w:color="auto" w:fill="auto"/>
                  <w:vAlign w:val="center"/>
                </w:tcPr>
                <w:p w14:paraId="10A9B84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0.069</w:t>
                  </w:r>
                </w:p>
              </w:tc>
              <w:tc>
                <w:tcPr>
                  <w:tcW w:w="900" w:type="dxa"/>
                  <w:shd w:val="clear" w:color="auto" w:fill="auto"/>
                  <w:vAlign w:val="center"/>
                </w:tcPr>
                <w:p w14:paraId="13AA695F">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0.008</w:t>
                  </w:r>
                </w:p>
              </w:tc>
              <w:tc>
                <w:tcPr>
                  <w:tcW w:w="1068" w:type="dxa"/>
                  <w:shd w:val="clear" w:color="auto" w:fill="auto"/>
                  <w:vAlign w:val="center"/>
                </w:tcPr>
                <w:p w14:paraId="76893FC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26EBF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1F2945FE">
                  <w:pPr>
                    <w:jc w:val="center"/>
                    <w:rPr>
                      <w:color w:val="000000" w:themeColor="text1"/>
                      <w:szCs w:val="21"/>
                      <w14:textFill>
                        <w14:solidFill>
                          <w14:schemeClr w14:val="tx1"/>
                        </w14:solidFill>
                      </w14:textFill>
                    </w:rPr>
                  </w:pPr>
                </w:p>
              </w:tc>
              <w:tc>
                <w:tcPr>
                  <w:tcW w:w="400" w:type="dxa"/>
                  <w:vMerge w:val="continue"/>
                  <w:vAlign w:val="center"/>
                </w:tcPr>
                <w:p w14:paraId="560899D3">
                  <w:pPr>
                    <w:jc w:val="center"/>
                    <w:rPr>
                      <w:bCs/>
                      <w:color w:val="000000" w:themeColor="text1"/>
                      <w:szCs w:val="21"/>
                      <w14:textFill>
                        <w14:solidFill>
                          <w14:schemeClr w14:val="tx1"/>
                        </w14:solidFill>
                      </w14:textFill>
                    </w:rPr>
                  </w:pPr>
                </w:p>
              </w:tc>
              <w:tc>
                <w:tcPr>
                  <w:tcW w:w="1841" w:type="dxa"/>
                  <w:shd w:val="clear" w:color="auto" w:fill="auto"/>
                  <w:vAlign w:val="center"/>
                </w:tcPr>
                <w:p w14:paraId="2FC8055B">
                  <w:pPr>
                    <w:jc w:val="center"/>
                    <w:outlineLvl w:val="9"/>
                    <w:rPr>
                      <w:color w:val="000000" w:themeColor="text1"/>
                      <w:szCs w:val="21"/>
                      <w14:textFill>
                        <w14:solidFill>
                          <w14:schemeClr w14:val="tx1"/>
                        </w14:solidFill>
                      </w14:textFill>
                    </w:rPr>
                  </w:pPr>
                  <w:bookmarkStart w:id="107" w:name="_Toc31749"/>
                  <w:r>
                    <w:rPr>
                      <w:rFonts w:hint="eastAsia"/>
                      <w:color w:val="000000" w:themeColor="text1"/>
                      <w:kern w:val="52"/>
                      <w14:textFill>
                        <w14:solidFill>
                          <w14:schemeClr w14:val="tx1"/>
                        </w14:solidFill>
                      </w14:textFill>
                    </w:rPr>
                    <w:t>黄酒生产线原辅料投料过程粉尘</w:t>
                  </w:r>
                  <w:bookmarkEnd w:id="107"/>
                </w:p>
              </w:tc>
              <w:tc>
                <w:tcPr>
                  <w:tcW w:w="1204" w:type="dxa"/>
                  <w:shd w:val="clear" w:color="auto" w:fill="auto"/>
                  <w:vAlign w:val="center"/>
                </w:tcPr>
                <w:p w14:paraId="4E313156">
                  <w:pPr>
                    <w:jc w:val="center"/>
                    <w:outlineLvl w:val="9"/>
                    <w:rPr>
                      <w:color w:val="000000" w:themeColor="text1"/>
                      <w:szCs w:val="21"/>
                      <w14:textFill>
                        <w14:solidFill>
                          <w14:schemeClr w14:val="tx1"/>
                        </w14:solidFill>
                      </w14:textFill>
                    </w:rPr>
                  </w:pPr>
                  <w:bookmarkStart w:id="108" w:name="_Toc28731"/>
                  <w:r>
                    <w:rPr>
                      <w:rFonts w:hint="eastAsia"/>
                      <w:color w:val="000000" w:themeColor="text1"/>
                      <w:szCs w:val="21"/>
                      <w14:textFill>
                        <w14:solidFill>
                          <w14:schemeClr w14:val="tx1"/>
                        </w14:solidFill>
                      </w14:textFill>
                    </w:rPr>
                    <w:t>颗粒物</w:t>
                  </w:r>
                  <w:bookmarkEnd w:id="108"/>
                </w:p>
              </w:tc>
              <w:tc>
                <w:tcPr>
                  <w:tcW w:w="1055" w:type="dxa"/>
                  <w:vAlign w:val="center"/>
                </w:tcPr>
                <w:p w14:paraId="4FE860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0.008</w:t>
                  </w:r>
                </w:p>
              </w:tc>
              <w:tc>
                <w:tcPr>
                  <w:tcW w:w="937" w:type="dxa"/>
                  <w:vAlign w:val="center"/>
                </w:tcPr>
                <w:p w14:paraId="2203A7C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0.027</w:t>
                  </w:r>
                </w:p>
              </w:tc>
              <w:tc>
                <w:tcPr>
                  <w:tcW w:w="1163" w:type="dxa"/>
                  <w:vAlign w:val="center"/>
                </w:tcPr>
                <w:p w14:paraId="7D82B37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Align w:val="center"/>
                </w:tcPr>
                <w:p w14:paraId="1388734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917" w:type="dxa"/>
                  <w:shd w:val="clear" w:color="auto" w:fill="auto"/>
                  <w:vAlign w:val="center"/>
                </w:tcPr>
                <w:p w14:paraId="3E0DB73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0.008</w:t>
                  </w:r>
                </w:p>
              </w:tc>
              <w:tc>
                <w:tcPr>
                  <w:tcW w:w="900" w:type="dxa"/>
                  <w:shd w:val="clear" w:color="auto" w:fill="auto"/>
                  <w:vAlign w:val="center"/>
                </w:tcPr>
                <w:p w14:paraId="20DA35A0">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0.027</w:t>
                  </w:r>
                </w:p>
              </w:tc>
              <w:tc>
                <w:tcPr>
                  <w:tcW w:w="1068" w:type="dxa"/>
                  <w:shd w:val="clear" w:color="auto" w:fill="auto"/>
                  <w:vAlign w:val="center"/>
                </w:tcPr>
                <w:p w14:paraId="53E409C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0A938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6650AA92">
                  <w:pPr>
                    <w:jc w:val="center"/>
                    <w:rPr>
                      <w:color w:val="000000" w:themeColor="text1"/>
                      <w:szCs w:val="21"/>
                      <w14:textFill>
                        <w14:solidFill>
                          <w14:schemeClr w14:val="tx1"/>
                        </w14:solidFill>
                      </w14:textFill>
                    </w:rPr>
                  </w:pPr>
                </w:p>
              </w:tc>
              <w:tc>
                <w:tcPr>
                  <w:tcW w:w="400" w:type="dxa"/>
                  <w:vMerge w:val="continue"/>
                  <w:vAlign w:val="center"/>
                </w:tcPr>
                <w:p w14:paraId="33C4FFC4">
                  <w:pPr>
                    <w:jc w:val="center"/>
                    <w:rPr>
                      <w:bCs/>
                      <w:color w:val="000000" w:themeColor="text1"/>
                      <w:szCs w:val="21"/>
                      <w14:textFill>
                        <w14:solidFill>
                          <w14:schemeClr w14:val="tx1"/>
                        </w14:solidFill>
                      </w14:textFill>
                    </w:rPr>
                  </w:pPr>
                </w:p>
              </w:tc>
              <w:tc>
                <w:tcPr>
                  <w:tcW w:w="1841" w:type="dxa"/>
                  <w:shd w:val="clear" w:color="auto" w:fill="auto"/>
                  <w:vAlign w:val="center"/>
                </w:tcPr>
                <w:p w14:paraId="607188D2">
                  <w:pPr>
                    <w:jc w:val="center"/>
                    <w:outlineLvl w:val="9"/>
                    <w:rPr>
                      <w:color w:val="000000" w:themeColor="text1"/>
                      <w:kern w:val="52"/>
                      <w14:textFill>
                        <w14:solidFill>
                          <w14:schemeClr w14:val="tx1"/>
                        </w14:solidFill>
                      </w14:textFill>
                    </w:rPr>
                  </w:pPr>
                  <w:bookmarkStart w:id="109" w:name="_Toc29402"/>
                  <w:r>
                    <w:rPr>
                      <w:rFonts w:hint="eastAsia"/>
                      <w:color w:val="000000" w:themeColor="text1"/>
                      <w:kern w:val="52"/>
                      <w14:textFill>
                        <w14:solidFill>
                          <w14:schemeClr w14:val="tx1"/>
                        </w14:solidFill>
                      </w14:textFill>
                    </w:rPr>
                    <w:t>封坛发酵车间废气</w:t>
                  </w:r>
                  <w:bookmarkEnd w:id="109"/>
                </w:p>
              </w:tc>
              <w:tc>
                <w:tcPr>
                  <w:tcW w:w="1204" w:type="dxa"/>
                  <w:shd w:val="clear" w:color="auto" w:fill="auto"/>
                  <w:vAlign w:val="center"/>
                </w:tcPr>
                <w:p w14:paraId="33FE04B5">
                  <w:pPr>
                    <w:jc w:val="center"/>
                    <w:outlineLvl w:val="9"/>
                    <w:rPr>
                      <w:color w:val="000000" w:themeColor="text1"/>
                      <w:szCs w:val="21"/>
                      <w14:textFill>
                        <w14:solidFill>
                          <w14:schemeClr w14:val="tx1"/>
                        </w14:solidFill>
                      </w14:textFill>
                    </w:rPr>
                  </w:pPr>
                  <w:bookmarkStart w:id="110" w:name="_Toc29161"/>
                  <w:r>
                    <w:rPr>
                      <w:rFonts w:hint="eastAsia"/>
                      <w:color w:val="000000" w:themeColor="text1"/>
                      <w:szCs w:val="21"/>
                      <w14:textFill>
                        <w14:solidFill>
                          <w14:schemeClr w14:val="tx1"/>
                        </w14:solidFill>
                      </w14:textFill>
                    </w:rPr>
                    <w:t>二氧化碳</w:t>
                  </w:r>
                  <w:bookmarkEnd w:id="110"/>
                </w:p>
              </w:tc>
              <w:tc>
                <w:tcPr>
                  <w:tcW w:w="1055" w:type="dxa"/>
                  <w:vAlign w:val="center"/>
                </w:tcPr>
                <w:p w14:paraId="1E189B6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7.412</w:t>
                  </w:r>
                </w:p>
              </w:tc>
              <w:tc>
                <w:tcPr>
                  <w:tcW w:w="937" w:type="dxa"/>
                  <w:vAlign w:val="center"/>
                </w:tcPr>
                <w:p w14:paraId="690FCC3E">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163" w:type="dxa"/>
                  <w:vAlign w:val="center"/>
                </w:tcPr>
                <w:p w14:paraId="48ADEA2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Align w:val="center"/>
                </w:tcPr>
                <w:p w14:paraId="5D9B7A5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917" w:type="dxa"/>
                  <w:shd w:val="clear" w:color="auto" w:fill="auto"/>
                  <w:vAlign w:val="center"/>
                </w:tcPr>
                <w:p w14:paraId="3EC1E2E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7.412</w:t>
                  </w:r>
                </w:p>
              </w:tc>
              <w:tc>
                <w:tcPr>
                  <w:tcW w:w="900" w:type="dxa"/>
                  <w:shd w:val="clear" w:color="auto" w:fill="auto"/>
                  <w:vAlign w:val="center"/>
                </w:tcPr>
                <w:p w14:paraId="43F43B6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068" w:type="dxa"/>
                  <w:shd w:val="clear" w:color="auto" w:fill="auto"/>
                  <w:vAlign w:val="center"/>
                </w:tcPr>
                <w:p w14:paraId="42BC94D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56586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32FC5839">
                  <w:pPr>
                    <w:jc w:val="center"/>
                    <w:rPr>
                      <w:color w:val="000000" w:themeColor="text1"/>
                      <w:szCs w:val="21"/>
                      <w14:textFill>
                        <w14:solidFill>
                          <w14:schemeClr w14:val="tx1"/>
                        </w14:solidFill>
                      </w14:textFill>
                    </w:rPr>
                  </w:pPr>
                </w:p>
              </w:tc>
              <w:tc>
                <w:tcPr>
                  <w:tcW w:w="400" w:type="dxa"/>
                  <w:vMerge w:val="continue"/>
                  <w:vAlign w:val="center"/>
                </w:tcPr>
                <w:p w14:paraId="61886623">
                  <w:pPr>
                    <w:jc w:val="center"/>
                    <w:rPr>
                      <w:bCs/>
                      <w:color w:val="000000" w:themeColor="text1"/>
                      <w:szCs w:val="21"/>
                      <w14:textFill>
                        <w14:solidFill>
                          <w14:schemeClr w14:val="tx1"/>
                        </w14:solidFill>
                      </w14:textFill>
                    </w:rPr>
                  </w:pPr>
                </w:p>
              </w:tc>
              <w:tc>
                <w:tcPr>
                  <w:tcW w:w="1841" w:type="dxa"/>
                  <w:shd w:val="clear" w:color="auto" w:fill="auto"/>
                  <w:vAlign w:val="center"/>
                </w:tcPr>
                <w:p w14:paraId="0CB7B932">
                  <w:pPr>
                    <w:jc w:val="center"/>
                    <w:outlineLvl w:val="9"/>
                    <w:rPr>
                      <w:color w:val="000000" w:themeColor="text1"/>
                      <w:kern w:val="52"/>
                      <w14:textFill>
                        <w14:solidFill>
                          <w14:schemeClr w14:val="tx1"/>
                        </w14:solidFill>
                      </w14:textFill>
                    </w:rPr>
                  </w:pPr>
                  <w:bookmarkStart w:id="111" w:name="_Toc12777"/>
                  <w:r>
                    <w:rPr>
                      <w:rFonts w:hint="eastAsia"/>
                      <w:color w:val="000000" w:themeColor="text1"/>
                      <w:kern w:val="52"/>
                      <w14:textFill>
                        <w14:solidFill>
                          <w14:schemeClr w14:val="tx1"/>
                        </w14:solidFill>
                      </w14:textFill>
                    </w:rPr>
                    <w:t>封坛区域废气</w:t>
                  </w:r>
                  <w:bookmarkEnd w:id="111"/>
                </w:p>
              </w:tc>
              <w:tc>
                <w:tcPr>
                  <w:tcW w:w="1204" w:type="dxa"/>
                  <w:shd w:val="clear" w:color="auto" w:fill="auto"/>
                  <w:vAlign w:val="center"/>
                </w:tcPr>
                <w:p w14:paraId="36BCD686">
                  <w:pPr>
                    <w:jc w:val="center"/>
                    <w:outlineLvl w:val="9"/>
                    <w:rPr>
                      <w:color w:val="000000" w:themeColor="text1"/>
                      <w:szCs w:val="21"/>
                      <w14:textFill>
                        <w14:solidFill>
                          <w14:schemeClr w14:val="tx1"/>
                        </w14:solidFill>
                      </w14:textFill>
                    </w:rPr>
                  </w:pPr>
                  <w:bookmarkStart w:id="112" w:name="_Toc1170"/>
                  <w:r>
                    <w:rPr>
                      <w:rFonts w:hint="eastAsia"/>
                      <w:color w:val="000000" w:themeColor="text1"/>
                      <w:szCs w:val="21"/>
                      <w14:textFill>
                        <w14:solidFill>
                          <w14:schemeClr w14:val="tx1"/>
                        </w14:solidFill>
                      </w14:textFill>
                    </w:rPr>
                    <w:t>二氧化碳</w:t>
                  </w:r>
                  <w:bookmarkEnd w:id="112"/>
                </w:p>
              </w:tc>
              <w:tc>
                <w:tcPr>
                  <w:tcW w:w="1055" w:type="dxa"/>
                  <w:vAlign w:val="center"/>
                </w:tcPr>
                <w:p w14:paraId="53C17E5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4.941</w:t>
                  </w:r>
                </w:p>
              </w:tc>
              <w:tc>
                <w:tcPr>
                  <w:tcW w:w="937" w:type="dxa"/>
                  <w:vAlign w:val="center"/>
                </w:tcPr>
                <w:p w14:paraId="661922D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163" w:type="dxa"/>
                  <w:vAlign w:val="center"/>
                </w:tcPr>
                <w:p w14:paraId="6BC22DA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Align w:val="center"/>
                </w:tcPr>
                <w:p w14:paraId="61373EF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917" w:type="dxa"/>
                  <w:shd w:val="clear" w:color="auto" w:fill="auto"/>
                  <w:vAlign w:val="center"/>
                </w:tcPr>
                <w:p w14:paraId="2FA9C77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4.941</w:t>
                  </w:r>
                </w:p>
              </w:tc>
              <w:tc>
                <w:tcPr>
                  <w:tcW w:w="900" w:type="dxa"/>
                  <w:shd w:val="clear" w:color="auto" w:fill="auto"/>
                  <w:vAlign w:val="center"/>
                </w:tcPr>
                <w:p w14:paraId="2213611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068" w:type="dxa"/>
                  <w:shd w:val="clear" w:color="auto" w:fill="auto"/>
                  <w:vAlign w:val="center"/>
                </w:tcPr>
                <w:p w14:paraId="4814373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36652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7824E085">
                  <w:pPr>
                    <w:jc w:val="center"/>
                    <w:rPr>
                      <w:color w:val="000000" w:themeColor="text1"/>
                      <w:szCs w:val="21"/>
                      <w14:textFill>
                        <w14:solidFill>
                          <w14:schemeClr w14:val="tx1"/>
                        </w14:solidFill>
                      </w14:textFill>
                    </w:rPr>
                  </w:pPr>
                </w:p>
              </w:tc>
              <w:tc>
                <w:tcPr>
                  <w:tcW w:w="400" w:type="dxa"/>
                  <w:vMerge w:val="continue"/>
                  <w:vAlign w:val="center"/>
                </w:tcPr>
                <w:p w14:paraId="6A475B3D">
                  <w:pPr>
                    <w:jc w:val="center"/>
                    <w:rPr>
                      <w:bCs/>
                      <w:color w:val="000000" w:themeColor="text1"/>
                      <w:szCs w:val="21"/>
                      <w14:textFill>
                        <w14:solidFill>
                          <w14:schemeClr w14:val="tx1"/>
                        </w14:solidFill>
                      </w14:textFill>
                    </w:rPr>
                  </w:pPr>
                </w:p>
              </w:tc>
              <w:tc>
                <w:tcPr>
                  <w:tcW w:w="1841" w:type="dxa"/>
                  <w:shd w:val="clear" w:color="auto" w:fill="auto"/>
                  <w:vAlign w:val="center"/>
                </w:tcPr>
                <w:p w14:paraId="3BB067A1">
                  <w:pPr>
                    <w:jc w:val="center"/>
                    <w:outlineLvl w:val="9"/>
                    <w:rPr>
                      <w:color w:val="000000" w:themeColor="text1"/>
                      <w:kern w:val="52"/>
                      <w14:textFill>
                        <w14:solidFill>
                          <w14:schemeClr w14:val="tx1"/>
                        </w14:solidFill>
                      </w14:textFill>
                    </w:rPr>
                  </w:pPr>
                  <w:bookmarkStart w:id="113" w:name="_Toc13833"/>
                  <w:r>
                    <w:rPr>
                      <w:rFonts w:hint="eastAsia"/>
                      <w:color w:val="000000" w:themeColor="text1"/>
                      <w:szCs w:val="21"/>
                      <w14:textFill>
                        <w14:solidFill>
                          <w14:schemeClr w14:val="tx1"/>
                        </w14:solidFill>
                      </w14:textFill>
                    </w:rPr>
                    <w:t>医用手术衣生产线超声波缝合工序废气</w:t>
                  </w:r>
                  <w:bookmarkEnd w:id="113"/>
                </w:p>
              </w:tc>
              <w:tc>
                <w:tcPr>
                  <w:tcW w:w="1204" w:type="dxa"/>
                  <w:shd w:val="clear" w:color="auto" w:fill="auto"/>
                  <w:vAlign w:val="center"/>
                </w:tcPr>
                <w:p w14:paraId="76B93EE8">
                  <w:pPr>
                    <w:jc w:val="center"/>
                    <w:outlineLvl w:val="9"/>
                    <w:rPr>
                      <w:color w:val="000000" w:themeColor="text1"/>
                      <w:szCs w:val="21"/>
                      <w14:textFill>
                        <w14:solidFill>
                          <w14:schemeClr w14:val="tx1"/>
                        </w14:solidFill>
                      </w14:textFill>
                    </w:rPr>
                  </w:pPr>
                  <w:bookmarkStart w:id="114" w:name="_Toc16636"/>
                  <w:r>
                    <w:rPr>
                      <w:rFonts w:hint="eastAsia"/>
                      <w:color w:val="000000" w:themeColor="text1"/>
                      <w:szCs w:val="21"/>
                      <w14:textFill>
                        <w14:solidFill>
                          <w14:schemeClr w14:val="tx1"/>
                        </w14:solidFill>
                      </w14:textFill>
                    </w:rPr>
                    <w:t>非甲烷总烃</w:t>
                  </w:r>
                  <w:bookmarkEnd w:id="114"/>
                </w:p>
              </w:tc>
              <w:tc>
                <w:tcPr>
                  <w:tcW w:w="1055" w:type="dxa"/>
                  <w:vAlign w:val="center"/>
                </w:tcPr>
                <w:p w14:paraId="2B9A518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0.875kg/a</w:t>
                  </w:r>
                </w:p>
              </w:tc>
              <w:tc>
                <w:tcPr>
                  <w:tcW w:w="937" w:type="dxa"/>
                  <w:vAlign w:val="center"/>
                </w:tcPr>
                <w:p w14:paraId="0D609A87">
                  <w:pPr>
                    <w:adjustRightInd w:val="0"/>
                    <w:snapToGrid w:val="0"/>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0.002</w:t>
                  </w:r>
                </w:p>
              </w:tc>
              <w:tc>
                <w:tcPr>
                  <w:tcW w:w="1163" w:type="dxa"/>
                  <w:vAlign w:val="center"/>
                </w:tcPr>
                <w:p w14:paraId="39077D8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Merge w:val="restart"/>
                  <w:vAlign w:val="center"/>
                </w:tcPr>
                <w:p w14:paraId="18BA371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车间产生的废气经循环净风（采用三级过滤器+活性炭吸附装置）净化后循环利用，不外排</w:t>
                  </w:r>
                </w:p>
              </w:tc>
              <w:tc>
                <w:tcPr>
                  <w:tcW w:w="917" w:type="dxa"/>
                  <w:shd w:val="clear" w:color="auto" w:fill="auto"/>
                  <w:vAlign w:val="center"/>
                </w:tcPr>
                <w:p w14:paraId="781E1C6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900" w:type="dxa"/>
                  <w:shd w:val="clear" w:color="auto" w:fill="auto"/>
                  <w:vAlign w:val="center"/>
                </w:tcPr>
                <w:p w14:paraId="6D1EF6B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068" w:type="dxa"/>
                  <w:shd w:val="clear" w:color="auto" w:fill="auto"/>
                  <w:vAlign w:val="center"/>
                </w:tcPr>
                <w:p w14:paraId="54D522F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392CF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6D56F25E">
                  <w:pPr>
                    <w:jc w:val="center"/>
                    <w:rPr>
                      <w:color w:val="000000" w:themeColor="text1"/>
                      <w:szCs w:val="21"/>
                      <w14:textFill>
                        <w14:solidFill>
                          <w14:schemeClr w14:val="tx1"/>
                        </w14:solidFill>
                      </w14:textFill>
                    </w:rPr>
                  </w:pPr>
                </w:p>
              </w:tc>
              <w:tc>
                <w:tcPr>
                  <w:tcW w:w="400" w:type="dxa"/>
                  <w:vMerge w:val="continue"/>
                  <w:vAlign w:val="center"/>
                </w:tcPr>
                <w:p w14:paraId="0D9E3D21">
                  <w:pPr>
                    <w:jc w:val="center"/>
                    <w:rPr>
                      <w:bCs/>
                      <w:color w:val="000000" w:themeColor="text1"/>
                      <w:szCs w:val="21"/>
                      <w14:textFill>
                        <w14:solidFill>
                          <w14:schemeClr w14:val="tx1"/>
                        </w14:solidFill>
                      </w14:textFill>
                    </w:rPr>
                  </w:pPr>
                </w:p>
              </w:tc>
              <w:tc>
                <w:tcPr>
                  <w:tcW w:w="1841" w:type="dxa"/>
                  <w:shd w:val="clear" w:color="auto" w:fill="auto"/>
                  <w:vAlign w:val="center"/>
                </w:tcPr>
                <w:p w14:paraId="5F2CC928">
                  <w:pPr>
                    <w:jc w:val="center"/>
                    <w:outlineLvl w:val="9"/>
                    <w:rPr>
                      <w:color w:val="000000" w:themeColor="text1"/>
                      <w:szCs w:val="21"/>
                      <w14:textFill>
                        <w14:solidFill>
                          <w14:schemeClr w14:val="tx1"/>
                        </w14:solidFill>
                      </w14:textFill>
                    </w:rPr>
                  </w:pPr>
                  <w:bookmarkStart w:id="115" w:name="_Toc12048"/>
                  <w:r>
                    <w:rPr>
                      <w:rFonts w:hint="eastAsia"/>
                      <w:color w:val="000000" w:themeColor="text1"/>
                      <w:szCs w:val="21"/>
                      <w14:textFill>
                        <w14:solidFill>
                          <w14:schemeClr w14:val="tx1"/>
                        </w14:solidFill>
                      </w14:textFill>
                    </w:rPr>
                    <w:t>治疗凝胶生产线乳化工序未收集的废气</w:t>
                  </w:r>
                  <w:bookmarkEnd w:id="115"/>
                </w:p>
              </w:tc>
              <w:tc>
                <w:tcPr>
                  <w:tcW w:w="1204" w:type="dxa"/>
                  <w:shd w:val="clear" w:color="auto" w:fill="auto"/>
                  <w:vAlign w:val="center"/>
                </w:tcPr>
                <w:p w14:paraId="0E37DA58">
                  <w:pPr>
                    <w:jc w:val="center"/>
                    <w:outlineLvl w:val="9"/>
                    <w:rPr>
                      <w:color w:val="000000" w:themeColor="text1"/>
                      <w:szCs w:val="21"/>
                      <w14:textFill>
                        <w14:solidFill>
                          <w14:schemeClr w14:val="tx1"/>
                        </w14:solidFill>
                      </w14:textFill>
                    </w:rPr>
                  </w:pPr>
                  <w:bookmarkStart w:id="116" w:name="_Toc12606"/>
                  <w:r>
                    <w:rPr>
                      <w:rFonts w:hint="eastAsia"/>
                      <w:color w:val="000000" w:themeColor="text1"/>
                      <w:szCs w:val="21"/>
                      <w14:textFill>
                        <w14:solidFill>
                          <w14:schemeClr w14:val="tx1"/>
                        </w14:solidFill>
                      </w14:textFill>
                    </w:rPr>
                    <w:t>非甲烷总烃</w:t>
                  </w:r>
                  <w:bookmarkEnd w:id="116"/>
                </w:p>
              </w:tc>
              <w:tc>
                <w:tcPr>
                  <w:tcW w:w="1055" w:type="dxa"/>
                  <w:vAlign w:val="center"/>
                </w:tcPr>
                <w:p w14:paraId="6495043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0.001</w:t>
                  </w:r>
                </w:p>
              </w:tc>
              <w:tc>
                <w:tcPr>
                  <w:tcW w:w="937" w:type="dxa"/>
                  <w:vAlign w:val="center"/>
                </w:tcPr>
                <w:p w14:paraId="2C2542DA">
                  <w:pPr>
                    <w:adjustRightInd w:val="0"/>
                    <w:snapToGrid w:val="0"/>
                    <w:jc w:val="center"/>
                    <w:rPr>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0.001</w:t>
                  </w:r>
                </w:p>
              </w:tc>
              <w:tc>
                <w:tcPr>
                  <w:tcW w:w="1163" w:type="dxa"/>
                  <w:vAlign w:val="center"/>
                </w:tcPr>
                <w:p w14:paraId="565C6B4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Merge w:val="continue"/>
                  <w:vAlign w:val="center"/>
                </w:tcPr>
                <w:p w14:paraId="411CDBAE">
                  <w:pPr>
                    <w:jc w:val="center"/>
                    <w:rPr>
                      <w:color w:val="000000" w:themeColor="text1"/>
                      <w:szCs w:val="21"/>
                      <w14:textFill>
                        <w14:solidFill>
                          <w14:schemeClr w14:val="tx1"/>
                        </w14:solidFill>
                      </w14:textFill>
                    </w:rPr>
                  </w:pPr>
                </w:p>
              </w:tc>
              <w:tc>
                <w:tcPr>
                  <w:tcW w:w="917" w:type="dxa"/>
                  <w:shd w:val="clear" w:color="auto" w:fill="auto"/>
                  <w:vAlign w:val="center"/>
                </w:tcPr>
                <w:p w14:paraId="1EB519B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900" w:type="dxa"/>
                  <w:shd w:val="clear" w:color="auto" w:fill="auto"/>
                  <w:vAlign w:val="center"/>
                </w:tcPr>
                <w:p w14:paraId="0A7CBC24">
                  <w:pPr>
                    <w:jc w:val="center"/>
                    <w:rPr>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068" w:type="dxa"/>
                  <w:shd w:val="clear" w:color="auto" w:fill="auto"/>
                  <w:vAlign w:val="center"/>
                </w:tcPr>
                <w:p w14:paraId="48DE213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31AB9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680B115C">
                  <w:pPr>
                    <w:jc w:val="center"/>
                    <w:rPr>
                      <w:color w:val="000000" w:themeColor="text1"/>
                      <w:szCs w:val="21"/>
                      <w14:textFill>
                        <w14:solidFill>
                          <w14:schemeClr w14:val="tx1"/>
                        </w14:solidFill>
                      </w14:textFill>
                    </w:rPr>
                  </w:pPr>
                </w:p>
              </w:tc>
              <w:tc>
                <w:tcPr>
                  <w:tcW w:w="400" w:type="dxa"/>
                  <w:vMerge w:val="continue"/>
                  <w:vAlign w:val="center"/>
                </w:tcPr>
                <w:p w14:paraId="7FBC160F">
                  <w:pPr>
                    <w:jc w:val="center"/>
                    <w:rPr>
                      <w:bCs/>
                      <w:color w:val="000000" w:themeColor="text1"/>
                      <w:szCs w:val="21"/>
                      <w14:textFill>
                        <w14:solidFill>
                          <w14:schemeClr w14:val="tx1"/>
                        </w14:solidFill>
                      </w14:textFill>
                    </w:rPr>
                  </w:pPr>
                </w:p>
              </w:tc>
              <w:tc>
                <w:tcPr>
                  <w:tcW w:w="1841" w:type="dxa"/>
                  <w:shd w:val="clear" w:color="auto" w:fill="auto"/>
                  <w:vAlign w:val="center"/>
                </w:tcPr>
                <w:p w14:paraId="249FF1BF">
                  <w:pPr>
                    <w:jc w:val="center"/>
                    <w:outlineLvl w:val="9"/>
                    <w:rPr>
                      <w:color w:val="000000" w:themeColor="text1"/>
                      <w:szCs w:val="21"/>
                      <w14:textFill>
                        <w14:solidFill>
                          <w14:schemeClr w14:val="tx1"/>
                        </w14:solidFill>
                      </w14:textFill>
                    </w:rPr>
                  </w:pPr>
                  <w:bookmarkStart w:id="117" w:name="_Toc6628"/>
                  <w:r>
                    <w:rPr>
                      <w:rFonts w:hint="eastAsia"/>
                      <w:color w:val="000000" w:themeColor="text1"/>
                      <w:szCs w:val="21"/>
                      <w14:textFill>
                        <w14:solidFill>
                          <w14:schemeClr w14:val="tx1"/>
                        </w14:solidFill>
                      </w14:textFill>
                    </w:rPr>
                    <w:t>热敷理疗产品上料工序未收集的粉尘</w:t>
                  </w:r>
                  <w:bookmarkEnd w:id="117"/>
                </w:p>
              </w:tc>
              <w:tc>
                <w:tcPr>
                  <w:tcW w:w="1204" w:type="dxa"/>
                  <w:shd w:val="clear" w:color="auto" w:fill="auto"/>
                  <w:vAlign w:val="center"/>
                </w:tcPr>
                <w:p w14:paraId="54C7EB97">
                  <w:pPr>
                    <w:jc w:val="center"/>
                    <w:outlineLvl w:val="9"/>
                    <w:rPr>
                      <w:color w:val="000000" w:themeColor="text1"/>
                      <w:szCs w:val="21"/>
                      <w14:textFill>
                        <w14:solidFill>
                          <w14:schemeClr w14:val="tx1"/>
                        </w14:solidFill>
                      </w14:textFill>
                    </w:rPr>
                  </w:pPr>
                  <w:bookmarkStart w:id="118" w:name="_Toc21776"/>
                  <w:r>
                    <w:rPr>
                      <w:rFonts w:hint="eastAsia"/>
                      <w:color w:val="000000" w:themeColor="text1"/>
                      <w:szCs w:val="21"/>
                      <w14:textFill>
                        <w14:solidFill>
                          <w14:schemeClr w14:val="tx1"/>
                        </w14:solidFill>
                      </w14:textFill>
                    </w:rPr>
                    <w:t>颗粒物</w:t>
                  </w:r>
                  <w:bookmarkEnd w:id="118"/>
                </w:p>
              </w:tc>
              <w:tc>
                <w:tcPr>
                  <w:tcW w:w="1055" w:type="dxa"/>
                  <w:vAlign w:val="center"/>
                </w:tcPr>
                <w:p w14:paraId="1FB98AA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w:t>
                  </w:r>
                </w:p>
              </w:tc>
              <w:tc>
                <w:tcPr>
                  <w:tcW w:w="937" w:type="dxa"/>
                  <w:vAlign w:val="center"/>
                </w:tcPr>
                <w:p w14:paraId="332D869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0.022</w:t>
                  </w:r>
                </w:p>
              </w:tc>
              <w:tc>
                <w:tcPr>
                  <w:tcW w:w="1163" w:type="dxa"/>
                  <w:vAlign w:val="center"/>
                </w:tcPr>
                <w:p w14:paraId="38667BE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Merge w:val="restart"/>
                  <w:vAlign w:val="center"/>
                </w:tcPr>
                <w:p w14:paraId="492FECC4">
                  <w:pPr>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车间产生的废气经循环净风（采用三级过滤器+活性炭吸附装置）净化后循环利用，不外排</w:t>
                  </w:r>
                </w:p>
              </w:tc>
              <w:tc>
                <w:tcPr>
                  <w:tcW w:w="917" w:type="dxa"/>
                  <w:shd w:val="clear" w:color="auto" w:fill="auto"/>
                  <w:vAlign w:val="center"/>
                </w:tcPr>
                <w:p w14:paraId="17CE5AB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900" w:type="dxa"/>
                  <w:shd w:val="clear" w:color="auto" w:fill="auto"/>
                  <w:vAlign w:val="center"/>
                </w:tcPr>
                <w:p w14:paraId="0F64E23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068" w:type="dxa"/>
                  <w:shd w:val="clear" w:color="auto" w:fill="auto"/>
                  <w:vAlign w:val="center"/>
                </w:tcPr>
                <w:p w14:paraId="2ABAD02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2354C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0E9376CD">
                  <w:pPr>
                    <w:jc w:val="center"/>
                    <w:rPr>
                      <w:color w:val="000000" w:themeColor="text1"/>
                      <w:szCs w:val="21"/>
                      <w14:textFill>
                        <w14:solidFill>
                          <w14:schemeClr w14:val="tx1"/>
                        </w14:solidFill>
                      </w14:textFill>
                    </w:rPr>
                  </w:pPr>
                </w:p>
              </w:tc>
              <w:tc>
                <w:tcPr>
                  <w:tcW w:w="400" w:type="dxa"/>
                  <w:vMerge w:val="continue"/>
                  <w:vAlign w:val="center"/>
                </w:tcPr>
                <w:p w14:paraId="45008C98">
                  <w:pPr>
                    <w:jc w:val="center"/>
                    <w:rPr>
                      <w:bCs/>
                      <w:color w:val="000000" w:themeColor="text1"/>
                      <w:szCs w:val="21"/>
                      <w14:textFill>
                        <w14:solidFill>
                          <w14:schemeClr w14:val="tx1"/>
                        </w14:solidFill>
                      </w14:textFill>
                    </w:rPr>
                  </w:pPr>
                </w:p>
              </w:tc>
              <w:tc>
                <w:tcPr>
                  <w:tcW w:w="1841" w:type="dxa"/>
                  <w:shd w:val="clear" w:color="auto" w:fill="auto"/>
                  <w:vAlign w:val="center"/>
                </w:tcPr>
                <w:p w14:paraId="58D65FC7">
                  <w:pPr>
                    <w:jc w:val="center"/>
                    <w:outlineLvl w:val="9"/>
                    <w:rPr>
                      <w:color w:val="000000" w:themeColor="text1"/>
                      <w:szCs w:val="21"/>
                      <w14:textFill>
                        <w14:solidFill>
                          <w14:schemeClr w14:val="tx1"/>
                        </w14:solidFill>
                      </w14:textFill>
                    </w:rPr>
                  </w:pPr>
                  <w:bookmarkStart w:id="119" w:name="_Toc15397"/>
                  <w:r>
                    <w:rPr>
                      <w:rFonts w:hint="eastAsia"/>
                      <w:color w:val="000000" w:themeColor="text1"/>
                      <w:szCs w:val="21"/>
                      <w14:textFill>
                        <w14:solidFill>
                          <w14:schemeClr w14:val="tx1"/>
                        </w14:solidFill>
                      </w14:textFill>
                    </w:rPr>
                    <w:t>热敷理疗产品超声波点焊废气</w:t>
                  </w:r>
                  <w:bookmarkEnd w:id="119"/>
                </w:p>
              </w:tc>
              <w:tc>
                <w:tcPr>
                  <w:tcW w:w="1204" w:type="dxa"/>
                  <w:shd w:val="clear" w:color="auto" w:fill="auto"/>
                  <w:vAlign w:val="center"/>
                </w:tcPr>
                <w:p w14:paraId="68237C6A">
                  <w:pPr>
                    <w:jc w:val="center"/>
                    <w:outlineLvl w:val="9"/>
                    <w:rPr>
                      <w:color w:val="000000" w:themeColor="text1"/>
                      <w:szCs w:val="21"/>
                      <w14:textFill>
                        <w14:solidFill>
                          <w14:schemeClr w14:val="tx1"/>
                        </w14:solidFill>
                      </w14:textFill>
                    </w:rPr>
                  </w:pPr>
                  <w:bookmarkStart w:id="120" w:name="_Toc5453"/>
                  <w:r>
                    <w:rPr>
                      <w:rFonts w:hint="eastAsia"/>
                      <w:color w:val="000000" w:themeColor="text1"/>
                      <w:szCs w:val="21"/>
                      <w14:textFill>
                        <w14:solidFill>
                          <w14:schemeClr w14:val="tx1"/>
                        </w14:solidFill>
                      </w14:textFill>
                    </w:rPr>
                    <w:t>非甲烷总烃</w:t>
                  </w:r>
                  <w:bookmarkEnd w:id="120"/>
                </w:p>
              </w:tc>
              <w:tc>
                <w:tcPr>
                  <w:tcW w:w="1055" w:type="dxa"/>
                  <w:vAlign w:val="center"/>
                </w:tcPr>
                <w:p w14:paraId="332F020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0.63kg/a</w:t>
                  </w:r>
                </w:p>
              </w:tc>
              <w:tc>
                <w:tcPr>
                  <w:tcW w:w="937" w:type="dxa"/>
                  <w:vAlign w:val="center"/>
                </w:tcPr>
                <w:p w14:paraId="6453E75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0.002</w:t>
                  </w:r>
                </w:p>
              </w:tc>
              <w:tc>
                <w:tcPr>
                  <w:tcW w:w="1163" w:type="dxa"/>
                  <w:vAlign w:val="center"/>
                </w:tcPr>
                <w:p w14:paraId="7BD4E15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Merge w:val="continue"/>
                  <w:vAlign w:val="center"/>
                </w:tcPr>
                <w:p w14:paraId="7A1482AD">
                  <w:pPr>
                    <w:jc w:val="center"/>
                    <w:rPr>
                      <w:color w:val="000000" w:themeColor="text1"/>
                      <w:szCs w:val="21"/>
                      <w14:textFill>
                        <w14:solidFill>
                          <w14:schemeClr w14:val="tx1"/>
                        </w14:solidFill>
                      </w14:textFill>
                    </w:rPr>
                  </w:pPr>
                </w:p>
              </w:tc>
              <w:tc>
                <w:tcPr>
                  <w:tcW w:w="917" w:type="dxa"/>
                  <w:shd w:val="clear" w:color="auto" w:fill="auto"/>
                  <w:vAlign w:val="center"/>
                </w:tcPr>
                <w:p w14:paraId="1EAC788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900" w:type="dxa"/>
                  <w:shd w:val="clear" w:color="auto" w:fill="auto"/>
                  <w:vAlign w:val="center"/>
                </w:tcPr>
                <w:p w14:paraId="14F99F4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1068" w:type="dxa"/>
                  <w:shd w:val="clear" w:color="auto" w:fill="auto"/>
                  <w:vAlign w:val="center"/>
                </w:tcPr>
                <w:p w14:paraId="30B8211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538FD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5401BAA2">
                  <w:pPr>
                    <w:jc w:val="center"/>
                    <w:rPr>
                      <w:color w:val="000000" w:themeColor="text1"/>
                      <w:szCs w:val="21"/>
                      <w14:textFill>
                        <w14:solidFill>
                          <w14:schemeClr w14:val="tx1"/>
                        </w14:solidFill>
                      </w14:textFill>
                    </w:rPr>
                  </w:pPr>
                </w:p>
              </w:tc>
              <w:tc>
                <w:tcPr>
                  <w:tcW w:w="400" w:type="dxa"/>
                  <w:vMerge w:val="continue"/>
                  <w:vAlign w:val="center"/>
                </w:tcPr>
                <w:p w14:paraId="591B9960">
                  <w:pPr>
                    <w:jc w:val="center"/>
                    <w:rPr>
                      <w:bCs/>
                      <w:color w:val="000000" w:themeColor="text1"/>
                      <w:szCs w:val="21"/>
                      <w14:textFill>
                        <w14:solidFill>
                          <w14:schemeClr w14:val="tx1"/>
                        </w14:solidFill>
                      </w14:textFill>
                    </w:rPr>
                  </w:pPr>
                </w:p>
              </w:tc>
              <w:tc>
                <w:tcPr>
                  <w:tcW w:w="1841" w:type="dxa"/>
                  <w:vMerge w:val="restart"/>
                  <w:shd w:val="clear" w:color="auto" w:fill="auto"/>
                  <w:vAlign w:val="center"/>
                </w:tcPr>
                <w:p w14:paraId="10676BE2">
                  <w:pPr>
                    <w:jc w:val="center"/>
                    <w:outlineLvl w:val="9"/>
                    <w:rPr>
                      <w:color w:val="000000" w:themeColor="text1"/>
                      <w:szCs w:val="21"/>
                      <w14:textFill>
                        <w14:solidFill>
                          <w14:schemeClr w14:val="tx1"/>
                        </w14:solidFill>
                      </w14:textFill>
                    </w:rPr>
                  </w:pPr>
                  <w:bookmarkStart w:id="121" w:name="_Toc5646"/>
                  <w:r>
                    <w:rPr>
                      <w:color w:val="000000" w:themeColor="text1"/>
                      <w:kern w:val="52"/>
                      <w14:textFill>
                        <w14:solidFill>
                          <w14:schemeClr w14:val="tx1"/>
                        </w14:solidFill>
                      </w14:textFill>
                    </w:rPr>
                    <w:t>污水处理站</w:t>
                  </w:r>
                  <w:r>
                    <w:rPr>
                      <w:rFonts w:hint="eastAsia"/>
                      <w:color w:val="000000" w:themeColor="text1"/>
                      <w:kern w:val="52"/>
                      <w14:textFill>
                        <w14:solidFill>
                          <w14:schemeClr w14:val="tx1"/>
                        </w14:solidFill>
                      </w14:textFill>
                    </w:rPr>
                    <w:t>及酒糟暂存未收集的恶臭气体</w:t>
                  </w:r>
                  <w:bookmarkEnd w:id="121"/>
                </w:p>
              </w:tc>
              <w:tc>
                <w:tcPr>
                  <w:tcW w:w="1204" w:type="dxa"/>
                  <w:shd w:val="clear" w:color="auto" w:fill="auto"/>
                  <w:vAlign w:val="center"/>
                </w:tcPr>
                <w:p w14:paraId="1A3735EC">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1055" w:type="dxa"/>
                  <w:vAlign w:val="center"/>
                </w:tcPr>
                <w:p w14:paraId="7FC47943">
                  <w:pPr>
                    <w:jc w:val="center"/>
                    <w:rPr>
                      <w:color w:val="000000" w:themeColor="text1"/>
                      <w:szCs w:val="21"/>
                      <w14:textFill>
                        <w14:solidFill>
                          <w14:schemeClr w14:val="tx1"/>
                        </w14:solidFill>
                      </w14:textFill>
                    </w:rPr>
                  </w:pPr>
                  <w:r>
                    <w:rPr>
                      <w:rFonts w:hint="eastAsia"/>
                      <w:color w:val="000000" w:themeColor="text1"/>
                      <w:sz w:val="24"/>
                      <w14:textFill>
                        <w14:solidFill>
                          <w14:schemeClr w14:val="tx1"/>
                        </w14:solidFill>
                      </w14:textFill>
                    </w:rPr>
                    <w:t>0.0004</w:t>
                  </w:r>
                </w:p>
              </w:tc>
              <w:tc>
                <w:tcPr>
                  <w:tcW w:w="937" w:type="dxa"/>
                  <w:vAlign w:val="center"/>
                </w:tcPr>
                <w:p w14:paraId="266F0775">
                  <w:pPr>
                    <w:adjustRightInd w:val="0"/>
                    <w:snapToGrid w:val="0"/>
                    <w:jc w:val="center"/>
                    <w:rPr>
                      <w:color w:val="000000" w:themeColor="text1"/>
                      <w:szCs w:val="21"/>
                      <w14:textFill>
                        <w14:solidFill>
                          <w14:schemeClr w14:val="tx1"/>
                        </w14:solidFill>
                      </w14:textFill>
                    </w:rPr>
                  </w:pPr>
                  <w:r>
                    <w:rPr>
                      <w:color w:val="000000" w:themeColor="text1"/>
                      <w:sz w:val="24"/>
                      <w14:textFill>
                        <w14:solidFill>
                          <w14:schemeClr w14:val="tx1"/>
                        </w14:solidFill>
                      </w14:textFill>
                    </w:rPr>
                    <w:t>0.0</w:t>
                  </w:r>
                  <w:r>
                    <w:rPr>
                      <w:rFonts w:hint="eastAsia"/>
                      <w:color w:val="000000" w:themeColor="text1"/>
                      <w:sz w:val="24"/>
                      <w14:textFill>
                        <w14:solidFill>
                          <w14:schemeClr w14:val="tx1"/>
                        </w14:solidFill>
                      </w14:textFill>
                    </w:rPr>
                    <w:t>007</w:t>
                  </w:r>
                </w:p>
              </w:tc>
              <w:tc>
                <w:tcPr>
                  <w:tcW w:w="1163" w:type="dxa"/>
                  <w:vAlign w:val="center"/>
                </w:tcPr>
                <w:p w14:paraId="068A96F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Merge w:val="restart"/>
                  <w:vAlign w:val="center"/>
                </w:tcPr>
                <w:p w14:paraId="68D2E55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污水处理站加盖密闭，定期喷洒除臭剂等</w:t>
                  </w:r>
                </w:p>
              </w:tc>
              <w:tc>
                <w:tcPr>
                  <w:tcW w:w="917" w:type="dxa"/>
                  <w:shd w:val="clear" w:color="auto" w:fill="auto"/>
                  <w:vAlign w:val="center"/>
                </w:tcPr>
                <w:p w14:paraId="5C5D566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0.0004</w:t>
                  </w:r>
                </w:p>
              </w:tc>
              <w:tc>
                <w:tcPr>
                  <w:tcW w:w="900" w:type="dxa"/>
                  <w:shd w:val="clear" w:color="auto" w:fill="auto"/>
                  <w:vAlign w:val="center"/>
                </w:tcPr>
                <w:p w14:paraId="38E295E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w:t>
                  </w:r>
                  <w:r>
                    <w:rPr>
                      <w:rFonts w:hint="eastAsia"/>
                      <w:color w:val="000000" w:themeColor="text1"/>
                      <w:szCs w:val="21"/>
                      <w14:textFill>
                        <w14:solidFill>
                          <w14:schemeClr w14:val="tx1"/>
                        </w14:solidFill>
                      </w14:textFill>
                    </w:rPr>
                    <w:t>007</w:t>
                  </w:r>
                </w:p>
              </w:tc>
              <w:tc>
                <w:tcPr>
                  <w:tcW w:w="1068" w:type="dxa"/>
                  <w:shd w:val="clear" w:color="auto" w:fill="auto"/>
                  <w:vAlign w:val="center"/>
                </w:tcPr>
                <w:p w14:paraId="244C764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63648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68" w:type="dxa"/>
                  <w:vMerge w:val="continue"/>
                  <w:vAlign w:val="center"/>
                </w:tcPr>
                <w:p w14:paraId="7B3FDB14">
                  <w:pPr>
                    <w:jc w:val="center"/>
                    <w:rPr>
                      <w:color w:val="000000" w:themeColor="text1"/>
                      <w:szCs w:val="21"/>
                      <w14:textFill>
                        <w14:solidFill>
                          <w14:schemeClr w14:val="tx1"/>
                        </w14:solidFill>
                      </w14:textFill>
                    </w:rPr>
                  </w:pPr>
                </w:p>
              </w:tc>
              <w:tc>
                <w:tcPr>
                  <w:tcW w:w="400" w:type="dxa"/>
                  <w:vMerge w:val="continue"/>
                  <w:vAlign w:val="center"/>
                </w:tcPr>
                <w:p w14:paraId="5112D082">
                  <w:pPr>
                    <w:jc w:val="center"/>
                    <w:rPr>
                      <w:bCs/>
                      <w:color w:val="000000" w:themeColor="text1"/>
                      <w:szCs w:val="21"/>
                      <w14:textFill>
                        <w14:solidFill>
                          <w14:schemeClr w14:val="tx1"/>
                        </w14:solidFill>
                      </w14:textFill>
                    </w:rPr>
                  </w:pPr>
                </w:p>
              </w:tc>
              <w:tc>
                <w:tcPr>
                  <w:tcW w:w="1841" w:type="dxa"/>
                  <w:vMerge w:val="continue"/>
                  <w:shd w:val="clear" w:color="auto" w:fill="auto"/>
                  <w:vAlign w:val="center"/>
                </w:tcPr>
                <w:p w14:paraId="0913C03B">
                  <w:pPr>
                    <w:jc w:val="center"/>
                    <w:outlineLvl w:val="9"/>
                    <w:rPr>
                      <w:color w:val="000000" w:themeColor="text1"/>
                      <w:szCs w:val="21"/>
                      <w14:textFill>
                        <w14:solidFill>
                          <w14:schemeClr w14:val="tx1"/>
                        </w14:solidFill>
                      </w14:textFill>
                    </w:rPr>
                  </w:pPr>
                </w:p>
              </w:tc>
              <w:tc>
                <w:tcPr>
                  <w:tcW w:w="1204" w:type="dxa"/>
                  <w:shd w:val="clear" w:color="auto" w:fill="auto"/>
                  <w:vAlign w:val="center"/>
                </w:tcPr>
                <w:p w14:paraId="51CF183D">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1055" w:type="dxa"/>
                  <w:vAlign w:val="center"/>
                </w:tcPr>
                <w:p w14:paraId="1A3C2C09">
                  <w:pPr>
                    <w:jc w:val="center"/>
                    <w:rPr>
                      <w:color w:val="000000" w:themeColor="text1"/>
                      <w:szCs w:val="21"/>
                      <w14:textFill>
                        <w14:solidFill>
                          <w14:schemeClr w14:val="tx1"/>
                        </w14:solidFill>
                      </w14:textFill>
                    </w:rPr>
                  </w:pPr>
                  <w:r>
                    <w:rPr>
                      <w:rFonts w:hint="eastAsia"/>
                      <w:color w:val="000000" w:themeColor="text1"/>
                      <w:sz w:val="24"/>
                      <w14:textFill>
                        <w14:solidFill>
                          <w14:schemeClr w14:val="tx1"/>
                        </w14:solidFill>
                      </w14:textFill>
                    </w:rPr>
                    <w:t>0.00001</w:t>
                  </w:r>
                </w:p>
              </w:tc>
              <w:tc>
                <w:tcPr>
                  <w:tcW w:w="937" w:type="dxa"/>
                  <w:vAlign w:val="center"/>
                </w:tcPr>
                <w:p w14:paraId="7E1A213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0.00</w:t>
                  </w:r>
                  <w:r>
                    <w:rPr>
                      <w:rFonts w:hint="eastAsia"/>
                      <w:color w:val="000000" w:themeColor="text1"/>
                      <w:szCs w:val="21"/>
                      <w14:textFill>
                        <w14:solidFill>
                          <w14:schemeClr w14:val="tx1"/>
                        </w14:solidFill>
                      </w14:textFill>
                    </w:rPr>
                    <w:t>000</w:t>
                  </w:r>
                  <w:r>
                    <w:rPr>
                      <w:color w:val="000000" w:themeColor="text1"/>
                      <w:szCs w:val="21"/>
                      <w14:textFill>
                        <w14:solidFill>
                          <w14:schemeClr w14:val="tx1"/>
                        </w14:solidFill>
                      </w14:textFill>
                    </w:rPr>
                    <w:t>2</w:t>
                  </w:r>
                </w:p>
              </w:tc>
              <w:tc>
                <w:tcPr>
                  <w:tcW w:w="1163" w:type="dxa"/>
                  <w:vAlign w:val="center"/>
                </w:tcPr>
                <w:p w14:paraId="6961171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107" w:type="dxa"/>
                  <w:vMerge w:val="continue"/>
                  <w:vAlign w:val="center"/>
                </w:tcPr>
                <w:p w14:paraId="2FAADCAA">
                  <w:pPr>
                    <w:jc w:val="center"/>
                    <w:rPr>
                      <w:color w:val="000000" w:themeColor="text1"/>
                      <w:szCs w:val="21"/>
                      <w14:textFill>
                        <w14:solidFill>
                          <w14:schemeClr w14:val="tx1"/>
                        </w14:solidFill>
                      </w14:textFill>
                    </w:rPr>
                  </w:pPr>
                </w:p>
              </w:tc>
              <w:tc>
                <w:tcPr>
                  <w:tcW w:w="917" w:type="dxa"/>
                  <w:shd w:val="clear" w:color="auto" w:fill="auto"/>
                  <w:vAlign w:val="center"/>
                </w:tcPr>
                <w:p w14:paraId="00E9175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0.00001</w:t>
                  </w:r>
                </w:p>
              </w:tc>
              <w:tc>
                <w:tcPr>
                  <w:tcW w:w="900" w:type="dxa"/>
                  <w:shd w:val="clear" w:color="auto" w:fill="auto"/>
                  <w:vAlign w:val="center"/>
                </w:tcPr>
                <w:p w14:paraId="063343E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0.00</w:t>
                  </w:r>
                  <w:r>
                    <w:rPr>
                      <w:rFonts w:hint="eastAsia"/>
                      <w:color w:val="000000" w:themeColor="text1"/>
                      <w:szCs w:val="21"/>
                      <w14:textFill>
                        <w14:solidFill>
                          <w14:schemeClr w14:val="tx1"/>
                        </w14:solidFill>
                      </w14:textFill>
                    </w:rPr>
                    <w:t>000</w:t>
                  </w:r>
                  <w:r>
                    <w:rPr>
                      <w:color w:val="000000" w:themeColor="text1"/>
                      <w:szCs w:val="21"/>
                      <w14:textFill>
                        <w14:solidFill>
                          <w14:schemeClr w14:val="tx1"/>
                        </w14:solidFill>
                      </w14:textFill>
                    </w:rPr>
                    <w:t>2</w:t>
                  </w:r>
                </w:p>
              </w:tc>
              <w:tc>
                <w:tcPr>
                  <w:tcW w:w="1068" w:type="dxa"/>
                  <w:shd w:val="clear" w:color="auto" w:fill="auto"/>
                  <w:vAlign w:val="center"/>
                </w:tcPr>
                <w:p w14:paraId="1077BBD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bl>
          <w:p w14:paraId="650EA77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1.2</w:t>
            </w:r>
            <w:r>
              <w:rPr>
                <w:color w:val="000000" w:themeColor="text1"/>
                <w:sz w:val="24"/>
                <w14:textFill>
                  <w14:solidFill>
                    <w14:schemeClr w14:val="tx1"/>
                  </w14:solidFill>
                </w14:textFill>
              </w:rPr>
              <w:t>本项目废气污染物排放量核算</w:t>
            </w:r>
          </w:p>
          <w:p w14:paraId="3E4A21B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本项目废气污染物排放量核算见</w:t>
            </w:r>
            <w:r>
              <w:rPr>
                <w:rFonts w:hint="eastAsia"/>
                <w:color w:val="000000" w:themeColor="text1"/>
                <w:sz w:val="24"/>
                <w14:textFill>
                  <w14:solidFill>
                    <w14:schemeClr w14:val="tx1"/>
                  </w14:solidFill>
                </w14:textFill>
              </w:rPr>
              <w:t>下表</w:t>
            </w:r>
            <w:r>
              <w:rPr>
                <w:color w:val="000000" w:themeColor="text1"/>
                <w:sz w:val="24"/>
                <w14:textFill>
                  <w14:solidFill>
                    <w14:schemeClr w14:val="tx1"/>
                  </w14:solidFill>
                </w14:textFill>
              </w:rPr>
              <w:t>。</w:t>
            </w:r>
          </w:p>
          <w:p w14:paraId="088109FB">
            <w:pPr>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3</w:t>
            </w:r>
            <w:r>
              <w:rPr>
                <w:b/>
                <w:color w:val="000000" w:themeColor="text1"/>
                <w:sz w:val="24"/>
                <w14:textFill>
                  <w14:solidFill>
                    <w14:schemeClr w14:val="tx1"/>
                  </w14:solidFill>
                </w14:textFill>
              </w:rPr>
              <w:t xml:space="preserve">  工程大气污染物有组织排放量核算表</w:t>
            </w:r>
          </w:p>
          <w:tbl>
            <w:tblPr>
              <w:tblStyle w:val="25"/>
              <w:tblW w:w="4985"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620"/>
              <w:gridCol w:w="1231"/>
              <w:gridCol w:w="1292"/>
              <w:gridCol w:w="1382"/>
              <w:gridCol w:w="1546"/>
              <w:gridCol w:w="1736"/>
              <w:gridCol w:w="4196"/>
              <w:gridCol w:w="1393"/>
            </w:tblGrid>
            <w:tr w14:paraId="1A29790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vAlign w:val="center"/>
                </w:tcPr>
                <w:p w14:paraId="11E7D449">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458" w:type="pct"/>
                  <w:vMerge w:val="restart"/>
                  <w:vAlign w:val="center"/>
                </w:tcPr>
                <w:p w14:paraId="6C1BD4B8">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排放口编号</w:t>
                  </w:r>
                </w:p>
              </w:tc>
              <w:tc>
                <w:tcPr>
                  <w:tcW w:w="482" w:type="pct"/>
                  <w:vMerge w:val="restart"/>
                  <w:vAlign w:val="center"/>
                </w:tcPr>
                <w:p w14:paraId="2A584901">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w:t>
                  </w:r>
                </w:p>
              </w:tc>
              <w:tc>
                <w:tcPr>
                  <w:tcW w:w="516" w:type="pct"/>
                  <w:vMerge w:val="restart"/>
                  <w:vAlign w:val="center"/>
                </w:tcPr>
                <w:p w14:paraId="4D480152">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核算年排放量（t/a）</w:t>
                  </w:r>
                </w:p>
              </w:tc>
              <w:tc>
                <w:tcPr>
                  <w:tcW w:w="576" w:type="pct"/>
                  <w:vMerge w:val="restart"/>
                  <w:vAlign w:val="center"/>
                </w:tcPr>
                <w:p w14:paraId="51D2314D">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核算排放速率（kg/h）</w:t>
                  </w:r>
                </w:p>
              </w:tc>
              <w:tc>
                <w:tcPr>
                  <w:tcW w:w="648" w:type="pct"/>
                  <w:vMerge w:val="restart"/>
                  <w:vAlign w:val="center"/>
                </w:tcPr>
                <w:p w14:paraId="50C40192">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核算排放浓度（mg/m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w:t>
                  </w:r>
                </w:p>
              </w:tc>
              <w:tc>
                <w:tcPr>
                  <w:tcW w:w="2086" w:type="pct"/>
                  <w:gridSpan w:val="2"/>
                  <w:vAlign w:val="center"/>
                </w:tcPr>
                <w:p w14:paraId="5ABBACE5">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排放标准mg/m</w:t>
                  </w:r>
                  <w:r>
                    <w:rPr>
                      <w:color w:val="000000" w:themeColor="text1"/>
                      <w:szCs w:val="21"/>
                      <w:vertAlign w:val="superscript"/>
                      <w14:textFill>
                        <w14:solidFill>
                          <w14:schemeClr w14:val="tx1"/>
                        </w14:solidFill>
                      </w14:textFill>
                    </w:rPr>
                    <w:t>3</w:t>
                  </w:r>
                </w:p>
              </w:tc>
            </w:tr>
            <w:tr w14:paraId="1B3FE11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74B23F95">
                  <w:pPr>
                    <w:pStyle w:val="49"/>
                    <w:rPr>
                      <w:color w:val="000000" w:themeColor="text1"/>
                      <w:szCs w:val="21"/>
                      <w14:textFill>
                        <w14:solidFill>
                          <w14:schemeClr w14:val="tx1"/>
                        </w14:solidFill>
                      </w14:textFill>
                    </w:rPr>
                  </w:pPr>
                </w:p>
              </w:tc>
              <w:tc>
                <w:tcPr>
                  <w:tcW w:w="458" w:type="pct"/>
                  <w:vMerge w:val="continue"/>
                  <w:vAlign w:val="center"/>
                </w:tcPr>
                <w:p w14:paraId="4937391E">
                  <w:pPr>
                    <w:pStyle w:val="49"/>
                    <w:rPr>
                      <w:color w:val="000000" w:themeColor="text1"/>
                      <w:szCs w:val="21"/>
                      <w14:textFill>
                        <w14:solidFill>
                          <w14:schemeClr w14:val="tx1"/>
                        </w14:solidFill>
                      </w14:textFill>
                    </w:rPr>
                  </w:pPr>
                </w:p>
              </w:tc>
              <w:tc>
                <w:tcPr>
                  <w:tcW w:w="482" w:type="pct"/>
                  <w:vMerge w:val="continue"/>
                  <w:vAlign w:val="center"/>
                </w:tcPr>
                <w:p w14:paraId="0100E432">
                  <w:pPr>
                    <w:pStyle w:val="49"/>
                    <w:rPr>
                      <w:color w:val="000000" w:themeColor="text1"/>
                      <w:szCs w:val="21"/>
                      <w14:textFill>
                        <w14:solidFill>
                          <w14:schemeClr w14:val="tx1"/>
                        </w14:solidFill>
                      </w14:textFill>
                    </w:rPr>
                  </w:pPr>
                </w:p>
              </w:tc>
              <w:tc>
                <w:tcPr>
                  <w:tcW w:w="516" w:type="pct"/>
                  <w:vMerge w:val="continue"/>
                  <w:vAlign w:val="center"/>
                </w:tcPr>
                <w:p w14:paraId="30EFDE7E">
                  <w:pPr>
                    <w:pStyle w:val="49"/>
                    <w:rPr>
                      <w:color w:val="000000" w:themeColor="text1"/>
                      <w:szCs w:val="21"/>
                      <w14:textFill>
                        <w14:solidFill>
                          <w14:schemeClr w14:val="tx1"/>
                        </w14:solidFill>
                      </w14:textFill>
                    </w:rPr>
                  </w:pPr>
                </w:p>
              </w:tc>
              <w:tc>
                <w:tcPr>
                  <w:tcW w:w="576" w:type="pct"/>
                  <w:vMerge w:val="continue"/>
                  <w:vAlign w:val="center"/>
                </w:tcPr>
                <w:p w14:paraId="79EC7E98">
                  <w:pPr>
                    <w:pStyle w:val="49"/>
                    <w:rPr>
                      <w:color w:val="000000" w:themeColor="text1"/>
                      <w:szCs w:val="21"/>
                      <w14:textFill>
                        <w14:solidFill>
                          <w14:schemeClr w14:val="tx1"/>
                        </w14:solidFill>
                      </w14:textFill>
                    </w:rPr>
                  </w:pPr>
                </w:p>
              </w:tc>
              <w:tc>
                <w:tcPr>
                  <w:tcW w:w="648" w:type="pct"/>
                  <w:vMerge w:val="continue"/>
                  <w:vAlign w:val="center"/>
                </w:tcPr>
                <w:p w14:paraId="5DEAB71A">
                  <w:pPr>
                    <w:pStyle w:val="49"/>
                    <w:rPr>
                      <w:color w:val="000000" w:themeColor="text1"/>
                      <w:szCs w:val="21"/>
                      <w14:textFill>
                        <w14:solidFill>
                          <w14:schemeClr w14:val="tx1"/>
                        </w14:solidFill>
                      </w14:textFill>
                    </w:rPr>
                  </w:pPr>
                </w:p>
              </w:tc>
              <w:tc>
                <w:tcPr>
                  <w:tcW w:w="1566" w:type="pct"/>
                  <w:vAlign w:val="center"/>
                </w:tcPr>
                <w:p w14:paraId="3EB25350">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标准名称</w:t>
                  </w:r>
                </w:p>
              </w:tc>
              <w:tc>
                <w:tcPr>
                  <w:tcW w:w="520" w:type="pct"/>
                  <w:vAlign w:val="center"/>
                </w:tcPr>
                <w:p w14:paraId="215E20D7">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浓度限值mg/m</w:t>
                  </w:r>
                  <w:r>
                    <w:rPr>
                      <w:color w:val="000000" w:themeColor="text1"/>
                      <w:szCs w:val="21"/>
                      <w:vertAlign w:val="superscript"/>
                      <w14:textFill>
                        <w14:solidFill>
                          <w14:schemeClr w14:val="tx1"/>
                        </w14:solidFill>
                      </w14:textFill>
                    </w:rPr>
                    <w:t>3</w:t>
                  </w:r>
                </w:p>
              </w:tc>
            </w:tr>
            <w:tr w14:paraId="581DDE2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vAlign w:val="center"/>
                </w:tcPr>
                <w:p w14:paraId="747A404C">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c>
                <w:tcPr>
                  <w:tcW w:w="458" w:type="pct"/>
                  <w:vMerge w:val="restart"/>
                  <w:vAlign w:val="center"/>
                </w:tcPr>
                <w:p w14:paraId="59E3E094">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1</w:t>
                  </w:r>
                </w:p>
              </w:tc>
              <w:tc>
                <w:tcPr>
                  <w:tcW w:w="482" w:type="pct"/>
                  <w:vMerge w:val="restart"/>
                  <w:shd w:val="clear" w:color="auto" w:fill="auto"/>
                  <w:vAlign w:val="center"/>
                </w:tcPr>
                <w:p w14:paraId="2DCD5721">
                  <w:pPr>
                    <w:jc w:val="center"/>
                    <w:outlineLvl w:val="9"/>
                    <w:rPr>
                      <w:color w:val="000000" w:themeColor="text1"/>
                      <w:szCs w:val="21"/>
                      <w14:textFill>
                        <w14:solidFill>
                          <w14:schemeClr w14:val="tx1"/>
                        </w14:solidFill>
                      </w14:textFill>
                    </w:rPr>
                  </w:pPr>
                  <w:bookmarkStart w:id="122" w:name="_Toc2251"/>
                  <w:r>
                    <w:rPr>
                      <w:rFonts w:hint="eastAsia"/>
                      <w:color w:val="000000" w:themeColor="text1"/>
                      <w:szCs w:val="21"/>
                      <w14:textFill>
                        <w14:solidFill>
                          <w14:schemeClr w14:val="tx1"/>
                        </w14:solidFill>
                      </w14:textFill>
                    </w:rPr>
                    <w:t>颗粒物</w:t>
                  </w:r>
                  <w:bookmarkEnd w:id="122"/>
                </w:p>
              </w:tc>
              <w:tc>
                <w:tcPr>
                  <w:tcW w:w="516" w:type="pct"/>
                  <w:vMerge w:val="restart"/>
                  <w:shd w:val="clear" w:color="auto" w:fill="auto"/>
                  <w:vAlign w:val="center"/>
                </w:tcPr>
                <w:p w14:paraId="0A1C156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0.006</w:t>
                  </w:r>
                </w:p>
              </w:tc>
              <w:tc>
                <w:tcPr>
                  <w:tcW w:w="576" w:type="pct"/>
                  <w:vMerge w:val="restart"/>
                  <w:shd w:val="clear" w:color="auto" w:fill="auto"/>
                  <w:vAlign w:val="center"/>
                </w:tcPr>
                <w:p w14:paraId="5B25865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0.009</w:t>
                  </w:r>
                </w:p>
              </w:tc>
              <w:tc>
                <w:tcPr>
                  <w:tcW w:w="648" w:type="pct"/>
                  <w:vMerge w:val="restart"/>
                  <w:shd w:val="clear" w:color="auto" w:fill="auto"/>
                  <w:vAlign w:val="center"/>
                </w:tcPr>
                <w:p w14:paraId="507CE1F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2.689</w:t>
                  </w:r>
                </w:p>
              </w:tc>
              <w:tc>
                <w:tcPr>
                  <w:tcW w:w="1566" w:type="pct"/>
                  <w:vAlign w:val="center"/>
                </w:tcPr>
                <w:p w14:paraId="19CDE75B">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c>
                <w:tcPr>
                  <w:tcW w:w="520" w:type="pct"/>
                  <w:vAlign w:val="center"/>
                </w:tcPr>
                <w:p w14:paraId="63CB78F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120</w:t>
                  </w:r>
                </w:p>
              </w:tc>
            </w:tr>
            <w:tr w14:paraId="3F3FFB7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25581D16">
                  <w:pPr>
                    <w:pStyle w:val="49"/>
                    <w:rPr>
                      <w:color w:val="000000" w:themeColor="text1"/>
                      <w:szCs w:val="21"/>
                      <w14:textFill>
                        <w14:solidFill>
                          <w14:schemeClr w14:val="tx1"/>
                        </w14:solidFill>
                      </w14:textFill>
                    </w:rPr>
                  </w:pPr>
                </w:p>
              </w:tc>
              <w:tc>
                <w:tcPr>
                  <w:tcW w:w="458" w:type="pct"/>
                  <w:vMerge w:val="continue"/>
                  <w:vAlign w:val="center"/>
                </w:tcPr>
                <w:p w14:paraId="712904AF">
                  <w:pPr>
                    <w:pStyle w:val="49"/>
                    <w:rPr>
                      <w:color w:val="000000" w:themeColor="text1"/>
                      <w:szCs w:val="21"/>
                      <w14:textFill>
                        <w14:solidFill>
                          <w14:schemeClr w14:val="tx1"/>
                        </w14:solidFill>
                      </w14:textFill>
                    </w:rPr>
                  </w:pPr>
                </w:p>
              </w:tc>
              <w:tc>
                <w:tcPr>
                  <w:tcW w:w="482" w:type="pct"/>
                  <w:vMerge w:val="continue"/>
                  <w:shd w:val="clear" w:color="auto" w:fill="auto"/>
                  <w:vAlign w:val="center"/>
                </w:tcPr>
                <w:p w14:paraId="6BA89C4C">
                  <w:pPr>
                    <w:jc w:val="center"/>
                    <w:outlineLvl w:val="9"/>
                    <w:rPr>
                      <w:color w:val="000000" w:themeColor="text1"/>
                      <w:szCs w:val="21"/>
                      <w14:textFill>
                        <w14:solidFill>
                          <w14:schemeClr w14:val="tx1"/>
                        </w14:solidFill>
                      </w14:textFill>
                    </w:rPr>
                  </w:pPr>
                </w:p>
              </w:tc>
              <w:tc>
                <w:tcPr>
                  <w:tcW w:w="516" w:type="pct"/>
                  <w:vMerge w:val="continue"/>
                  <w:shd w:val="clear" w:color="auto" w:fill="auto"/>
                  <w:vAlign w:val="center"/>
                </w:tcPr>
                <w:p w14:paraId="1E2F6B7B">
                  <w:pPr>
                    <w:jc w:val="center"/>
                    <w:rPr>
                      <w:color w:val="000000" w:themeColor="text1"/>
                      <w:szCs w:val="21"/>
                      <w14:textFill>
                        <w14:solidFill>
                          <w14:schemeClr w14:val="tx1"/>
                        </w14:solidFill>
                      </w14:textFill>
                    </w:rPr>
                  </w:pPr>
                </w:p>
              </w:tc>
              <w:tc>
                <w:tcPr>
                  <w:tcW w:w="576" w:type="pct"/>
                  <w:vMerge w:val="continue"/>
                  <w:shd w:val="clear" w:color="auto" w:fill="auto"/>
                  <w:vAlign w:val="center"/>
                </w:tcPr>
                <w:p w14:paraId="3602239F">
                  <w:pPr>
                    <w:adjustRightInd w:val="0"/>
                    <w:snapToGrid w:val="0"/>
                    <w:jc w:val="center"/>
                    <w:rPr>
                      <w:color w:val="000000" w:themeColor="text1"/>
                      <w:szCs w:val="21"/>
                      <w14:textFill>
                        <w14:solidFill>
                          <w14:schemeClr w14:val="tx1"/>
                        </w14:solidFill>
                      </w14:textFill>
                    </w:rPr>
                  </w:pPr>
                </w:p>
              </w:tc>
              <w:tc>
                <w:tcPr>
                  <w:tcW w:w="648" w:type="pct"/>
                  <w:vMerge w:val="continue"/>
                  <w:shd w:val="clear" w:color="auto" w:fill="auto"/>
                  <w:vAlign w:val="center"/>
                </w:tcPr>
                <w:p w14:paraId="0C37ECCA">
                  <w:pPr>
                    <w:jc w:val="center"/>
                    <w:rPr>
                      <w:color w:val="000000" w:themeColor="text1"/>
                      <w:szCs w:val="21"/>
                      <w14:textFill>
                        <w14:solidFill>
                          <w14:schemeClr w14:val="tx1"/>
                        </w14:solidFill>
                      </w14:textFill>
                    </w:rPr>
                  </w:pPr>
                </w:p>
              </w:tc>
              <w:tc>
                <w:tcPr>
                  <w:tcW w:w="1566" w:type="pct"/>
                  <w:vAlign w:val="center"/>
                </w:tcPr>
                <w:p w14:paraId="5562C7A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年修订版）附录2中其他工序PM排放限值</w:t>
                  </w:r>
                </w:p>
              </w:tc>
              <w:tc>
                <w:tcPr>
                  <w:tcW w:w="520" w:type="pct"/>
                  <w:vAlign w:val="center"/>
                </w:tcPr>
                <w:p w14:paraId="4B21DBE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r>
            <w:tr w14:paraId="11D7A5B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vAlign w:val="center"/>
                </w:tcPr>
                <w:p w14:paraId="0C77D617">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458" w:type="pct"/>
                  <w:vMerge w:val="restart"/>
                  <w:vAlign w:val="center"/>
                </w:tcPr>
                <w:p w14:paraId="0A0A6E52">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2</w:t>
                  </w:r>
                </w:p>
              </w:tc>
              <w:tc>
                <w:tcPr>
                  <w:tcW w:w="482" w:type="pct"/>
                  <w:vMerge w:val="restart"/>
                  <w:shd w:val="clear" w:color="auto" w:fill="auto"/>
                  <w:vAlign w:val="center"/>
                </w:tcPr>
                <w:p w14:paraId="161537ED">
                  <w:pPr>
                    <w:jc w:val="center"/>
                    <w:outlineLvl w:val="9"/>
                    <w:rPr>
                      <w:color w:val="000000" w:themeColor="text1"/>
                      <w:szCs w:val="21"/>
                      <w14:textFill>
                        <w14:solidFill>
                          <w14:schemeClr w14:val="tx1"/>
                        </w14:solidFill>
                      </w14:textFill>
                    </w:rPr>
                  </w:pPr>
                  <w:bookmarkStart w:id="123" w:name="_Toc17540"/>
                  <w:r>
                    <w:rPr>
                      <w:color w:val="000000" w:themeColor="text1"/>
                      <w:szCs w:val="21"/>
                      <w14:textFill>
                        <w14:solidFill>
                          <w14:schemeClr w14:val="tx1"/>
                        </w14:solidFill>
                      </w14:textFill>
                    </w:rPr>
                    <w:t>颗粒物</w:t>
                  </w:r>
                  <w:bookmarkEnd w:id="123"/>
                </w:p>
              </w:tc>
              <w:tc>
                <w:tcPr>
                  <w:tcW w:w="516" w:type="pct"/>
                  <w:vMerge w:val="restart"/>
                  <w:shd w:val="clear" w:color="auto" w:fill="auto"/>
                  <w:vAlign w:val="center"/>
                </w:tcPr>
                <w:p w14:paraId="65E91D9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0.005</w:t>
                  </w:r>
                </w:p>
              </w:tc>
              <w:tc>
                <w:tcPr>
                  <w:tcW w:w="576" w:type="pct"/>
                  <w:vMerge w:val="restart"/>
                  <w:shd w:val="clear" w:color="auto" w:fill="auto"/>
                  <w:vAlign w:val="center"/>
                </w:tcPr>
                <w:p w14:paraId="61B0566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0.004</w:t>
                  </w:r>
                </w:p>
              </w:tc>
              <w:tc>
                <w:tcPr>
                  <w:tcW w:w="648" w:type="pct"/>
                  <w:vMerge w:val="restart"/>
                  <w:shd w:val="clear" w:color="auto" w:fill="auto"/>
                  <w:vAlign w:val="center"/>
                </w:tcPr>
                <w:p w14:paraId="4591DDC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c>
                <w:tcPr>
                  <w:tcW w:w="1566" w:type="pct"/>
                  <w:vAlign w:val="center"/>
                </w:tcPr>
                <w:p w14:paraId="0E77B63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20" w:type="pct"/>
                  <w:vAlign w:val="center"/>
                </w:tcPr>
                <w:p w14:paraId="1141531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r>
            <w:tr w14:paraId="29E6935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7E8AF3ED">
                  <w:pPr>
                    <w:jc w:val="center"/>
                    <w:rPr>
                      <w:color w:val="000000" w:themeColor="text1"/>
                      <w:szCs w:val="21"/>
                      <w14:textFill>
                        <w14:solidFill>
                          <w14:schemeClr w14:val="tx1"/>
                        </w14:solidFill>
                      </w14:textFill>
                    </w:rPr>
                  </w:pPr>
                </w:p>
              </w:tc>
              <w:tc>
                <w:tcPr>
                  <w:tcW w:w="458" w:type="pct"/>
                  <w:vMerge w:val="continue"/>
                  <w:vAlign w:val="center"/>
                </w:tcPr>
                <w:p w14:paraId="0308A0EB">
                  <w:pPr>
                    <w:jc w:val="center"/>
                    <w:rPr>
                      <w:color w:val="000000" w:themeColor="text1"/>
                      <w:szCs w:val="21"/>
                      <w14:textFill>
                        <w14:solidFill>
                          <w14:schemeClr w14:val="tx1"/>
                        </w14:solidFill>
                      </w14:textFill>
                    </w:rPr>
                  </w:pPr>
                </w:p>
              </w:tc>
              <w:tc>
                <w:tcPr>
                  <w:tcW w:w="482" w:type="pct"/>
                  <w:vMerge w:val="continue"/>
                  <w:shd w:val="clear" w:color="auto" w:fill="auto"/>
                  <w:vAlign w:val="center"/>
                </w:tcPr>
                <w:p w14:paraId="153F7CAB">
                  <w:pPr>
                    <w:jc w:val="center"/>
                    <w:outlineLvl w:val="9"/>
                    <w:rPr>
                      <w:color w:val="000000" w:themeColor="text1"/>
                      <w:szCs w:val="21"/>
                      <w14:textFill>
                        <w14:solidFill>
                          <w14:schemeClr w14:val="tx1"/>
                        </w14:solidFill>
                      </w14:textFill>
                    </w:rPr>
                  </w:pPr>
                </w:p>
              </w:tc>
              <w:tc>
                <w:tcPr>
                  <w:tcW w:w="516" w:type="pct"/>
                  <w:vMerge w:val="continue"/>
                  <w:shd w:val="clear" w:color="auto" w:fill="auto"/>
                  <w:vAlign w:val="center"/>
                </w:tcPr>
                <w:p w14:paraId="157389B7">
                  <w:pPr>
                    <w:jc w:val="center"/>
                    <w:rPr>
                      <w:color w:val="000000" w:themeColor="text1"/>
                      <w:szCs w:val="21"/>
                      <w14:textFill>
                        <w14:solidFill>
                          <w14:schemeClr w14:val="tx1"/>
                        </w14:solidFill>
                      </w14:textFill>
                    </w:rPr>
                  </w:pPr>
                </w:p>
              </w:tc>
              <w:tc>
                <w:tcPr>
                  <w:tcW w:w="576" w:type="pct"/>
                  <w:vMerge w:val="continue"/>
                  <w:shd w:val="clear" w:color="auto" w:fill="auto"/>
                  <w:vAlign w:val="center"/>
                </w:tcPr>
                <w:p w14:paraId="4AC4A4F4">
                  <w:pPr>
                    <w:jc w:val="center"/>
                    <w:rPr>
                      <w:color w:val="000000" w:themeColor="text1"/>
                      <w:szCs w:val="21"/>
                      <w14:textFill>
                        <w14:solidFill>
                          <w14:schemeClr w14:val="tx1"/>
                        </w14:solidFill>
                      </w14:textFill>
                    </w:rPr>
                  </w:pPr>
                </w:p>
              </w:tc>
              <w:tc>
                <w:tcPr>
                  <w:tcW w:w="648" w:type="pct"/>
                  <w:vMerge w:val="continue"/>
                  <w:shd w:val="clear" w:color="auto" w:fill="auto"/>
                  <w:vAlign w:val="center"/>
                </w:tcPr>
                <w:p w14:paraId="27F63212">
                  <w:pPr>
                    <w:jc w:val="center"/>
                    <w:rPr>
                      <w:color w:val="000000" w:themeColor="text1"/>
                      <w:szCs w:val="21"/>
                      <w14:textFill>
                        <w14:solidFill>
                          <w14:schemeClr w14:val="tx1"/>
                        </w14:solidFill>
                      </w14:textFill>
                    </w:rPr>
                  </w:pPr>
                </w:p>
              </w:tc>
              <w:tc>
                <w:tcPr>
                  <w:tcW w:w="1566" w:type="pct"/>
                  <w:vAlign w:val="center"/>
                </w:tcPr>
                <w:p w14:paraId="14B33993">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20" w:type="pct"/>
                  <w:vAlign w:val="center"/>
                </w:tcPr>
                <w:p w14:paraId="5E53266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r>
            <w:tr w14:paraId="349FE09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0AF03FB7">
                  <w:pPr>
                    <w:pStyle w:val="49"/>
                    <w:rPr>
                      <w:color w:val="000000" w:themeColor="text1"/>
                      <w:szCs w:val="21"/>
                      <w14:textFill>
                        <w14:solidFill>
                          <w14:schemeClr w14:val="tx1"/>
                        </w14:solidFill>
                      </w14:textFill>
                    </w:rPr>
                  </w:pPr>
                </w:p>
              </w:tc>
              <w:tc>
                <w:tcPr>
                  <w:tcW w:w="458" w:type="pct"/>
                  <w:vMerge w:val="continue"/>
                  <w:vAlign w:val="center"/>
                </w:tcPr>
                <w:p w14:paraId="3E372E62">
                  <w:pPr>
                    <w:pStyle w:val="49"/>
                    <w:rPr>
                      <w:color w:val="000000" w:themeColor="text1"/>
                      <w:szCs w:val="21"/>
                      <w14:textFill>
                        <w14:solidFill>
                          <w14:schemeClr w14:val="tx1"/>
                        </w14:solidFill>
                      </w14:textFill>
                    </w:rPr>
                  </w:pPr>
                </w:p>
              </w:tc>
              <w:tc>
                <w:tcPr>
                  <w:tcW w:w="482" w:type="pct"/>
                  <w:vMerge w:val="restart"/>
                  <w:tcBorders>
                    <w:left w:val="single" w:color="auto" w:sz="6" w:space="0"/>
                  </w:tcBorders>
                  <w:shd w:val="clear" w:color="auto" w:fill="auto"/>
                  <w:vAlign w:val="center"/>
                </w:tcPr>
                <w:p w14:paraId="6BF87F4F">
                  <w:pPr>
                    <w:jc w:val="center"/>
                    <w:outlineLvl w:val="9"/>
                    <w:rPr>
                      <w:color w:val="000000" w:themeColor="text1"/>
                      <w:szCs w:val="21"/>
                      <w14:textFill>
                        <w14:solidFill>
                          <w14:schemeClr w14:val="tx1"/>
                        </w14:solidFill>
                      </w14:textFill>
                    </w:rPr>
                  </w:pPr>
                  <w:bookmarkStart w:id="124" w:name="_Toc15547"/>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bookmarkEnd w:id="124"/>
                </w:p>
              </w:tc>
              <w:tc>
                <w:tcPr>
                  <w:tcW w:w="516" w:type="pct"/>
                  <w:vMerge w:val="restart"/>
                  <w:tcBorders>
                    <w:left w:val="single" w:color="auto" w:sz="6" w:space="0"/>
                  </w:tcBorders>
                  <w:shd w:val="clear" w:color="auto" w:fill="auto"/>
                  <w:vAlign w:val="center"/>
                </w:tcPr>
                <w:p w14:paraId="659932D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0.004</w:t>
                  </w:r>
                </w:p>
              </w:tc>
              <w:tc>
                <w:tcPr>
                  <w:tcW w:w="576" w:type="pct"/>
                  <w:vMerge w:val="restart"/>
                  <w:tcBorders>
                    <w:left w:val="single" w:color="auto" w:sz="6" w:space="0"/>
                  </w:tcBorders>
                  <w:shd w:val="clear" w:color="auto" w:fill="auto"/>
                  <w:vAlign w:val="center"/>
                </w:tcPr>
                <w:p w14:paraId="78ACBAF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0.003</w:t>
                  </w:r>
                </w:p>
              </w:tc>
              <w:tc>
                <w:tcPr>
                  <w:tcW w:w="648" w:type="pct"/>
                  <w:vMerge w:val="restart"/>
                  <w:shd w:val="clear" w:color="auto" w:fill="auto"/>
                  <w:vAlign w:val="center"/>
                </w:tcPr>
                <w:p w14:paraId="39488BD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c>
                <w:tcPr>
                  <w:tcW w:w="1566" w:type="pct"/>
                  <w:shd w:val="clear" w:color="auto" w:fill="auto"/>
                  <w:vAlign w:val="center"/>
                </w:tcPr>
                <w:p w14:paraId="263F7C4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20" w:type="pct"/>
                  <w:shd w:val="clear" w:color="auto" w:fill="auto"/>
                  <w:vAlign w:val="center"/>
                </w:tcPr>
                <w:p w14:paraId="2EC66E7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r>
            <w:tr w14:paraId="2A01012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16F7DD98">
                  <w:pPr>
                    <w:pStyle w:val="49"/>
                    <w:rPr>
                      <w:color w:val="000000" w:themeColor="text1"/>
                      <w14:textFill>
                        <w14:solidFill>
                          <w14:schemeClr w14:val="tx1"/>
                        </w14:solidFill>
                      </w14:textFill>
                    </w:rPr>
                  </w:pPr>
                </w:p>
              </w:tc>
              <w:tc>
                <w:tcPr>
                  <w:tcW w:w="458" w:type="pct"/>
                  <w:vMerge w:val="continue"/>
                  <w:vAlign w:val="center"/>
                </w:tcPr>
                <w:p w14:paraId="59505635">
                  <w:pPr>
                    <w:pStyle w:val="49"/>
                    <w:rPr>
                      <w:color w:val="000000" w:themeColor="text1"/>
                      <w14:textFill>
                        <w14:solidFill>
                          <w14:schemeClr w14:val="tx1"/>
                        </w14:solidFill>
                      </w14:textFill>
                    </w:rPr>
                  </w:pPr>
                </w:p>
              </w:tc>
              <w:tc>
                <w:tcPr>
                  <w:tcW w:w="482" w:type="pct"/>
                  <w:vMerge w:val="continue"/>
                  <w:tcBorders>
                    <w:left w:val="single" w:color="auto" w:sz="6" w:space="0"/>
                  </w:tcBorders>
                  <w:shd w:val="clear" w:color="auto" w:fill="auto"/>
                  <w:vAlign w:val="center"/>
                </w:tcPr>
                <w:p w14:paraId="1A25B9D6">
                  <w:pPr>
                    <w:pStyle w:val="49"/>
                    <w:rPr>
                      <w:color w:val="000000" w:themeColor="text1"/>
                      <w14:textFill>
                        <w14:solidFill>
                          <w14:schemeClr w14:val="tx1"/>
                        </w14:solidFill>
                      </w14:textFill>
                    </w:rPr>
                  </w:pPr>
                </w:p>
              </w:tc>
              <w:tc>
                <w:tcPr>
                  <w:tcW w:w="516" w:type="pct"/>
                  <w:vMerge w:val="continue"/>
                  <w:tcBorders>
                    <w:left w:val="single" w:color="auto" w:sz="6" w:space="0"/>
                  </w:tcBorders>
                  <w:vAlign w:val="center"/>
                </w:tcPr>
                <w:p w14:paraId="172367A1">
                  <w:pPr>
                    <w:pStyle w:val="49"/>
                    <w:rPr>
                      <w:color w:val="000000" w:themeColor="text1"/>
                      <w14:textFill>
                        <w14:solidFill>
                          <w14:schemeClr w14:val="tx1"/>
                        </w14:solidFill>
                      </w14:textFill>
                    </w:rPr>
                  </w:pPr>
                </w:p>
              </w:tc>
              <w:tc>
                <w:tcPr>
                  <w:tcW w:w="576" w:type="pct"/>
                  <w:vMerge w:val="continue"/>
                  <w:tcBorders>
                    <w:left w:val="single" w:color="auto" w:sz="6" w:space="0"/>
                  </w:tcBorders>
                  <w:vAlign w:val="center"/>
                </w:tcPr>
                <w:p w14:paraId="350227FE">
                  <w:pPr>
                    <w:pStyle w:val="49"/>
                    <w:rPr>
                      <w:color w:val="000000" w:themeColor="text1"/>
                      <w14:textFill>
                        <w14:solidFill>
                          <w14:schemeClr w14:val="tx1"/>
                        </w14:solidFill>
                      </w14:textFill>
                    </w:rPr>
                  </w:pPr>
                </w:p>
              </w:tc>
              <w:tc>
                <w:tcPr>
                  <w:tcW w:w="648" w:type="pct"/>
                  <w:vMerge w:val="continue"/>
                  <w:vAlign w:val="center"/>
                </w:tcPr>
                <w:p w14:paraId="4F8653FB">
                  <w:pPr>
                    <w:pStyle w:val="49"/>
                    <w:rPr>
                      <w:color w:val="000000" w:themeColor="text1"/>
                      <w14:textFill>
                        <w14:solidFill>
                          <w14:schemeClr w14:val="tx1"/>
                        </w14:solidFill>
                      </w14:textFill>
                    </w:rPr>
                  </w:pPr>
                </w:p>
              </w:tc>
              <w:tc>
                <w:tcPr>
                  <w:tcW w:w="1566" w:type="pct"/>
                  <w:shd w:val="clear" w:color="auto" w:fill="auto"/>
                  <w:vAlign w:val="center"/>
                </w:tcPr>
                <w:p w14:paraId="7EF2236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20" w:type="pct"/>
                  <w:shd w:val="clear" w:color="auto" w:fill="auto"/>
                  <w:vAlign w:val="center"/>
                </w:tcPr>
                <w:p w14:paraId="3960069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r>
            <w:tr w14:paraId="797F26C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50E1B4E1">
                  <w:pPr>
                    <w:pStyle w:val="49"/>
                    <w:rPr>
                      <w:color w:val="000000" w:themeColor="text1"/>
                      <w:szCs w:val="21"/>
                      <w14:textFill>
                        <w14:solidFill>
                          <w14:schemeClr w14:val="tx1"/>
                        </w14:solidFill>
                      </w14:textFill>
                    </w:rPr>
                  </w:pPr>
                </w:p>
              </w:tc>
              <w:tc>
                <w:tcPr>
                  <w:tcW w:w="458" w:type="pct"/>
                  <w:vMerge w:val="continue"/>
                  <w:vAlign w:val="center"/>
                </w:tcPr>
                <w:p w14:paraId="486B7F53">
                  <w:pPr>
                    <w:pStyle w:val="49"/>
                    <w:rPr>
                      <w:color w:val="000000" w:themeColor="text1"/>
                      <w:szCs w:val="21"/>
                      <w14:textFill>
                        <w14:solidFill>
                          <w14:schemeClr w14:val="tx1"/>
                        </w14:solidFill>
                      </w14:textFill>
                    </w:rPr>
                  </w:pPr>
                </w:p>
              </w:tc>
              <w:tc>
                <w:tcPr>
                  <w:tcW w:w="482" w:type="pct"/>
                  <w:vMerge w:val="restart"/>
                  <w:tcBorders>
                    <w:left w:val="single" w:color="auto" w:sz="6" w:space="0"/>
                  </w:tcBorders>
                  <w:shd w:val="clear" w:color="auto" w:fill="auto"/>
                  <w:vAlign w:val="center"/>
                </w:tcPr>
                <w:p w14:paraId="1587FAAB">
                  <w:pPr>
                    <w:jc w:val="center"/>
                    <w:outlineLvl w:val="9"/>
                    <w:rPr>
                      <w:color w:val="000000" w:themeColor="text1"/>
                      <w:szCs w:val="21"/>
                      <w14:textFill>
                        <w14:solidFill>
                          <w14:schemeClr w14:val="tx1"/>
                        </w14:solidFill>
                      </w14:textFill>
                    </w:rPr>
                  </w:pPr>
                  <w:bookmarkStart w:id="125" w:name="_Toc23654"/>
                  <w:r>
                    <w:rPr>
                      <w:rFonts w:hint="eastAsia"/>
                      <w:color w:val="000000" w:themeColor="text1"/>
                      <w:szCs w:val="21"/>
                      <w14:textFill>
                        <w14:solidFill>
                          <w14:schemeClr w14:val="tx1"/>
                        </w14:solidFill>
                      </w14:textFill>
                    </w:rPr>
                    <w:t>NOx</w:t>
                  </w:r>
                  <w:bookmarkEnd w:id="125"/>
                </w:p>
              </w:tc>
              <w:tc>
                <w:tcPr>
                  <w:tcW w:w="516" w:type="pct"/>
                  <w:vMerge w:val="restart"/>
                  <w:tcBorders>
                    <w:left w:val="single" w:color="auto" w:sz="6" w:space="0"/>
                  </w:tcBorders>
                  <w:shd w:val="clear" w:color="auto" w:fill="auto"/>
                  <w:vAlign w:val="center"/>
                </w:tcPr>
                <w:p w14:paraId="328B175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0.032</w:t>
                  </w:r>
                </w:p>
              </w:tc>
              <w:tc>
                <w:tcPr>
                  <w:tcW w:w="576" w:type="pct"/>
                  <w:vMerge w:val="restart"/>
                  <w:tcBorders>
                    <w:left w:val="single" w:color="auto" w:sz="6" w:space="0"/>
                  </w:tcBorders>
                  <w:shd w:val="clear" w:color="auto" w:fill="auto"/>
                  <w:vAlign w:val="center"/>
                </w:tcPr>
                <w:p w14:paraId="4F352D2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0.023</w:t>
                  </w:r>
                </w:p>
              </w:tc>
              <w:tc>
                <w:tcPr>
                  <w:tcW w:w="648" w:type="pct"/>
                  <w:vMerge w:val="restart"/>
                  <w:shd w:val="clear" w:color="auto" w:fill="auto"/>
                  <w:vAlign w:val="center"/>
                </w:tcPr>
                <w:p w14:paraId="54D0D20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28.120</w:t>
                  </w:r>
                </w:p>
              </w:tc>
              <w:tc>
                <w:tcPr>
                  <w:tcW w:w="1566" w:type="pct"/>
                  <w:shd w:val="clear" w:color="auto" w:fill="auto"/>
                  <w:vAlign w:val="center"/>
                </w:tcPr>
                <w:p w14:paraId="1E9F358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20" w:type="pct"/>
                  <w:shd w:val="clear" w:color="auto" w:fill="auto"/>
                  <w:vAlign w:val="center"/>
                </w:tcPr>
                <w:p w14:paraId="3547FE4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r>
            <w:tr w14:paraId="076C6BE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4175EC46">
                  <w:pPr>
                    <w:pStyle w:val="49"/>
                    <w:rPr>
                      <w:color w:val="000000" w:themeColor="text1"/>
                      <w14:textFill>
                        <w14:solidFill>
                          <w14:schemeClr w14:val="tx1"/>
                        </w14:solidFill>
                      </w14:textFill>
                    </w:rPr>
                  </w:pPr>
                </w:p>
              </w:tc>
              <w:tc>
                <w:tcPr>
                  <w:tcW w:w="458" w:type="pct"/>
                  <w:vMerge w:val="continue"/>
                  <w:vAlign w:val="center"/>
                </w:tcPr>
                <w:p w14:paraId="20CC7384">
                  <w:pPr>
                    <w:pStyle w:val="49"/>
                    <w:rPr>
                      <w:color w:val="000000" w:themeColor="text1"/>
                      <w14:textFill>
                        <w14:solidFill>
                          <w14:schemeClr w14:val="tx1"/>
                        </w14:solidFill>
                      </w14:textFill>
                    </w:rPr>
                  </w:pPr>
                </w:p>
              </w:tc>
              <w:tc>
                <w:tcPr>
                  <w:tcW w:w="482" w:type="pct"/>
                  <w:vMerge w:val="continue"/>
                  <w:tcBorders>
                    <w:left w:val="single" w:color="auto" w:sz="6" w:space="0"/>
                  </w:tcBorders>
                  <w:shd w:val="clear" w:color="auto" w:fill="auto"/>
                  <w:vAlign w:val="center"/>
                </w:tcPr>
                <w:p w14:paraId="582A6CEE">
                  <w:pPr>
                    <w:pStyle w:val="49"/>
                    <w:rPr>
                      <w:color w:val="000000" w:themeColor="text1"/>
                      <w14:textFill>
                        <w14:solidFill>
                          <w14:schemeClr w14:val="tx1"/>
                        </w14:solidFill>
                      </w14:textFill>
                    </w:rPr>
                  </w:pPr>
                </w:p>
              </w:tc>
              <w:tc>
                <w:tcPr>
                  <w:tcW w:w="516" w:type="pct"/>
                  <w:vMerge w:val="continue"/>
                  <w:tcBorders>
                    <w:left w:val="single" w:color="auto" w:sz="6" w:space="0"/>
                  </w:tcBorders>
                  <w:vAlign w:val="center"/>
                </w:tcPr>
                <w:p w14:paraId="048F3F5B">
                  <w:pPr>
                    <w:pStyle w:val="49"/>
                    <w:rPr>
                      <w:color w:val="000000" w:themeColor="text1"/>
                      <w14:textFill>
                        <w14:solidFill>
                          <w14:schemeClr w14:val="tx1"/>
                        </w14:solidFill>
                      </w14:textFill>
                    </w:rPr>
                  </w:pPr>
                </w:p>
              </w:tc>
              <w:tc>
                <w:tcPr>
                  <w:tcW w:w="576" w:type="pct"/>
                  <w:vMerge w:val="continue"/>
                  <w:tcBorders>
                    <w:left w:val="single" w:color="auto" w:sz="6" w:space="0"/>
                  </w:tcBorders>
                  <w:vAlign w:val="center"/>
                </w:tcPr>
                <w:p w14:paraId="426E7593">
                  <w:pPr>
                    <w:pStyle w:val="49"/>
                    <w:rPr>
                      <w:color w:val="000000" w:themeColor="text1"/>
                      <w14:textFill>
                        <w14:solidFill>
                          <w14:schemeClr w14:val="tx1"/>
                        </w14:solidFill>
                      </w14:textFill>
                    </w:rPr>
                  </w:pPr>
                </w:p>
              </w:tc>
              <w:tc>
                <w:tcPr>
                  <w:tcW w:w="648" w:type="pct"/>
                  <w:vMerge w:val="continue"/>
                  <w:vAlign w:val="center"/>
                </w:tcPr>
                <w:p w14:paraId="25A66CF6">
                  <w:pPr>
                    <w:pStyle w:val="49"/>
                    <w:rPr>
                      <w:color w:val="000000" w:themeColor="text1"/>
                      <w14:textFill>
                        <w14:solidFill>
                          <w14:schemeClr w14:val="tx1"/>
                        </w14:solidFill>
                      </w14:textFill>
                    </w:rPr>
                  </w:pPr>
                </w:p>
              </w:tc>
              <w:tc>
                <w:tcPr>
                  <w:tcW w:w="1566" w:type="pct"/>
                  <w:shd w:val="clear" w:color="auto" w:fill="auto"/>
                  <w:vAlign w:val="center"/>
                </w:tcPr>
                <w:p w14:paraId="752809E6">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20" w:type="pct"/>
                  <w:shd w:val="clear" w:color="auto" w:fill="auto"/>
                  <w:vAlign w:val="center"/>
                </w:tcPr>
                <w:p w14:paraId="4C5EE91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r>
            <w:tr w14:paraId="73C3876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vAlign w:val="center"/>
                </w:tcPr>
                <w:p w14:paraId="76C4AB4A">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3</w:t>
                  </w:r>
                </w:p>
              </w:tc>
              <w:tc>
                <w:tcPr>
                  <w:tcW w:w="458" w:type="pct"/>
                  <w:vMerge w:val="restart"/>
                  <w:vAlign w:val="center"/>
                </w:tcPr>
                <w:p w14:paraId="15645AB1">
                  <w:pPr>
                    <w:pStyle w:val="49"/>
                    <w:rPr>
                      <w:color w:val="000000" w:themeColor="text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3</w:t>
                  </w:r>
                </w:p>
              </w:tc>
              <w:tc>
                <w:tcPr>
                  <w:tcW w:w="482" w:type="pct"/>
                  <w:vMerge w:val="restart"/>
                  <w:tcBorders>
                    <w:left w:val="single" w:color="auto" w:sz="6" w:space="0"/>
                  </w:tcBorders>
                  <w:shd w:val="clear" w:color="auto" w:fill="auto"/>
                  <w:vAlign w:val="center"/>
                </w:tcPr>
                <w:p w14:paraId="7FF5E502">
                  <w:pPr>
                    <w:jc w:val="center"/>
                    <w:outlineLvl w:val="9"/>
                    <w:rPr>
                      <w:color w:val="000000" w:themeColor="text1"/>
                      <w:szCs w:val="21"/>
                      <w14:textFill>
                        <w14:solidFill>
                          <w14:schemeClr w14:val="tx1"/>
                        </w14:solidFill>
                      </w14:textFill>
                    </w:rPr>
                  </w:pPr>
                  <w:bookmarkStart w:id="126" w:name="_Toc1315"/>
                  <w:r>
                    <w:rPr>
                      <w:color w:val="000000" w:themeColor="text1"/>
                      <w:szCs w:val="21"/>
                      <w14:textFill>
                        <w14:solidFill>
                          <w14:schemeClr w14:val="tx1"/>
                        </w14:solidFill>
                      </w14:textFill>
                    </w:rPr>
                    <w:t>颗粒物</w:t>
                  </w:r>
                  <w:bookmarkEnd w:id="126"/>
                </w:p>
              </w:tc>
              <w:tc>
                <w:tcPr>
                  <w:tcW w:w="516" w:type="pct"/>
                  <w:vMerge w:val="restart"/>
                  <w:tcBorders>
                    <w:left w:val="single" w:color="auto" w:sz="6" w:space="0"/>
                  </w:tcBorders>
                  <w:shd w:val="clear" w:color="auto" w:fill="auto"/>
                  <w:vAlign w:val="center"/>
                </w:tcPr>
                <w:p w14:paraId="590992A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576" w:type="pct"/>
                  <w:vMerge w:val="restart"/>
                  <w:tcBorders>
                    <w:left w:val="single" w:color="auto" w:sz="6" w:space="0"/>
                  </w:tcBorders>
                  <w:shd w:val="clear" w:color="auto" w:fill="auto"/>
                  <w:vAlign w:val="center"/>
                </w:tcPr>
                <w:p w14:paraId="53B46B0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648" w:type="pct"/>
                  <w:vMerge w:val="restart"/>
                  <w:shd w:val="clear" w:color="auto" w:fill="auto"/>
                  <w:vAlign w:val="center"/>
                </w:tcPr>
                <w:p w14:paraId="257E7DE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c>
                <w:tcPr>
                  <w:tcW w:w="1566" w:type="pct"/>
                  <w:shd w:val="clear" w:color="auto" w:fill="auto"/>
                  <w:vAlign w:val="center"/>
                </w:tcPr>
                <w:p w14:paraId="634A7C6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20" w:type="pct"/>
                  <w:shd w:val="clear" w:color="auto" w:fill="auto"/>
                  <w:vAlign w:val="center"/>
                </w:tcPr>
                <w:p w14:paraId="6F6952D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r>
            <w:tr w14:paraId="1168F3C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5D57EAB9">
                  <w:pPr>
                    <w:pStyle w:val="49"/>
                    <w:rPr>
                      <w:color w:val="000000" w:themeColor="text1"/>
                      <w14:textFill>
                        <w14:solidFill>
                          <w14:schemeClr w14:val="tx1"/>
                        </w14:solidFill>
                      </w14:textFill>
                    </w:rPr>
                  </w:pPr>
                </w:p>
              </w:tc>
              <w:tc>
                <w:tcPr>
                  <w:tcW w:w="458" w:type="pct"/>
                  <w:vMerge w:val="continue"/>
                  <w:vAlign w:val="center"/>
                </w:tcPr>
                <w:p w14:paraId="1FB23FF0">
                  <w:pPr>
                    <w:pStyle w:val="49"/>
                    <w:rPr>
                      <w:color w:val="000000" w:themeColor="text1"/>
                      <w14:textFill>
                        <w14:solidFill>
                          <w14:schemeClr w14:val="tx1"/>
                        </w14:solidFill>
                      </w14:textFill>
                    </w:rPr>
                  </w:pPr>
                </w:p>
              </w:tc>
              <w:tc>
                <w:tcPr>
                  <w:tcW w:w="482" w:type="pct"/>
                  <w:vMerge w:val="continue"/>
                  <w:tcBorders>
                    <w:left w:val="single" w:color="auto" w:sz="6" w:space="0"/>
                  </w:tcBorders>
                  <w:shd w:val="clear" w:color="auto" w:fill="auto"/>
                  <w:vAlign w:val="center"/>
                </w:tcPr>
                <w:p w14:paraId="4B84D431">
                  <w:pPr>
                    <w:pStyle w:val="49"/>
                    <w:rPr>
                      <w:color w:val="000000" w:themeColor="text1"/>
                      <w14:textFill>
                        <w14:solidFill>
                          <w14:schemeClr w14:val="tx1"/>
                        </w14:solidFill>
                      </w14:textFill>
                    </w:rPr>
                  </w:pPr>
                </w:p>
              </w:tc>
              <w:tc>
                <w:tcPr>
                  <w:tcW w:w="516" w:type="pct"/>
                  <w:vMerge w:val="continue"/>
                  <w:tcBorders>
                    <w:left w:val="single" w:color="auto" w:sz="6" w:space="0"/>
                  </w:tcBorders>
                  <w:vAlign w:val="center"/>
                </w:tcPr>
                <w:p w14:paraId="2AE8508C">
                  <w:pPr>
                    <w:pStyle w:val="49"/>
                    <w:rPr>
                      <w:color w:val="000000" w:themeColor="text1"/>
                      <w14:textFill>
                        <w14:solidFill>
                          <w14:schemeClr w14:val="tx1"/>
                        </w14:solidFill>
                      </w14:textFill>
                    </w:rPr>
                  </w:pPr>
                </w:p>
              </w:tc>
              <w:tc>
                <w:tcPr>
                  <w:tcW w:w="576" w:type="pct"/>
                  <w:vMerge w:val="continue"/>
                  <w:tcBorders>
                    <w:left w:val="single" w:color="auto" w:sz="6" w:space="0"/>
                  </w:tcBorders>
                  <w:vAlign w:val="center"/>
                </w:tcPr>
                <w:p w14:paraId="76D97C7B">
                  <w:pPr>
                    <w:pStyle w:val="49"/>
                    <w:rPr>
                      <w:color w:val="000000" w:themeColor="text1"/>
                      <w14:textFill>
                        <w14:solidFill>
                          <w14:schemeClr w14:val="tx1"/>
                        </w14:solidFill>
                      </w14:textFill>
                    </w:rPr>
                  </w:pPr>
                </w:p>
              </w:tc>
              <w:tc>
                <w:tcPr>
                  <w:tcW w:w="648" w:type="pct"/>
                  <w:vMerge w:val="continue"/>
                  <w:vAlign w:val="center"/>
                </w:tcPr>
                <w:p w14:paraId="4EFD4784">
                  <w:pPr>
                    <w:pStyle w:val="49"/>
                    <w:rPr>
                      <w:color w:val="000000" w:themeColor="text1"/>
                      <w14:textFill>
                        <w14:solidFill>
                          <w14:schemeClr w14:val="tx1"/>
                        </w14:solidFill>
                      </w14:textFill>
                    </w:rPr>
                  </w:pPr>
                </w:p>
              </w:tc>
              <w:tc>
                <w:tcPr>
                  <w:tcW w:w="1566" w:type="pct"/>
                  <w:shd w:val="clear" w:color="auto" w:fill="auto"/>
                  <w:vAlign w:val="center"/>
                </w:tcPr>
                <w:p w14:paraId="77FF2F90">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20" w:type="pct"/>
                  <w:shd w:val="clear" w:color="auto" w:fill="auto"/>
                  <w:vAlign w:val="center"/>
                </w:tcPr>
                <w:p w14:paraId="4A957FC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r>
            <w:tr w14:paraId="75B136D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2EB6F765">
                  <w:pPr>
                    <w:pStyle w:val="49"/>
                    <w:rPr>
                      <w:color w:val="000000" w:themeColor="text1"/>
                      <w14:textFill>
                        <w14:solidFill>
                          <w14:schemeClr w14:val="tx1"/>
                        </w14:solidFill>
                      </w14:textFill>
                    </w:rPr>
                  </w:pPr>
                </w:p>
              </w:tc>
              <w:tc>
                <w:tcPr>
                  <w:tcW w:w="458" w:type="pct"/>
                  <w:vMerge w:val="continue"/>
                  <w:vAlign w:val="center"/>
                </w:tcPr>
                <w:p w14:paraId="31741D52">
                  <w:pPr>
                    <w:pStyle w:val="49"/>
                    <w:rPr>
                      <w:color w:val="000000" w:themeColor="text1"/>
                      <w14:textFill>
                        <w14:solidFill>
                          <w14:schemeClr w14:val="tx1"/>
                        </w14:solidFill>
                      </w14:textFill>
                    </w:rPr>
                  </w:pPr>
                </w:p>
              </w:tc>
              <w:tc>
                <w:tcPr>
                  <w:tcW w:w="482" w:type="pct"/>
                  <w:vMerge w:val="restart"/>
                  <w:tcBorders>
                    <w:left w:val="single" w:color="auto" w:sz="6" w:space="0"/>
                  </w:tcBorders>
                  <w:shd w:val="clear" w:color="auto" w:fill="auto"/>
                  <w:vAlign w:val="center"/>
                </w:tcPr>
                <w:p w14:paraId="681A52BC">
                  <w:pPr>
                    <w:jc w:val="center"/>
                    <w:outlineLvl w:val="9"/>
                    <w:rPr>
                      <w:color w:val="000000" w:themeColor="text1"/>
                      <w:szCs w:val="21"/>
                      <w14:textFill>
                        <w14:solidFill>
                          <w14:schemeClr w14:val="tx1"/>
                        </w14:solidFill>
                      </w14:textFill>
                    </w:rPr>
                  </w:pPr>
                  <w:bookmarkStart w:id="127" w:name="_Toc20894"/>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bookmarkEnd w:id="127"/>
                </w:p>
              </w:tc>
              <w:tc>
                <w:tcPr>
                  <w:tcW w:w="516" w:type="pct"/>
                  <w:vMerge w:val="restart"/>
                  <w:tcBorders>
                    <w:left w:val="single" w:color="auto" w:sz="6" w:space="0"/>
                  </w:tcBorders>
                  <w:shd w:val="clear" w:color="auto" w:fill="auto"/>
                  <w:vAlign w:val="center"/>
                </w:tcPr>
                <w:p w14:paraId="1C49739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576" w:type="pct"/>
                  <w:vMerge w:val="restart"/>
                  <w:tcBorders>
                    <w:left w:val="single" w:color="auto" w:sz="6" w:space="0"/>
                  </w:tcBorders>
                  <w:shd w:val="clear" w:color="auto" w:fill="auto"/>
                  <w:vAlign w:val="center"/>
                </w:tcPr>
                <w:p w14:paraId="3F41D86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648" w:type="pct"/>
                  <w:vMerge w:val="restart"/>
                  <w:shd w:val="clear" w:color="auto" w:fill="auto"/>
                  <w:vAlign w:val="center"/>
                </w:tcPr>
                <w:p w14:paraId="72B4794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c>
                <w:tcPr>
                  <w:tcW w:w="1566" w:type="pct"/>
                  <w:shd w:val="clear" w:color="auto" w:fill="auto"/>
                  <w:vAlign w:val="center"/>
                </w:tcPr>
                <w:p w14:paraId="0BD87D9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20" w:type="pct"/>
                  <w:shd w:val="clear" w:color="auto" w:fill="auto"/>
                  <w:vAlign w:val="center"/>
                </w:tcPr>
                <w:p w14:paraId="56A6474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r>
            <w:tr w14:paraId="0C34B3A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419EA561">
                  <w:pPr>
                    <w:pStyle w:val="49"/>
                    <w:rPr>
                      <w:color w:val="000000" w:themeColor="text1"/>
                      <w14:textFill>
                        <w14:solidFill>
                          <w14:schemeClr w14:val="tx1"/>
                        </w14:solidFill>
                      </w14:textFill>
                    </w:rPr>
                  </w:pPr>
                </w:p>
              </w:tc>
              <w:tc>
                <w:tcPr>
                  <w:tcW w:w="458" w:type="pct"/>
                  <w:vMerge w:val="continue"/>
                  <w:vAlign w:val="center"/>
                </w:tcPr>
                <w:p w14:paraId="3B3686B8">
                  <w:pPr>
                    <w:pStyle w:val="49"/>
                    <w:rPr>
                      <w:color w:val="000000" w:themeColor="text1"/>
                      <w14:textFill>
                        <w14:solidFill>
                          <w14:schemeClr w14:val="tx1"/>
                        </w14:solidFill>
                      </w14:textFill>
                    </w:rPr>
                  </w:pPr>
                </w:p>
              </w:tc>
              <w:tc>
                <w:tcPr>
                  <w:tcW w:w="482" w:type="pct"/>
                  <w:vMerge w:val="continue"/>
                  <w:tcBorders>
                    <w:left w:val="single" w:color="auto" w:sz="6" w:space="0"/>
                  </w:tcBorders>
                  <w:shd w:val="clear" w:color="auto" w:fill="auto"/>
                  <w:vAlign w:val="center"/>
                </w:tcPr>
                <w:p w14:paraId="12E5DC2F">
                  <w:pPr>
                    <w:pStyle w:val="49"/>
                    <w:rPr>
                      <w:color w:val="000000" w:themeColor="text1"/>
                      <w14:textFill>
                        <w14:solidFill>
                          <w14:schemeClr w14:val="tx1"/>
                        </w14:solidFill>
                      </w14:textFill>
                    </w:rPr>
                  </w:pPr>
                </w:p>
              </w:tc>
              <w:tc>
                <w:tcPr>
                  <w:tcW w:w="516" w:type="pct"/>
                  <w:vMerge w:val="continue"/>
                  <w:tcBorders>
                    <w:left w:val="single" w:color="auto" w:sz="6" w:space="0"/>
                  </w:tcBorders>
                  <w:vAlign w:val="center"/>
                </w:tcPr>
                <w:p w14:paraId="38663267">
                  <w:pPr>
                    <w:pStyle w:val="49"/>
                    <w:rPr>
                      <w:color w:val="000000" w:themeColor="text1"/>
                      <w14:textFill>
                        <w14:solidFill>
                          <w14:schemeClr w14:val="tx1"/>
                        </w14:solidFill>
                      </w14:textFill>
                    </w:rPr>
                  </w:pPr>
                </w:p>
              </w:tc>
              <w:tc>
                <w:tcPr>
                  <w:tcW w:w="576" w:type="pct"/>
                  <w:vMerge w:val="continue"/>
                  <w:tcBorders>
                    <w:left w:val="single" w:color="auto" w:sz="6" w:space="0"/>
                  </w:tcBorders>
                  <w:vAlign w:val="center"/>
                </w:tcPr>
                <w:p w14:paraId="3D0275A3">
                  <w:pPr>
                    <w:pStyle w:val="49"/>
                    <w:rPr>
                      <w:color w:val="000000" w:themeColor="text1"/>
                      <w14:textFill>
                        <w14:solidFill>
                          <w14:schemeClr w14:val="tx1"/>
                        </w14:solidFill>
                      </w14:textFill>
                    </w:rPr>
                  </w:pPr>
                </w:p>
              </w:tc>
              <w:tc>
                <w:tcPr>
                  <w:tcW w:w="648" w:type="pct"/>
                  <w:vMerge w:val="continue"/>
                  <w:vAlign w:val="center"/>
                </w:tcPr>
                <w:p w14:paraId="20A8C79E">
                  <w:pPr>
                    <w:pStyle w:val="49"/>
                    <w:rPr>
                      <w:color w:val="000000" w:themeColor="text1"/>
                      <w14:textFill>
                        <w14:solidFill>
                          <w14:schemeClr w14:val="tx1"/>
                        </w14:solidFill>
                      </w14:textFill>
                    </w:rPr>
                  </w:pPr>
                </w:p>
              </w:tc>
              <w:tc>
                <w:tcPr>
                  <w:tcW w:w="1566" w:type="pct"/>
                  <w:shd w:val="clear" w:color="auto" w:fill="auto"/>
                  <w:vAlign w:val="center"/>
                </w:tcPr>
                <w:p w14:paraId="779D3EA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20" w:type="pct"/>
                  <w:shd w:val="clear" w:color="auto" w:fill="auto"/>
                  <w:vAlign w:val="center"/>
                </w:tcPr>
                <w:p w14:paraId="246573B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r>
            <w:tr w14:paraId="7054A25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1D5C9E26">
                  <w:pPr>
                    <w:pStyle w:val="49"/>
                    <w:rPr>
                      <w:color w:val="000000" w:themeColor="text1"/>
                      <w14:textFill>
                        <w14:solidFill>
                          <w14:schemeClr w14:val="tx1"/>
                        </w14:solidFill>
                      </w14:textFill>
                    </w:rPr>
                  </w:pPr>
                </w:p>
              </w:tc>
              <w:tc>
                <w:tcPr>
                  <w:tcW w:w="458" w:type="pct"/>
                  <w:vMerge w:val="continue"/>
                  <w:vAlign w:val="center"/>
                </w:tcPr>
                <w:p w14:paraId="18B12282">
                  <w:pPr>
                    <w:pStyle w:val="49"/>
                    <w:rPr>
                      <w:color w:val="000000" w:themeColor="text1"/>
                      <w14:textFill>
                        <w14:solidFill>
                          <w14:schemeClr w14:val="tx1"/>
                        </w14:solidFill>
                      </w14:textFill>
                    </w:rPr>
                  </w:pPr>
                </w:p>
              </w:tc>
              <w:tc>
                <w:tcPr>
                  <w:tcW w:w="482" w:type="pct"/>
                  <w:vMerge w:val="restart"/>
                  <w:tcBorders>
                    <w:left w:val="single" w:color="auto" w:sz="6" w:space="0"/>
                  </w:tcBorders>
                  <w:shd w:val="clear" w:color="auto" w:fill="auto"/>
                  <w:vAlign w:val="center"/>
                </w:tcPr>
                <w:p w14:paraId="5024BC8E">
                  <w:pPr>
                    <w:jc w:val="center"/>
                    <w:outlineLvl w:val="9"/>
                    <w:rPr>
                      <w:color w:val="000000" w:themeColor="text1"/>
                      <w:szCs w:val="21"/>
                      <w14:textFill>
                        <w14:solidFill>
                          <w14:schemeClr w14:val="tx1"/>
                        </w14:solidFill>
                      </w14:textFill>
                    </w:rPr>
                  </w:pPr>
                  <w:bookmarkStart w:id="128" w:name="_Toc15938"/>
                  <w:r>
                    <w:rPr>
                      <w:rFonts w:hint="eastAsia"/>
                      <w:color w:val="000000" w:themeColor="text1"/>
                      <w:szCs w:val="21"/>
                      <w14:textFill>
                        <w14:solidFill>
                          <w14:schemeClr w14:val="tx1"/>
                        </w14:solidFill>
                      </w14:textFill>
                    </w:rPr>
                    <w:t>NOx</w:t>
                  </w:r>
                  <w:bookmarkEnd w:id="128"/>
                </w:p>
              </w:tc>
              <w:tc>
                <w:tcPr>
                  <w:tcW w:w="516" w:type="pct"/>
                  <w:vMerge w:val="restart"/>
                  <w:tcBorders>
                    <w:left w:val="single" w:color="auto" w:sz="6" w:space="0"/>
                  </w:tcBorders>
                  <w:shd w:val="clear" w:color="auto" w:fill="auto"/>
                  <w:vAlign w:val="center"/>
                </w:tcPr>
                <w:p w14:paraId="0B87ED0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0.006</w:t>
                  </w:r>
                </w:p>
              </w:tc>
              <w:tc>
                <w:tcPr>
                  <w:tcW w:w="576" w:type="pct"/>
                  <w:vMerge w:val="restart"/>
                  <w:tcBorders>
                    <w:left w:val="single" w:color="auto" w:sz="6" w:space="0"/>
                  </w:tcBorders>
                  <w:shd w:val="clear" w:color="auto" w:fill="auto"/>
                  <w:vAlign w:val="center"/>
                </w:tcPr>
                <w:p w14:paraId="48695D3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0.007</w:t>
                  </w:r>
                </w:p>
              </w:tc>
              <w:tc>
                <w:tcPr>
                  <w:tcW w:w="648" w:type="pct"/>
                  <w:vMerge w:val="restart"/>
                  <w:shd w:val="clear" w:color="auto" w:fill="auto"/>
                  <w:vAlign w:val="center"/>
                </w:tcPr>
                <w:p w14:paraId="1E9583E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28.120</w:t>
                  </w:r>
                </w:p>
              </w:tc>
              <w:tc>
                <w:tcPr>
                  <w:tcW w:w="1566" w:type="pct"/>
                  <w:shd w:val="clear" w:color="auto" w:fill="auto"/>
                  <w:vAlign w:val="center"/>
                </w:tcPr>
                <w:p w14:paraId="0735F8C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20" w:type="pct"/>
                  <w:shd w:val="clear" w:color="auto" w:fill="auto"/>
                  <w:vAlign w:val="center"/>
                </w:tcPr>
                <w:p w14:paraId="1E32574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r>
            <w:tr w14:paraId="70E8B66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4260C3C2">
                  <w:pPr>
                    <w:pStyle w:val="49"/>
                    <w:rPr>
                      <w:color w:val="000000" w:themeColor="text1"/>
                      <w14:textFill>
                        <w14:solidFill>
                          <w14:schemeClr w14:val="tx1"/>
                        </w14:solidFill>
                      </w14:textFill>
                    </w:rPr>
                  </w:pPr>
                </w:p>
              </w:tc>
              <w:tc>
                <w:tcPr>
                  <w:tcW w:w="458" w:type="pct"/>
                  <w:vMerge w:val="continue"/>
                  <w:vAlign w:val="center"/>
                </w:tcPr>
                <w:p w14:paraId="46CC4938">
                  <w:pPr>
                    <w:pStyle w:val="49"/>
                    <w:rPr>
                      <w:color w:val="000000" w:themeColor="text1"/>
                      <w14:textFill>
                        <w14:solidFill>
                          <w14:schemeClr w14:val="tx1"/>
                        </w14:solidFill>
                      </w14:textFill>
                    </w:rPr>
                  </w:pPr>
                </w:p>
              </w:tc>
              <w:tc>
                <w:tcPr>
                  <w:tcW w:w="482" w:type="pct"/>
                  <w:vMerge w:val="continue"/>
                  <w:tcBorders>
                    <w:left w:val="single" w:color="auto" w:sz="6" w:space="0"/>
                  </w:tcBorders>
                  <w:shd w:val="clear" w:color="auto" w:fill="auto"/>
                  <w:vAlign w:val="center"/>
                </w:tcPr>
                <w:p w14:paraId="3C860F41">
                  <w:pPr>
                    <w:pStyle w:val="49"/>
                    <w:rPr>
                      <w:color w:val="000000" w:themeColor="text1"/>
                      <w14:textFill>
                        <w14:solidFill>
                          <w14:schemeClr w14:val="tx1"/>
                        </w14:solidFill>
                      </w14:textFill>
                    </w:rPr>
                  </w:pPr>
                </w:p>
              </w:tc>
              <w:tc>
                <w:tcPr>
                  <w:tcW w:w="516" w:type="pct"/>
                  <w:vMerge w:val="continue"/>
                  <w:tcBorders>
                    <w:left w:val="single" w:color="auto" w:sz="6" w:space="0"/>
                  </w:tcBorders>
                  <w:vAlign w:val="center"/>
                </w:tcPr>
                <w:p w14:paraId="3656276F">
                  <w:pPr>
                    <w:pStyle w:val="49"/>
                    <w:rPr>
                      <w:color w:val="000000" w:themeColor="text1"/>
                      <w14:textFill>
                        <w14:solidFill>
                          <w14:schemeClr w14:val="tx1"/>
                        </w14:solidFill>
                      </w14:textFill>
                    </w:rPr>
                  </w:pPr>
                </w:p>
              </w:tc>
              <w:tc>
                <w:tcPr>
                  <w:tcW w:w="576" w:type="pct"/>
                  <w:vMerge w:val="continue"/>
                  <w:tcBorders>
                    <w:left w:val="single" w:color="auto" w:sz="6" w:space="0"/>
                  </w:tcBorders>
                  <w:vAlign w:val="center"/>
                </w:tcPr>
                <w:p w14:paraId="49754EEA">
                  <w:pPr>
                    <w:pStyle w:val="49"/>
                    <w:rPr>
                      <w:color w:val="000000" w:themeColor="text1"/>
                      <w14:textFill>
                        <w14:solidFill>
                          <w14:schemeClr w14:val="tx1"/>
                        </w14:solidFill>
                      </w14:textFill>
                    </w:rPr>
                  </w:pPr>
                </w:p>
              </w:tc>
              <w:tc>
                <w:tcPr>
                  <w:tcW w:w="648" w:type="pct"/>
                  <w:vMerge w:val="continue"/>
                  <w:vAlign w:val="center"/>
                </w:tcPr>
                <w:p w14:paraId="52DF9276">
                  <w:pPr>
                    <w:pStyle w:val="49"/>
                    <w:rPr>
                      <w:color w:val="000000" w:themeColor="text1"/>
                      <w14:textFill>
                        <w14:solidFill>
                          <w14:schemeClr w14:val="tx1"/>
                        </w14:solidFill>
                      </w14:textFill>
                    </w:rPr>
                  </w:pPr>
                </w:p>
              </w:tc>
              <w:tc>
                <w:tcPr>
                  <w:tcW w:w="1566" w:type="pct"/>
                  <w:shd w:val="clear" w:color="auto" w:fill="auto"/>
                  <w:vAlign w:val="center"/>
                </w:tcPr>
                <w:p w14:paraId="7C02BAF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20" w:type="pct"/>
                  <w:shd w:val="clear" w:color="auto" w:fill="auto"/>
                  <w:vAlign w:val="center"/>
                </w:tcPr>
                <w:p w14:paraId="2A32AB3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r>
            <w:tr w14:paraId="53A0D58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vAlign w:val="center"/>
                </w:tcPr>
                <w:p w14:paraId="1322EC20">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4</w:t>
                  </w:r>
                </w:p>
              </w:tc>
              <w:tc>
                <w:tcPr>
                  <w:tcW w:w="458" w:type="pct"/>
                  <w:vMerge w:val="restart"/>
                  <w:vAlign w:val="center"/>
                </w:tcPr>
                <w:p w14:paraId="0BB2CCC7">
                  <w:pPr>
                    <w:pStyle w:val="49"/>
                    <w:rPr>
                      <w:color w:val="000000" w:themeColor="text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4</w:t>
                  </w:r>
                </w:p>
              </w:tc>
              <w:tc>
                <w:tcPr>
                  <w:tcW w:w="482" w:type="pct"/>
                  <w:vMerge w:val="restart"/>
                  <w:tcBorders>
                    <w:left w:val="single" w:color="auto" w:sz="6" w:space="0"/>
                  </w:tcBorders>
                  <w:shd w:val="clear" w:color="auto" w:fill="auto"/>
                  <w:vAlign w:val="center"/>
                </w:tcPr>
                <w:p w14:paraId="500964C1">
                  <w:pPr>
                    <w:jc w:val="center"/>
                    <w:outlineLvl w:val="9"/>
                    <w:rPr>
                      <w:color w:val="000000" w:themeColor="text1"/>
                      <w14:textFill>
                        <w14:solidFill>
                          <w14:schemeClr w14:val="tx1"/>
                        </w14:solidFill>
                      </w14:textFill>
                    </w:rPr>
                  </w:pPr>
                  <w:bookmarkStart w:id="129" w:name="_Toc20361"/>
                  <w:r>
                    <w:rPr>
                      <w:color w:val="000000" w:themeColor="text1"/>
                      <w:szCs w:val="21"/>
                      <w14:textFill>
                        <w14:solidFill>
                          <w14:schemeClr w14:val="tx1"/>
                        </w14:solidFill>
                      </w14:textFill>
                    </w:rPr>
                    <w:t>颗粒物</w:t>
                  </w:r>
                  <w:bookmarkEnd w:id="129"/>
                </w:p>
              </w:tc>
              <w:tc>
                <w:tcPr>
                  <w:tcW w:w="516" w:type="pct"/>
                  <w:vMerge w:val="restart"/>
                  <w:tcBorders>
                    <w:left w:val="single" w:color="auto" w:sz="6" w:space="0"/>
                  </w:tcBorders>
                  <w:vAlign w:val="center"/>
                </w:tcPr>
                <w:p w14:paraId="3159C24E">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576" w:type="pct"/>
                  <w:vMerge w:val="restart"/>
                  <w:tcBorders>
                    <w:left w:val="single" w:color="auto" w:sz="6" w:space="0"/>
                  </w:tcBorders>
                  <w:vAlign w:val="center"/>
                </w:tcPr>
                <w:p w14:paraId="27C0DD5A">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648" w:type="pct"/>
                  <w:vMerge w:val="restart"/>
                  <w:vAlign w:val="center"/>
                </w:tcPr>
                <w:p w14:paraId="1977CEA2">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4.640</w:t>
                  </w:r>
                </w:p>
              </w:tc>
              <w:tc>
                <w:tcPr>
                  <w:tcW w:w="1566" w:type="pct"/>
                  <w:shd w:val="clear" w:color="auto" w:fill="auto"/>
                  <w:vAlign w:val="center"/>
                </w:tcPr>
                <w:p w14:paraId="6424252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20" w:type="pct"/>
                  <w:shd w:val="clear" w:color="auto" w:fill="auto"/>
                  <w:vAlign w:val="center"/>
                </w:tcPr>
                <w:p w14:paraId="1995573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r>
            <w:tr w14:paraId="543E935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4980C70E">
                  <w:pPr>
                    <w:pStyle w:val="49"/>
                    <w:rPr>
                      <w:color w:val="000000" w:themeColor="text1"/>
                      <w14:textFill>
                        <w14:solidFill>
                          <w14:schemeClr w14:val="tx1"/>
                        </w14:solidFill>
                      </w14:textFill>
                    </w:rPr>
                  </w:pPr>
                </w:p>
              </w:tc>
              <w:tc>
                <w:tcPr>
                  <w:tcW w:w="458" w:type="pct"/>
                  <w:vMerge w:val="continue"/>
                  <w:vAlign w:val="center"/>
                </w:tcPr>
                <w:p w14:paraId="6C5897EF">
                  <w:pPr>
                    <w:pStyle w:val="49"/>
                    <w:rPr>
                      <w:color w:val="000000" w:themeColor="text1"/>
                      <w14:textFill>
                        <w14:solidFill>
                          <w14:schemeClr w14:val="tx1"/>
                        </w14:solidFill>
                      </w14:textFill>
                    </w:rPr>
                  </w:pPr>
                </w:p>
              </w:tc>
              <w:tc>
                <w:tcPr>
                  <w:tcW w:w="482" w:type="pct"/>
                  <w:vMerge w:val="continue"/>
                  <w:tcBorders>
                    <w:left w:val="single" w:color="auto" w:sz="6" w:space="0"/>
                  </w:tcBorders>
                  <w:shd w:val="clear" w:color="auto" w:fill="auto"/>
                  <w:vAlign w:val="center"/>
                </w:tcPr>
                <w:p w14:paraId="02285B3B">
                  <w:pPr>
                    <w:pStyle w:val="49"/>
                    <w:rPr>
                      <w:color w:val="000000" w:themeColor="text1"/>
                      <w14:textFill>
                        <w14:solidFill>
                          <w14:schemeClr w14:val="tx1"/>
                        </w14:solidFill>
                      </w14:textFill>
                    </w:rPr>
                  </w:pPr>
                </w:p>
              </w:tc>
              <w:tc>
                <w:tcPr>
                  <w:tcW w:w="516" w:type="pct"/>
                  <w:vMerge w:val="continue"/>
                  <w:tcBorders>
                    <w:left w:val="single" w:color="auto" w:sz="6" w:space="0"/>
                  </w:tcBorders>
                  <w:vAlign w:val="center"/>
                </w:tcPr>
                <w:p w14:paraId="0E11BAD1">
                  <w:pPr>
                    <w:pStyle w:val="49"/>
                    <w:rPr>
                      <w:color w:val="000000" w:themeColor="text1"/>
                      <w14:textFill>
                        <w14:solidFill>
                          <w14:schemeClr w14:val="tx1"/>
                        </w14:solidFill>
                      </w14:textFill>
                    </w:rPr>
                  </w:pPr>
                </w:p>
              </w:tc>
              <w:tc>
                <w:tcPr>
                  <w:tcW w:w="576" w:type="pct"/>
                  <w:vMerge w:val="continue"/>
                  <w:tcBorders>
                    <w:left w:val="single" w:color="auto" w:sz="6" w:space="0"/>
                  </w:tcBorders>
                  <w:vAlign w:val="center"/>
                </w:tcPr>
                <w:p w14:paraId="06B67717">
                  <w:pPr>
                    <w:pStyle w:val="49"/>
                    <w:rPr>
                      <w:color w:val="000000" w:themeColor="text1"/>
                      <w14:textFill>
                        <w14:solidFill>
                          <w14:schemeClr w14:val="tx1"/>
                        </w14:solidFill>
                      </w14:textFill>
                    </w:rPr>
                  </w:pPr>
                </w:p>
              </w:tc>
              <w:tc>
                <w:tcPr>
                  <w:tcW w:w="648" w:type="pct"/>
                  <w:vMerge w:val="continue"/>
                  <w:vAlign w:val="center"/>
                </w:tcPr>
                <w:p w14:paraId="5319D7AE">
                  <w:pPr>
                    <w:pStyle w:val="49"/>
                    <w:rPr>
                      <w:color w:val="000000" w:themeColor="text1"/>
                      <w14:textFill>
                        <w14:solidFill>
                          <w14:schemeClr w14:val="tx1"/>
                        </w14:solidFill>
                      </w14:textFill>
                    </w:rPr>
                  </w:pPr>
                </w:p>
              </w:tc>
              <w:tc>
                <w:tcPr>
                  <w:tcW w:w="1566" w:type="pct"/>
                  <w:shd w:val="clear" w:color="auto" w:fill="auto"/>
                  <w:vAlign w:val="center"/>
                </w:tcPr>
                <w:p w14:paraId="6381C87F">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20" w:type="pct"/>
                  <w:shd w:val="clear" w:color="auto" w:fill="auto"/>
                  <w:vAlign w:val="center"/>
                </w:tcPr>
                <w:p w14:paraId="2862497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r>
            <w:tr w14:paraId="08B97F8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1A886650">
                  <w:pPr>
                    <w:pStyle w:val="49"/>
                    <w:rPr>
                      <w:color w:val="000000" w:themeColor="text1"/>
                      <w14:textFill>
                        <w14:solidFill>
                          <w14:schemeClr w14:val="tx1"/>
                        </w14:solidFill>
                      </w14:textFill>
                    </w:rPr>
                  </w:pPr>
                </w:p>
              </w:tc>
              <w:tc>
                <w:tcPr>
                  <w:tcW w:w="458" w:type="pct"/>
                  <w:vMerge w:val="continue"/>
                  <w:vAlign w:val="center"/>
                </w:tcPr>
                <w:p w14:paraId="605DB0EE">
                  <w:pPr>
                    <w:pStyle w:val="49"/>
                    <w:rPr>
                      <w:color w:val="000000" w:themeColor="text1"/>
                      <w14:textFill>
                        <w14:solidFill>
                          <w14:schemeClr w14:val="tx1"/>
                        </w14:solidFill>
                      </w14:textFill>
                    </w:rPr>
                  </w:pPr>
                </w:p>
              </w:tc>
              <w:tc>
                <w:tcPr>
                  <w:tcW w:w="482" w:type="pct"/>
                  <w:vMerge w:val="restart"/>
                  <w:tcBorders>
                    <w:left w:val="single" w:color="auto" w:sz="6" w:space="0"/>
                  </w:tcBorders>
                  <w:shd w:val="clear" w:color="auto" w:fill="auto"/>
                  <w:vAlign w:val="center"/>
                </w:tcPr>
                <w:p w14:paraId="484FAD88">
                  <w:pPr>
                    <w:jc w:val="center"/>
                    <w:outlineLvl w:val="9"/>
                    <w:rPr>
                      <w:color w:val="000000" w:themeColor="text1"/>
                      <w14:textFill>
                        <w14:solidFill>
                          <w14:schemeClr w14:val="tx1"/>
                        </w14:solidFill>
                      </w14:textFill>
                    </w:rPr>
                  </w:pPr>
                  <w:bookmarkStart w:id="130" w:name="_Toc28111"/>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bookmarkEnd w:id="130"/>
                </w:p>
              </w:tc>
              <w:tc>
                <w:tcPr>
                  <w:tcW w:w="516" w:type="pct"/>
                  <w:vMerge w:val="restart"/>
                  <w:tcBorders>
                    <w:left w:val="single" w:color="auto" w:sz="6" w:space="0"/>
                  </w:tcBorders>
                  <w:vAlign w:val="center"/>
                </w:tcPr>
                <w:p w14:paraId="1DD19C80">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576" w:type="pct"/>
                  <w:vMerge w:val="restart"/>
                  <w:tcBorders>
                    <w:left w:val="single" w:color="auto" w:sz="6" w:space="0"/>
                  </w:tcBorders>
                  <w:vAlign w:val="center"/>
                </w:tcPr>
                <w:p w14:paraId="1A53CFC7">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648" w:type="pct"/>
                  <w:vMerge w:val="restart"/>
                  <w:vAlign w:val="center"/>
                </w:tcPr>
                <w:p w14:paraId="5649E861">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3.712</w:t>
                  </w:r>
                </w:p>
              </w:tc>
              <w:tc>
                <w:tcPr>
                  <w:tcW w:w="1566" w:type="pct"/>
                  <w:shd w:val="clear" w:color="auto" w:fill="auto"/>
                  <w:vAlign w:val="center"/>
                </w:tcPr>
                <w:p w14:paraId="6409CC3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20" w:type="pct"/>
                  <w:shd w:val="clear" w:color="auto" w:fill="auto"/>
                  <w:vAlign w:val="center"/>
                </w:tcPr>
                <w:p w14:paraId="514EDEE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r>
            <w:tr w14:paraId="60560AB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1299E26D">
                  <w:pPr>
                    <w:pStyle w:val="49"/>
                    <w:rPr>
                      <w:color w:val="000000" w:themeColor="text1"/>
                      <w14:textFill>
                        <w14:solidFill>
                          <w14:schemeClr w14:val="tx1"/>
                        </w14:solidFill>
                      </w14:textFill>
                    </w:rPr>
                  </w:pPr>
                </w:p>
              </w:tc>
              <w:tc>
                <w:tcPr>
                  <w:tcW w:w="458" w:type="pct"/>
                  <w:vMerge w:val="continue"/>
                  <w:vAlign w:val="center"/>
                </w:tcPr>
                <w:p w14:paraId="75CA2D02">
                  <w:pPr>
                    <w:pStyle w:val="49"/>
                    <w:rPr>
                      <w:color w:val="000000" w:themeColor="text1"/>
                      <w14:textFill>
                        <w14:solidFill>
                          <w14:schemeClr w14:val="tx1"/>
                        </w14:solidFill>
                      </w14:textFill>
                    </w:rPr>
                  </w:pPr>
                </w:p>
              </w:tc>
              <w:tc>
                <w:tcPr>
                  <w:tcW w:w="482" w:type="pct"/>
                  <w:vMerge w:val="continue"/>
                  <w:tcBorders>
                    <w:left w:val="single" w:color="auto" w:sz="6" w:space="0"/>
                  </w:tcBorders>
                  <w:shd w:val="clear" w:color="auto" w:fill="auto"/>
                  <w:vAlign w:val="center"/>
                </w:tcPr>
                <w:p w14:paraId="7238356C">
                  <w:pPr>
                    <w:pStyle w:val="49"/>
                    <w:rPr>
                      <w:color w:val="000000" w:themeColor="text1"/>
                      <w:szCs w:val="21"/>
                      <w14:textFill>
                        <w14:solidFill>
                          <w14:schemeClr w14:val="tx1"/>
                        </w14:solidFill>
                      </w14:textFill>
                    </w:rPr>
                  </w:pPr>
                </w:p>
              </w:tc>
              <w:tc>
                <w:tcPr>
                  <w:tcW w:w="516" w:type="pct"/>
                  <w:vMerge w:val="continue"/>
                  <w:tcBorders>
                    <w:left w:val="single" w:color="auto" w:sz="6" w:space="0"/>
                  </w:tcBorders>
                  <w:vAlign w:val="center"/>
                </w:tcPr>
                <w:p w14:paraId="43508E65">
                  <w:pPr>
                    <w:pStyle w:val="49"/>
                    <w:rPr>
                      <w:color w:val="000000" w:themeColor="text1"/>
                      <w:kern w:val="0"/>
                      <w:szCs w:val="21"/>
                      <w:lang w:bidi="ar"/>
                      <w14:textFill>
                        <w14:solidFill>
                          <w14:schemeClr w14:val="tx1"/>
                        </w14:solidFill>
                      </w14:textFill>
                    </w:rPr>
                  </w:pPr>
                </w:p>
              </w:tc>
              <w:tc>
                <w:tcPr>
                  <w:tcW w:w="576" w:type="pct"/>
                  <w:vMerge w:val="continue"/>
                  <w:tcBorders>
                    <w:left w:val="single" w:color="auto" w:sz="6" w:space="0"/>
                  </w:tcBorders>
                  <w:vAlign w:val="center"/>
                </w:tcPr>
                <w:p w14:paraId="26019332">
                  <w:pPr>
                    <w:pStyle w:val="49"/>
                    <w:rPr>
                      <w:color w:val="000000" w:themeColor="text1"/>
                      <w:kern w:val="0"/>
                      <w:szCs w:val="21"/>
                      <w:lang w:bidi="ar"/>
                      <w14:textFill>
                        <w14:solidFill>
                          <w14:schemeClr w14:val="tx1"/>
                        </w14:solidFill>
                      </w14:textFill>
                    </w:rPr>
                  </w:pPr>
                </w:p>
              </w:tc>
              <w:tc>
                <w:tcPr>
                  <w:tcW w:w="648" w:type="pct"/>
                  <w:vMerge w:val="continue"/>
                  <w:vAlign w:val="center"/>
                </w:tcPr>
                <w:p w14:paraId="06375EB4">
                  <w:pPr>
                    <w:pStyle w:val="49"/>
                    <w:rPr>
                      <w:color w:val="000000" w:themeColor="text1"/>
                      <w:kern w:val="0"/>
                      <w:szCs w:val="21"/>
                      <w:lang w:bidi="ar"/>
                      <w14:textFill>
                        <w14:solidFill>
                          <w14:schemeClr w14:val="tx1"/>
                        </w14:solidFill>
                      </w14:textFill>
                    </w:rPr>
                  </w:pPr>
                </w:p>
              </w:tc>
              <w:tc>
                <w:tcPr>
                  <w:tcW w:w="1566" w:type="pct"/>
                  <w:shd w:val="clear" w:color="auto" w:fill="auto"/>
                  <w:vAlign w:val="center"/>
                </w:tcPr>
                <w:p w14:paraId="3D118476">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20" w:type="pct"/>
                  <w:shd w:val="clear" w:color="auto" w:fill="auto"/>
                  <w:vAlign w:val="center"/>
                </w:tcPr>
                <w:p w14:paraId="42414D0A">
                  <w:pPr>
                    <w:jc w:val="center"/>
                    <w:rPr>
                      <w:rStyle w:val="30"/>
                      <w:color w:val="000000" w:themeColor="text1"/>
                      <w14:textFill>
                        <w14:solidFill>
                          <w14:schemeClr w14:val="tx1"/>
                        </w14:solidFill>
                      </w14:textFill>
                    </w:rPr>
                  </w:pPr>
                  <w:r>
                    <w:rPr>
                      <w:rFonts w:hint="eastAsia"/>
                      <w:color w:val="000000" w:themeColor="text1"/>
                      <w:szCs w:val="21"/>
                      <w14:textFill>
                        <w14:solidFill>
                          <w14:schemeClr w14:val="tx1"/>
                        </w14:solidFill>
                      </w14:textFill>
                    </w:rPr>
                    <w:t>10</w:t>
                  </w:r>
                </w:p>
              </w:tc>
            </w:tr>
            <w:tr w14:paraId="7947C12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0BC371C8">
                  <w:pPr>
                    <w:pStyle w:val="49"/>
                    <w:rPr>
                      <w:color w:val="000000" w:themeColor="text1"/>
                      <w14:textFill>
                        <w14:solidFill>
                          <w14:schemeClr w14:val="tx1"/>
                        </w14:solidFill>
                      </w14:textFill>
                    </w:rPr>
                  </w:pPr>
                </w:p>
              </w:tc>
              <w:tc>
                <w:tcPr>
                  <w:tcW w:w="458" w:type="pct"/>
                  <w:vMerge w:val="continue"/>
                  <w:vAlign w:val="center"/>
                </w:tcPr>
                <w:p w14:paraId="0394A30E">
                  <w:pPr>
                    <w:pStyle w:val="49"/>
                    <w:rPr>
                      <w:color w:val="000000" w:themeColor="text1"/>
                      <w14:textFill>
                        <w14:solidFill>
                          <w14:schemeClr w14:val="tx1"/>
                        </w14:solidFill>
                      </w14:textFill>
                    </w:rPr>
                  </w:pPr>
                </w:p>
              </w:tc>
              <w:tc>
                <w:tcPr>
                  <w:tcW w:w="482" w:type="pct"/>
                  <w:vMerge w:val="restart"/>
                  <w:tcBorders>
                    <w:left w:val="single" w:color="auto" w:sz="6" w:space="0"/>
                  </w:tcBorders>
                  <w:shd w:val="clear" w:color="auto" w:fill="auto"/>
                  <w:vAlign w:val="center"/>
                </w:tcPr>
                <w:p w14:paraId="4B18CD60">
                  <w:pPr>
                    <w:jc w:val="center"/>
                    <w:outlineLvl w:val="9"/>
                    <w:rPr>
                      <w:color w:val="000000" w:themeColor="text1"/>
                      <w:szCs w:val="21"/>
                      <w14:textFill>
                        <w14:solidFill>
                          <w14:schemeClr w14:val="tx1"/>
                        </w14:solidFill>
                      </w14:textFill>
                    </w:rPr>
                  </w:pPr>
                  <w:bookmarkStart w:id="131" w:name="_Toc21919"/>
                  <w:r>
                    <w:rPr>
                      <w:rFonts w:hint="eastAsia"/>
                      <w:color w:val="000000" w:themeColor="text1"/>
                      <w:szCs w:val="21"/>
                      <w14:textFill>
                        <w14:solidFill>
                          <w14:schemeClr w14:val="tx1"/>
                        </w14:solidFill>
                      </w14:textFill>
                    </w:rPr>
                    <w:t>NOx</w:t>
                  </w:r>
                  <w:bookmarkEnd w:id="131"/>
                </w:p>
              </w:tc>
              <w:tc>
                <w:tcPr>
                  <w:tcW w:w="516" w:type="pct"/>
                  <w:vMerge w:val="restart"/>
                  <w:tcBorders>
                    <w:left w:val="single" w:color="auto" w:sz="6" w:space="0"/>
                  </w:tcBorders>
                  <w:vAlign w:val="center"/>
                </w:tcPr>
                <w:p w14:paraId="37F41022">
                  <w:pPr>
                    <w:widowControl/>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0.011</w:t>
                  </w:r>
                </w:p>
              </w:tc>
              <w:tc>
                <w:tcPr>
                  <w:tcW w:w="576" w:type="pct"/>
                  <w:vMerge w:val="restart"/>
                  <w:tcBorders>
                    <w:left w:val="single" w:color="auto" w:sz="6" w:space="0"/>
                  </w:tcBorders>
                  <w:vAlign w:val="center"/>
                </w:tcPr>
                <w:p w14:paraId="7448FC53">
                  <w:pPr>
                    <w:widowControl/>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0.012</w:t>
                  </w:r>
                </w:p>
              </w:tc>
              <w:tc>
                <w:tcPr>
                  <w:tcW w:w="648" w:type="pct"/>
                  <w:vMerge w:val="restart"/>
                  <w:vAlign w:val="center"/>
                </w:tcPr>
                <w:p w14:paraId="6699E1B4">
                  <w:pPr>
                    <w:widowControl/>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28.120</w:t>
                  </w:r>
                </w:p>
              </w:tc>
              <w:tc>
                <w:tcPr>
                  <w:tcW w:w="1566" w:type="pct"/>
                  <w:shd w:val="clear" w:color="auto" w:fill="auto"/>
                  <w:vAlign w:val="center"/>
                </w:tcPr>
                <w:p w14:paraId="72294C6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c>
                <w:tcPr>
                  <w:tcW w:w="520" w:type="pct"/>
                  <w:shd w:val="clear" w:color="auto" w:fill="auto"/>
                  <w:vAlign w:val="center"/>
                </w:tcPr>
                <w:p w14:paraId="6E14408D">
                  <w:pPr>
                    <w:jc w:val="center"/>
                    <w:rPr>
                      <w:rStyle w:val="30"/>
                      <w:color w:val="000000" w:themeColor="text1"/>
                      <w14:textFill>
                        <w14:solidFill>
                          <w14:schemeClr w14:val="tx1"/>
                        </w14:solidFill>
                      </w14:textFill>
                    </w:rPr>
                  </w:pPr>
                  <w:r>
                    <w:rPr>
                      <w:rFonts w:hint="eastAsia"/>
                      <w:color w:val="000000" w:themeColor="text1"/>
                      <w:szCs w:val="21"/>
                      <w14:textFill>
                        <w14:solidFill>
                          <w14:schemeClr w14:val="tx1"/>
                        </w14:solidFill>
                      </w14:textFill>
                    </w:rPr>
                    <w:t>30</w:t>
                  </w:r>
                </w:p>
              </w:tc>
            </w:tr>
            <w:tr w14:paraId="70026D6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784D9044">
                  <w:pPr>
                    <w:pStyle w:val="49"/>
                    <w:rPr>
                      <w:color w:val="000000" w:themeColor="text1"/>
                      <w14:textFill>
                        <w14:solidFill>
                          <w14:schemeClr w14:val="tx1"/>
                        </w14:solidFill>
                      </w14:textFill>
                    </w:rPr>
                  </w:pPr>
                </w:p>
              </w:tc>
              <w:tc>
                <w:tcPr>
                  <w:tcW w:w="458" w:type="pct"/>
                  <w:vMerge w:val="continue"/>
                  <w:vAlign w:val="center"/>
                </w:tcPr>
                <w:p w14:paraId="183467F9">
                  <w:pPr>
                    <w:pStyle w:val="49"/>
                    <w:rPr>
                      <w:color w:val="000000" w:themeColor="text1"/>
                      <w14:textFill>
                        <w14:solidFill>
                          <w14:schemeClr w14:val="tx1"/>
                        </w14:solidFill>
                      </w14:textFill>
                    </w:rPr>
                  </w:pPr>
                </w:p>
              </w:tc>
              <w:tc>
                <w:tcPr>
                  <w:tcW w:w="482" w:type="pct"/>
                  <w:vMerge w:val="continue"/>
                  <w:tcBorders>
                    <w:left w:val="single" w:color="auto" w:sz="6" w:space="0"/>
                  </w:tcBorders>
                  <w:shd w:val="clear" w:color="auto" w:fill="auto"/>
                  <w:vAlign w:val="center"/>
                </w:tcPr>
                <w:p w14:paraId="336AA3D9">
                  <w:pPr>
                    <w:pStyle w:val="49"/>
                    <w:rPr>
                      <w:color w:val="000000" w:themeColor="text1"/>
                      <w:szCs w:val="21"/>
                      <w14:textFill>
                        <w14:solidFill>
                          <w14:schemeClr w14:val="tx1"/>
                        </w14:solidFill>
                      </w14:textFill>
                    </w:rPr>
                  </w:pPr>
                </w:p>
              </w:tc>
              <w:tc>
                <w:tcPr>
                  <w:tcW w:w="516" w:type="pct"/>
                  <w:vMerge w:val="continue"/>
                  <w:tcBorders>
                    <w:left w:val="single" w:color="auto" w:sz="6" w:space="0"/>
                  </w:tcBorders>
                  <w:vAlign w:val="center"/>
                </w:tcPr>
                <w:p w14:paraId="779DF2A9">
                  <w:pPr>
                    <w:pStyle w:val="49"/>
                    <w:rPr>
                      <w:color w:val="000000" w:themeColor="text1"/>
                      <w:kern w:val="0"/>
                      <w:szCs w:val="21"/>
                      <w:lang w:bidi="ar"/>
                      <w14:textFill>
                        <w14:solidFill>
                          <w14:schemeClr w14:val="tx1"/>
                        </w14:solidFill>
                      </w14:textFill>
                    </w:rPr>
                  </w:pPr>
                </w:p>
              </w:tc>
              <w:tc>
                <w:tcPr>
                  <w:tcW w:w="576" w:type="pct"/>
                  <w:vMerge w:val="continue"/>
                  <w:tcBorders>
                    <w:left w:val="single" w:color="auto" w:sz="6" w:space="0"/>
                  </w:tcBorders>
                  <w:vAlign w:val="center"/>
                </w:tcPr>
                <w:p w14:paraId="10C75482">
                  <w:pPr>
                    <w:pStyle w:val="49"/>
                    <w:rPr>
                      <w:color w:val="000000" w:themeColor="text1"/>
                      <w:kern w:val="0"/>
                      <w:szCs w:val="21"/>
                      <w:lang w:bidi="ar"/>
                      <w14:textFill>
                        <w14:solidFill>
                          <w14:schemeClr w14:val="tx1"/>
                        </w14:solidFill>
                      </w14:textFill>
                    </w:rPr>
                  </w:pPr>
                </w:p>
              </w:tc>
              <w:tc>
                <w:tcPr>
                  <w:tcW w:w="648" w:type="pct"/>
                  <w:vMerge w:val="continue"/>
                  <w:vAlign w:val="center"/>
                </w:tcPr>
                <w:p w14:paraId="2A05748D">
                  <w:pPr>
                    <w:pStyle w:val="49"/>
                    <w:rPr>
                      <w:color w:val="000000" w:themeColor="text1"/>
                      <w:kern w:val="0"/>
                      <w:szCs w:val="21"/>
                      <w:lang w:bidi="ar"/>
                      <w14:textFill>
                        <w14:solidFill>
                          <w14:schemeClr w14:val="tx1"/>
                        </w14:solidFill>
                      </w14:textFill>
                    </w:rPr>
                  </w:pPr>
                </w:p>
              </w:tc>
              <w:tc>
                <w:tcPr>
                  <w:tcW w:w="1566" w:type="pct"/>
                  <w:shd w:val="clear" w:color="auto" w:fill="auto"/>
                  <w:vAlign w:val="center"/>
                </w:tcPr>
                <w:p w14:paraId="4CA043B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c>
                <w:tcPr>
                  <w:tcW w:w="520" w:type="pct"/>
                  <w:shd w:val="clear" w:color="auto" w:fill="auto"/>
                  <w:vAlign w:val="center"/>
                </w:tcPr>
                <w:p w14:paraId="2830A984">
                  <w:pPr>
                    <w:jc w:val="center"/>
                    <w:rPr>
                      <w:rStyle w:val="30"/>
                      <w:color w:val="000000" w:themeColor="text1"/>
                      <w14:textFill>
                        <w14:solidFill>
                          <w14:schemeClr w14:val="tx1"/>
                        </w14:solidFill>
                      </w14:textFill>
                    </w:rPr>
                  </w:pPr>
                  <w:r>
                    <w:rPr>
                      <w:rFonts w:hint="eastAsia"/>
                      <w:color w:val="000000" w:themeColor="text1"/>
                      <w:szCs w:val="21"/>
                      <w14:textFill>
                        <w14:solidFill>
                          <w14:schemeClr w14:val="tx1"/>
                        </w14:solidFill>
                      </w14:textFill>
                    </w:rPr>
                    <w:t>30</w:t>
                  </w:r>
                </w:p>
              </w:tc>
            </w:tr>
            <w:tr w14:paraId="0CD2C63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vAlign w:val="center"/>
                </w:tcPr>
                <w:p w14:paraId="70D9B371">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5</w:t>
                  </w:r>
                </w:p>
              </w:tc>
              <w:tc>
                <w:tcPr>
                  <w:tcW w:w="458" w:type="pct"/>
                  <w:vMerge w:val="restart"/>
                  <w:vAlign w:val="center"/>
                </w:tcPr>
                <w:p w14:paraId="26BBB200">
                  <w:pPr>
                    <w:pStyle w:val="49"/>
                    <w:rPr>
                      <w:color w:val="000000" w:themeColor="text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5</w:t>
                  </w:r>
                </w:p>
              </w:tc>
              <w:tc>
                <w:tcPr>
                  <w:tcW w:w="482" w:type="pct"/>
                  <w:vMerge w:val="restart"/>
                  <w:tcBorders>
                    <w:left w:val="single" w:color="auto" w:sz="6" w:space="0"/>
                  </w:tcBorders>
                  <w:shd w:val="clear" w:color="auto" w:fill="auto"/>
                  <w:vAlign w:val="center"/>
                </w:tcPr>
                <w:p w14:paraId="2EBA8D3C">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516" w:type="pct"/>
                  <w:vMerge w:val="restart"/>
                  <w:tcBorders>
                    <w:left w:val="single" w:color="auto" w:sz="6" w:space="0"/>
                  </w:tcBorders>
                  <w:shd w:val="clear" w:color="auto" w:fill="auto"/>
                  <w:vAlign w:val="center"/>
                </w:tcPr>
                <w:p w14:paraId="70669BAB">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576" w:type="pct"/>
                  <w:vMerge w:val="restart"/>
                  <w:tcBorders>
                    <w:left w:val="single" w:color="auto" w:sz="6" w:space="0"/>
                  </w:tcBorders>
                  <w:shd w:val="clear" w:color="auto" w:fill="auto"/>
                  <w:vAlign w:val="center"/>
                </w:tcPr>
                <w:p w14:paraId="5EB6D161">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0.002</w:t>
                  </w:r>
                </w:p>
              </w:tc>
              <w:tc>
                <w:tcPr>
                  <w:tcW w:w="648" w:type="pct"/>
                  <w:vMerge w:val="restart"/>
                  <w:shd w:val="clear" w:color="auto" w:fill="auto"/>
                  <w:vAlign w:val="center"/>
                </w:tcPr>
                <w:p w14:paraId="47582714">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2.2</w:t>
                  </w:r>
                </w:p>
              </w:tc>
              <w:tc>
                <w:tcPr>
                  <w:tcW w:w="1566" w:type="pct"/>
                  <w:shd w:val="clear" w:color="auto" w:fill="auto"/>
                  <w:vAlign w:val="center"/>
                </w:tcPr>
                <w:p w14:paraId="5F9A8F96">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c>
                <w:tcPr>
                  <w:tcW w:w="520" w:type="pct"/>
                  <w:shd w:val="clear" w:color="auto" w:fill="auto"/>
                  <w:vAlign w:val="center"/>
                </w:tcPr>
                <w:p w14:paraId="30D434E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120</w:t>
                  </w:r>
                </w:p>
              </w:tc>
            </w:tr>
            <w:tr w14:paraId="3FAC06D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4C2F3351">
                  <w:pPr>
                    <w:pStyle w:val="49"/>
                    <w:rPr>
                      <w:color w:val="000000" w:themeColor="text1"/>
                      <w14:textFill>
                        <w14:solidFill>
                          <w14:schemeClr w14:val="tx1"/>
                        </w14:solidFill>
                      </w14:textFill>
                    </w:rPr>
                  </w:pPr>
                </w:p>
              </w:tc>
              <w:tc>
                <w:tcPr>
                  <w:tcW w:w="458" w:type="pct"/>
                  <w:vMerge w:val="continue"/>
                  <w:vAlign w:val="center"/>
                </w:tcPr>
                <w:p w14:paraId="258866B7">
                  <w:pPr>
                    <w:pStyle w:val="49"/>
                    <w:rPr>
                      <w:color w:val="000000" w:themeColor="text1"/>
                      <w:szCs w:val="21"/>
                      <w14:textFill>
                        <w14:solidFill>
                          <w14:schemeClr w14:val="tx1"/>
                        </w14:solidFill>
                      </w14:textFill>
                    </w:rPr>
                  </w:pPr>
                </w:p>
              </w:tc>
              <w:tc>
                <w:tcPr>
                  <w:tcW w:w="482" w:type="pct"/>
                  <w:vMerge w:val="continue"/>
                  <w:tcBorders>
                    <w:left w:val="single" w:color="auto" w:sz="6" w:space="0"/>
                  </w:tcBorders>
                  <w:shd w:val="clear" w:color="auto" w:fill="auto"/>
                  <w:vAlign w:val="center"/>
                </w:tcPr>
                <w:p w14:paraId="2678D3BD">
                  <w:pPr>
                    <w:pStyle w:val="49"/>
                    <w:rPr>
                      <w:color w:val="000000" w:themeColor="text1"/>
                      <w:szCs w:val="21"/>
                      <w14:textFill>
                        <w14:solidFill>
                          <w14:schemeClr w14:val="tx1"/>
                        </w14:solidFill>
                      </w14:textFill>
                    </w:rPr>
                  </w:pPr>
                </w:p>
              </w:tc>
              <w:tc>
                <w:tcPr>
                  <w:tcW w:w="516" w:type="pct"/>
                  <w:vMerge w:val="continue"/>
                  <w:tcBorders>
                    <w:left w:val="single" w:color="auto" w:sz="6" w:space="0"/>
                  </w:tcBorders>
                  <w:shd w:val="clear" w:color="auto" w:fill="auto"/>
                  <w:vAlign w:val="center"/>
                </w:tcPr>
                <w:p w14:paraId="0ECB9C03">
                  <w:pPr>
                    <w:pStyle w:val="49"/>
                    <w:rPr>
                      <w:color w:val="000000" w:themeColor="text1"/>
                      <w14:textFill>
                        <w14:solidFill>
                          <w14:schemeClr w14:val="tx1"/>
                        </w14:solidFill>
                      </w14:textFill>
                    </w:rPr>
                  </w:pPr>
                </w:p>
              </w:tc>
              <w:tc>
                <w:tcPr>
                  <w:tcW w:w="576" w:type="pct"/>
                  <w:vMerge w:val="continue"/>
                  <w:tcBorders>
                    <w:left w:val="single" w:color="auto" w:sz="6" w:space="0"/>
                  </w:tcBorders>
                  <w:shd w:val="clear" w:color="auto" w:fill="auto"/>
                  <w:vAlign w:val="center"/>
                </w:tcPr>
                <w:p w14:paraId="16180FED">
                  <w:pPr>
                    <w:pStyle w:val="49"/>
                    <w:rPr>
                      <w:color w:val="000000" w:themeColor="text1"/>
                      <w14:textFill>
                        <w14:solidFill>
                          <w14:schemeClr w14:val="tx1"/>
                        </w14:solidFill>
                      </w14:textFill>
                    </w:rPr>
                  </w:pPr>
                </w:p>
              </w:tc>
              <w:tc>
                <w:tcPr>
                  <w:tcW w:w="648" w:type="pct"/>
                  <w:vMerge w:val="continue"/>
                  <w:shd w:val="clear" w:color="auto" w:fill="auto"/>
                  <w:vAlign w:val="center"/>
                </w:tcPr>
                <w:p w14:paraId="0E33E268">
                  <w:pPr>
                    <w:pStyle w:val="49"/>
                    <w:rPr>
                      <w:color w:val="000000" w:themeColor="text1"/>
                      <w14:textFill>
                        <w14:solidFill>
                          <w14:schemeClr w14:val="tx1"/>
                        </w14:solidFill>
                      </w14:textFill>
                    </w:rPr>
                  </w:pPr>
                </w:p>
              </w:tc>
              <w:tc>
                <w:tcPr>
                  <w:tcW w:w="1566" w:type="pct"/>
                  <w:shd w:val="clear" w:color="auto" w:fill="auto"/>
                  <w:vAlign w:val="center"/>
                </w:tcPr>
                <w:p w14:paraId="6EF443E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w:t>
                  </w:r>
                  <w:r>
                    <w:rPr>
                      <w:bCs/>
                      <w:color w:val="000000" w:themeColor="text1"/>
                      <w:kern w:val="0"/>
                      <w:szCs w:val="21"/>
                      <w14:textFill>
                        <w14:solidFill>
                          <w14:schemeClr w14:val="tx1"/>
                        </w14:solidFill>
                      </w14:textFill>
                    </w:rPr>
                    <w:t>VOC</w:t>
                  </w:r>
                  <w:r>
                    <w:rPr>
                      <w:rFonts w:hint="eastAsia"/>
                      <w:bCs/>
                      <w:color w:val="000000" w:themeColor="text1"/>
                      <w:kern w:val="0"/>
                      <w:szCs w:val="21"/>
                      <w14:textFill>
                        <w14:solidFill>
                          <w14:schemeClr w14:val="tx1"/>
                        </w14:solidFill>
                      </w14:textFill>
                    </w:rPr>
                    <w:t>s</w:t>
                  </w:r>
                  <w:r>
                    <w:rPr>
                      <w:color w:val="000000" w:themeColor="text1"/>
                      <w:szCs w:val="21"/>
                      <w14:textFill>
                        <w14:solidFill>
                          <w14:schemeClr w14:val="tx1"/>
                        </w14:solidFill>
                      </w14:textFill>
                    </w:rPr>
                    <w:t>排放限值</w:t>
                  </w:r>
                </w:p>
              </w:tc>
              <w:tc>
                <w:tcPr>
                  <w:tcW w:w="520" w:type="pct"/>
                  <w:shd w:val="clear" w:color="auto" w:fill="auto"/>
                  <w:vAlign w:val="center"/>
                </w:tcPr>
                <w:p w14:paraId="51DF9AB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r>
            <w:tr w14:paraId="0DF291B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40AED2D9">
                  <w:pPr>
                    <w:jc w:val="center"/>
                    <w:rPr>
                      <w:color w:val="000000" w:themeColor="text1"/>
                      <w14:textFill>
                        <w14:solidFill>
                          <w14:schemeClr w14:val="tx1"/>
                        </w14:solidFill>
                      </w14:textFill>
                    </w:rPr>
                  </w:pPr>
                </w:p>
              </w:tc>
              <w:tc>
                <w:tcPr>
                  <w:tcW w:w="458" w:type="pct"/>
                  <w:vMerge w:val="continue"/>
                  <w:vAlign w:val="center"/>
                </w:tcPr>
                <w:p w14:paraId="5EE4D512">
                  <w:pPr>
                    <w:jc w:val="center"/>
                    <w:rPr>
                      <w:color w:val="000000" w:themeColor="text1"/>
                      <w14:textFill>
                        <w14:solidFill>
                          <w14:schemeClr w14:val="tx1"/>
                        </w14:solidFill>
                      </w14:textFill>
                    </w:rPr>
                  </w:pPr>
                </w:p>
              </w:tc>
              <w:tc>
                <w:tcPr>
                  <w:tcW w:w="482" w:type="pct"/>
                  <w:vMerge w:val="continue"/>
                  <w:tcBorders>
                    <w:left w:val="single" w:color="auto" w:sz="6" w:space="0"/>
                  </w:tcBorders>
                  <w:shd w:val="clear" w:color="auto" w:fill="auto"/>
                  <w:vAlign w:val="center"/>
                </w:tcPr>
                <w:p w14:paraId="389ACAFF">
                  <w:pPr>
                    <w:jc w:val="center"/>
                    <w:rPr>
                      <w:color w:val="000000" w:themeColor="text1"/>
                      <w14:textFill>
                        <w14:solidFill>
                          <w14:schemeClr w14:val="tx1"/>
                        </w14:solidFill>
                      </w14:textFill>
                    </w:rPr>
                  </w:pPr>
                </w:p>
              </w:tc>
              <w:tc>
                <w:tcPr>
                  <w:tcW w:w="516" w:type="pct"/>
                  <w:vMerge w:val="continue"/>
                  <w:tcBorders>
                    <w:left w:val="single" w:color="auto" w:sz="6" w:space="0"/>
                  </w:tcBorders>
                  <w:shd w:val="clear" w:color="auto" w:fill="auto"/>
                  <w:vAlign w:val="center"/>
                </w:tcPr>
                <w:p w14:paraId="6FA9C132">
                  <w:pPr>
                    <w:jc w:val="center"/>
                    <w:rPr>
                      <w:color w:val="000000" w:themeColor="text1"/>
                      <w14:textFill>
                        <w14:solidFill>
                          <w14:schemeClr w14:val="tx1"/>
                        </w14:solidFill>
                      </w14:textFill>
                    </w:rPr>
                  </w:pPr>
                </w:p>
              </w:tc>
              <w:tc>
                <w:tcPr>
                  <w:tcW w:w="576" w:type="pct"/>
                  <w:vMerge w:val="continue"/>
                  <w:tcBorders>
                    <w:left w:val="single" w:color="auto" w:sz="6" w:space="0"/>
                  </w:tcBorders>
                  <w:shd w:val="clear" w:color="auto" w:fill="auto"/>
                  <w:vAlign w:val="center"/>
                </w:tcPr>
                <w:p w14:paraId="6D775DCA">
                  <w:pPr>
                    <w:jc w:val="center"/>
                    <w:rPr>
                      <w:color w:val="000000" w:themeColor="text1"/>
                      <w14:textFill>
                        <w14:solidFill>
                          <w14:schemeClr w14:val="tx1"/>
                        </w14:solidFill>
                      </w14:textFill>
                    </w:rPr>
                  </w:pPr>
                </w:p>
              </w:tc>
              <w:tc>
                <w:tcPr>
                  <w:tcW w:w="648" w:type="pct"/>
                  <w:vMerge w:val="continue"/>
                  <w:shd w:val="clear" w:color="auto" w:fill="auto"/>
                  <w:vAlign w:val="center"/>
                </w:tcPr>
                <w:p w14:paraId="30ACFB04">
                  <w:pPr>
                    <w:jc w:val="center"/>
                    <w:rPr>
                      <w:color w:val="000000" w:themeColor="text1"/>
                      <w14:textFill>
                        <w14:solidFill>
                          <w14:schemeClr w14:val="tx1"/>
                        </w14:solidFill>
                      </w14:textFill>
                    </w:rPr>
                  </w:pPr>
                </w:p>
              </w:tc>
              <w:tc>
                <w:tcPr>
                  <w:tcW w:w="1566" w:type="pct"/>
                  <w:shd w:val="clear" w:color="auto" w:fill="auto"/>
                  <w:vAlign w:val="center"/>
                </w:tcPr>
                <w:p w14:paraId="0BB5DC1F">
                  <w:pPr>
                    <w:adjustRightInd w:val="0"/>
                    <w:snapToGrid w:val="0"/>
                    <w:jc w:val="center"/>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《关</w:t>
                  </w:r>
                  <w:r>
                    <w:rPr>
                      <w:color w:val="000000" w:themeColor="text1"/>
                      <w:szCs w:val="21"/>
                      <w14:textFill>
                        <w14:solidFill>
                          <w14:schemeClr w14:val="tx1"/>
                        </w14:solidFill>
                      </w14:textFill>
                    </w:rPr>
                    <w:t>于全省开展工业企业挥发性有机物专项治理工作中排放建议值的通知》（豫环攻坚办[2017]162号）</w:t>
                  </w:r>
                  <w:r>
                    <w:rPr>
                      <w:rFonts w:hint="eastAsia"/>
                      <w:color w:val="000000" w:themeColor="text1"/>
                      <w:szCs w:val="21"/>
                      <w14:textFill>
                        <w14:solidFill>
                          <w14:schemeClr w14:val="tx1"/>
                        </w14:solidFill>
                      </w14:textFill>
                    </w:rPr>
                    <w:t>中“其他行业”</w:t>
                  </w:r>
                </w:p>
              </w:tc>
              <w:tc>
                <w:tcPr>
                  <w:tcW w:w="520" w:type="pct"/>
                  <w:shd w:val="clear" w:color="auto" w:fill="auto"/>
                  <w:vAlign w:val="center"/>
                </w:tcPr>
                <w:p w14:paraId="4F9D13E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80</w:t>
                  </w:r>
                </w:p>
              </w:tc>
            </w:tr>
            <w:tr w14:paraId="09E6CF3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vAlign w:val="center"/>
                </w:tcPr>
                <w:p w14:paraId="25427359">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6</w:t>
                  </w:r>
                </w:p>
              </w:tc>
              <w:tc>
                <w:tcPr>
                  <w:tcW w:w="458" w:type="pct"/>
                  <w:vMerge w:val="restart"/>
                  <w:vAlign w:val="center"/>
                </w:tcPr>
                <w:p w14:paraId="6D5F3B74">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DA006</w:t>
                  </w:r>
                </w:p>
              </w:tc>
              <w:tc>
                <w:tcPr>
                  <w:tcW w:w="482" w:type="pct"/>
                  <w:vMerge w:val="restart"/>
                  <w:tcBorders>
                    <w:left w:val="single" w:color="auto" w:sz="6" w:space="0"/>
                  </w:tcBorders>
                  <w:shd w:val="clear" w:color="auto" w:fill="auto"/>
                  <w:vAlign w:val="center"/>
                </w:tcPr>
                <w:p w14:paraId="6DCEEDB7">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516" w:type="pct"/>
                  <w:vMerge w:val="restart"/>
                  <w:tcBorders>
                    <w:left w:val="single" w:color="auto" w:sz="6" w:space="0"/>
                  </w:tcBorders>
                  <w:shd w:val="clear" w:color="auto" w:fill="auto"/>
                  <w:vAlign w:val="center"/>
                </w:tcPr>
                <w:p w14:paraId="2F0D4297">
                  <w:pPr>
                    <w:pStyle w:val="49"/>
                    <w:rPr>
                      <w:color w:val="000000" w:themeColor="text1"/>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1</w:t>
                  </w:r>
                </w:p>
              </w:tc>
              <w:tc>
                <w:tcPr>
                  <w:tcW w:w="576" w:type="pct"/>
                  <w:vMerge w:val="restart"/>
                  <w:tcBorders>
                    <w:left w:val="single" w:color="auto" w:sz="6" w:space="0"/>
                  </w:tcBorders>
                  <w:shd w:val="clear" w:color="auto" w:fill="auto"/>
                  <w:vAlign w:val="center"/>
                </w:tcPr>
                <w:p w14:paraId="1331D8CF">
                  <w:pPr>
                    <w:pStyle w:val="49"/>
                    <w:rPr>
                      <w:color w:val="000000" w:themeColor="text1"/>
                      <w14:textFill>
                        <w14:solidFill>
                          <w14:schemeClr w14:val="tx1"/>
                        </w14:solidFill>
                      </w14:textFill>
                    </w:rPr>
                  </w:pPr>
                  <w:r>
                    <w:rPr>
                      <w:color w:val="000000" w:themeColor="text1"/>
                      <w14:textFill>
                        <w14:solidFill>
                          <w14:schemeClr w14:val="tx1"/>
                        </w14:solidFill>
                      </w14:textFill>
                    </w:rPr>
                    <w:t>0.00</w:t>
                  </w:r>
                  <w:r>
                    <w:rPr>
                      <w:rFonts w:hint="eastAsia"/>
                      <w:color w:val="000000" w:themeColor="text1"/>
                      <w14:textFill>
                        <w14:solidFill>
                          <w14:schemeClr w14:val="tx1"/>
                        </w14:solidFill>
                      </w14:textFill>
                    </w:rPr>
                    <w:t>2</w:t>
                  </w:r>
                </w:p>
              </w:tc>
              <w:tc>
                <w:tcPr>
                  <w:tcW w:w="648" w:type="pct"/>
                  <w:vMerge w:val="restart"/>
                  <w:shd w:val="clear" w:color="auto" w:fill="auto"/>
                  <w:vAlign w:val="center"/>
                </w:tcPr>
                <w:p w14:paraId="1C3A4F18">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1.974</w:t>
                  </w:r>
                </w:p>
              </w:tc>
              <w:tc>
                <w:tcPr>
                  <w:tcW w:w="1566" w:type="pct"/>
                  <w:shd w:val="clear" w:color="auto" w:fill="auto"/>
                  <w:vAlign w:val="center"/>
                </w:tcPr>
                <w:p w14:paraId="4C869C30">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c>
                <w:tcPr>
                  <w:tcW w:w="520" w:type="pct"/>
                  <w:shd w:val="clear" w:color="auto" w:fill="auto"/>
                  <w:vAlign w:val="center"/>
                </w:tcPr>
                <w:p w14:paraId="09316B8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120</w:t>
                  </w:r>
                </w:p>
              </w:tc>
            </w:tr>
            <w:tr w14:paraId="1697912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5DC99ACA">
                  <w:pPr>
                    <w:pStyle w:val="49"/>
                    <w:rPr>
                      <w:color w:val="000000" w:themeColor="text1"/>
                      <w14:textFill>
                        <w14:solidFill>
                          <w14:schemeClr w14:val="tx1"/>
                        </w14:solidFill>
                      </w14:textFill>
                    </w:rPr>
                  </w:pPr>
                </w:p>
              </w:tc>
              <w:tc>
                <w:tcPr>
                  <w:tcW w:w="458" w:type="pct"/>
                  <w:vMerge w:val="continue"/>
                  <w:vAlign w:val="center"/>
                </w:tcPr>
                <w:p w14:paraId="3D3BBE70">
                  <w:pPr>
                    <w:pStyle w:val="49"/>
                    <w:rPr>
                      <w:color w:val="000000" w:themeColor="text1"/>
                      <w14:textFill>
                        <w14:solidFill>
                          <w14:schemeClr w14:val="tx1"/>
                        </w14:solidFill>
                      </w14:textFill>
                    </w:rPr>
                  </w:pPr>
                </w:p>
              </w:tc>
              <w:tc>
                <w:tcPr>
                  <w:tcW w:w="482" w:type="pct"/>
                  <w:vMerge w:val="continue"/>
                  <w:tcBorders>
                    <w:left w:val="single" w:color="auto" w:sz="6" w:space="0"/>
                  </w:tcBorders>
                  <w:shd w:val="clear" w:color="auto" w:fill="auto"/>
                  <w:vAlign w:val="center"/>
                </w:tcPr>
                <w:p w14:paraId="6842882D">
                  <w:pPr>
                    <w:pStyle w:val="49"/>
                    <w:rPr>
                      <w:color w:val="000000" w:themeColor="text1"/>
                      <w:szCs w:val="21"/>
                      <w14:textFill>
                        <w14:solidFill>
                          <w14:schemeClr w14:val="tx1"/>
                        </w14:solidFill>
                      </w14:textFill>
                    </w:rPr>
                  </w:pPr>
                </w:p>
              </w:tc>
              <w:tc>
                <w:tcPr>
                  <w:tcW w:w="516" w:type="pct"/>
                  <w:vMerge w:val="continue"/>
                  <w:tcBorders>
                    <w:left w:val="single" w:color="auto" w:sz="6" w:space="0"/>
                  </w:tcBorders>
                  <w:shd w:val="clear" w:color="auto" w:fill="auto"/>
                  <w:vAlign w:val="center"/>
                </w:tcPr>
                <w:p w14:paraId="1ADA28E2">
                  <w:pPr>
                    <w:pStyle w:val="49"/>
                    <w:rPr>
                      <w:color w:val="000000" w:themeColor="text1"/>
                      <w14:textFill>
                        <w14:solidFill>
                          <w14:schemeClr w14:val="tx1"/>
                        </w14:solidFill>
                      </w14:textFill>
                    </w:rPr>
                  </w:pPr>
                </w:p>
              </w:tc>
              <w:tc>
                <w:tcPr>
                  <w:tcW w:w="576" w:type="pct"/>
                  <w:vMerge w:val="continue"/>
                  <w:tcBorders>
                    <w:left w:val="single" w:color="auto" w:sz="6" w:space="0"/>
                  </w:tcBorders>
                  <w:shd w:val="clear" w:color="auto" w:fill="auto"/>
                  <w:vAlign w:val="center"/>
                </w:tcPr>
                <w:p w14:paraId="58242CF5">
                  <w:pPr>
                    <w:pStyle w:val="49"/>
                    <w:rPr>
                      <w:color w:val="000000" w:themeColor="text1"/>
                      <w14:textFill>
                        <w14:solidFill>
                          <w14:schemeClr w14:val="tx1"/>
                        </w14:solidFill>
                      </w14:textFill>
                    </w:rPr>
                  </w:pPr>
                </w:p>
              </w:tc>
              <w:tc>
                <w:tcPr>
                  <w:tcW w:w="648" w:type="pct"/>
                  <w:vMerge w:val="continue"/>
                  <w:shd w:val="clear" w:color="auto" w:fill="auto"/>
                  <w:vAlign w:val="center"/>
                </w:tcPr>
                <w:p w14:paraId="0392254F">
                  <w:pPr>
                    <w:pStyle w:val="49"/>
                    <w:rPr>
                      <w:color w:val="000000" w:themeColor="text1"/>
                      <w14:textFill>
                        <w14:solidFill>
                          <w14:schemeClr w14:val="tx1"/>
                        </w14:solidFill>
                      </w14:textFill>
                    </w:rPr>
                  </w:pPr>
                </w:p>
              </w:tc>
              <w:tc>
                <w:tcPr>
                  <w:tcW w:w="1566" w:type="pct"/>
                  <w:shd w:val="clear" w:color="auto" w:fill="auto"/>
                  <w:vAlign w:val="center"/>
                </w:tcPr>
                <w:p w14:paraId="01B47B7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年修订版）附录2中其他工序PM排放限值</w:t>
                  </w:r>
                </w:p>
              </w:tc>
              <w:tc>
                <w:tcPr>
                  <w:tcW w:w="520" w:type="pct"/>
                  <w:shd w:val="clear" w:color="auto" w:fill="auto"/>
                  <w:vAlign w:val="center"/>
                </w:tcPr>
                <w:p w14:paraId="36CB648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r>
            <w:tr w14:paraId="6E78FEB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restart"/>
                  <w:vAlign w:val="center"/>
                </w:tcPr>
                <w:p w14:paraId="70022BAC">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7</w:t>
                  </w:r>
                </w:p>
              </w:tc>
              <w:tc>
                <w:tcPr>
                  <w:tcW w:w="458" w:type="pct"/>
                  <w:vMerge w:val="restart"/>
                  <w:vAlign w:val="center"/>
                </w:tcPr>
                <w:p w14:paraId="13624D65">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DA007</w:t>
                  </w:r>
                </w:p>
              </w:tc>
              <w:tc>
                <w:tcPr>
                  <w:tcW w:w="482" w:type="pct"/>
                  <w:tcBorders>
                    <w:left w:val="single" w:color="auto" w:sz="6" w:space="0"/>
                  </w:tcBorders>
                  <w:shd w:val="clear" w:color="auto" w:fill="auto"/>
                  <w:vAlign w:val="center"/>
                </w:tcPr>
                <w:p w14:paraId="39B89BDD">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516" w:type="pct"/>
                  <w:tcBorders>
                    <w:left w:val="single" w:color="auto" w:sz="6" w:space="0"/>
                  </w:tcBorders>
                  <w:shd w:val="clear" w:color="auto" w:fill="auto"/>
                  <w:vAlign w:val="center"/>
                </w:tcPr>
                <w:p w14:paraId="17637B96">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0.0030</w:t>
                  </w:r>
                </w:p>
              </w:tc>
              <w:tc>
                <w:tcPr>
                  <w:tcW w:w="576" w:type="pct"/>
                  <w:tcBorders>
                    <w:left w:val="single" w:color="auto" w:sz="6" w:space="0"/>
                  </w:tcBorders>
                  <w:shd w:val="clear" w:color="auto" w:fill="auto"/>
                  <w:vAlign w:val="center"/>
                </w:tcPr>
                <w:p w14:paraId="6CDA23A2">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0.0006</w:t>
                  </w:r>
                </w:p>
              </w:tc>
              <w:tc>
                <w:tcPr>
                  <w:tcW w:w="648" w:type="pct"/>
                  <w:shd w:val="clear" w:color="auto" w:fill="auto"/>
                  <w:vAlign w:val="center"/>
                </w:tcPr>
                <w:p w14:paraId="782B461B">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0.556</w:t>
                  </w:r>
                </w:p>
              </w:tc>
              <w:tc>
                <w:tcPr>
                  <w:tcW w:w="1566" w:type="pct"/>
                  <w:shd w:val="clear" w:color="auto" w:fill="auto"/>
                  <w:vAlign w:val="center"/>
                </w:tcPr>
                <w:p w14:paraId="7DCB20B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 14554-93）中</w:t>
                  </w:r>
                  <w:r>
                    <w:rPr>
                      <w:rFonts w:hint="eastAsia"/>
                      <w:color w:val="000000" w:themeColor="text1"/>
                      <w:szCs w:val="21"/>
                      <w14:textFill>
                        <w14:solidFill>
                          <w14:schemeClr w14:val="tx1"/>
                        </w14:solidFill>
                      </w14:textFill>
                    </w:rPr>
                    <w:t>表2</w:t>
                  </w:r>
                  <w:r>
                    <w:rPr>
                      <w:color w:val="000000" w:themeColor="text1"/>
                      <w:szCs w:val="21"/>
                      <w14:textFill>
                        <w14:solidFill>
                          <w14:schemeClr w14:val="tx1"/>
                        </w14:solidFill>
                      </w14:textFill>
                    </w:rPr>
                    <w:t>标准</w:t>
                  </w:r>
                </w:p>
              </w:tc>
              <w:tc>
                <w:tcPr>
                  <w:tcW w:w="520" w:type="pct"/>
                  <w:shd w:val="clear" w:color="auto" w:fill="auto"/>
                  <w:vAlign w:val="center"/>
                </w:tcPr>
                <w:p w14:paraId="0C2E349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4.9kg/h</w:t>
                  </w:r>
                </w:p>
              </w:tc>
            </w:tr>
            <w:tr w14:paraId="288A598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 w:type="pct"/>
                  <w:vMerge w:val="continue"/>
                  <w:vAlign w:val="center"/>
                </w:tcPr>
                <w:p w14:paraId="786F1B80">
                  <w:pPr>
                    <w:pStyle w:val="49"/>
                    <w:rPr>
                      <w:color w:val="000000" w:themeColor="text1"/>
                      <w14:textFill>
                        <w14:solidFill>
                          <w14:schemeClr w14:val="tx1"/>
                        </w14:solidFill>
                      </w14:textFill>
                    </w:rPr>
                  </w:pPr>
                </w:p>
              </w:tc>
              <w:tc>
                <w:tcPr>
                  <w:tcW w:w="458" w:type="pct"/>
                  <w:vMerge w:val="continue"/>
                  <w:vAlign w:val="center"/>
                </w:tcPr>
                <w:p w14:paraId="1347E269">
                  <w:pPr>
                    <w:pStyle w:val="49"/>
                    <w:rPr>
                      <w:color w:val="000000" w:themeColor="text1"/>
                      <w14:textFill>
                        <w14:solidFill>
                          <w14:schemeClr w14:val="tx1"/>
                        </w14:solidFill>
                      </w14:textFill>
                    </w:rPr>
                  </w:pPr>
                </w:p>
              </w:tc>
              <w:tc>
                <w:tcPr>
                  <w:tcW w:w="482" w:type="pct"/>
                  <w:tcBorders>
                    <w:left w:val="single" w:color="auto" w:sz="6" w:space="0"/>
                  </w:tcBorders>
                  <w:shd w:val="clear" w:color="auto" w:fill="auto"/>
                  <w:vAlign w:val="center"/>
                </w:tcPr>
                <w:p w14:paraId="04F303A1">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516" w:type="pct"/>
                  <w:tcBorders>
                    <w:left w:val="single" w:color="auto" w:sz="6" w:space="0"/>
                  </w:tcBorders>
                  <w:shd w:val="clear" w:color="auto" w:fill="auto"/>
                  <w:vAlign w:val="center"/>
                </w:tcPr>
                <w:p w14:paraId="5452E0EF">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0.00011</w:t>
                  </w:r>
                </w:p>
              </w:tc>
              <w:tc>
                <w:tcPr>
                  <w:tcW w:w="576" w:type="pct"/>
                  <w:tcBorders>
                    <w:left w:val="single" w:color="auto" w:sz="6" w:space="0"/>
                  </w:tcBorders>
                  <w:shd w:val="clear" w:color="auto" w:fill="auto"/>
                  <w:vAlign w:val="center"/>
                </w:tcPr>
                <w:p w14:paraId="77A972A0">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0.00002</w:t>
                  </w:r>
                </w:p>
              </w:tc>
              <w:tc>
                <w:tcPr>
                  <w:tcW w:w="648" w:type="pct"/>
                  <w:shd w:val="clear" w:color="auto" w:fill="auto"/>
                  <w:vAlign w:val="center"/>
                </w:tcPr>
                <w:p w14:paraId="1E823E86">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0.021</w:t>
                  </w:r>
                </w:p>
              </w:tc>
              <w:tc>
                <w:tcPr>
                  <w:tcW w:w="1566" w:type="pct"/>
                  <w:shd w:val="clear" w:color="auto" w:fill="auto"/>
                  <w:vAlign w:val="center"/>
                </w:tcPr>
                <w:p w14:paraId="173DF72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 14554-93）中</w:t>
                  </w:r>
                  <w:r>
                    <w:rPr>
                      <w:rFonts w:hint="eastAsia"/>
                      <w:color w:val="000000" w:themeColor="text1"/>
                      <w:szCs w:val="21"/>
                      <w14:textFill>
                        <w14:solidFill>
                          <w14:schemeClr w14:val="tx1"/>
                        </w14:solidFill>
                      </w14:textFill>
                    </w:rPr>
                    <w:t>表2</w:t>
                  </w:r>
                  <w:r>
                    <w:rPr>
                      <w:color w:val="000000" w:themeColor="text1"/>
                      <w:szCs w:val="21"/>
                      <w14:textFill>
                        <w14:solidFill>
                          <w14:schemeClr w14:val="tx1"/>
                        </w14:solidFill>
                      </w14:textFill>
                    </w:rPr>
                    <w:t>标准</w:t>
                  </w:r>
                </w:p>
              </w:tc>
              <w:tc>
                <w:tcPr>
                  <w:tcW w:w="520" w:type="pct"/>
                  <w:shd w:val="clear" w:color="auto" w:fill="auto"/>
                  <w:vAlign w:val="center"/>
                </w:tcPr>
                <w:p w14:paraId="566D9CC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0.33kg/h</w:t>
                  </w:r>
                </w:p>
              </w:tc>
            </w:tr>
            <w:tr w14:paraId="0B8BCFB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0" w:type="pct"/>
                  <w:gridSpan w:val="2"/>
                  <w:vMerge w:val="restart"/>
                  <w:tcBorders>
                    <w:right w:val="single" w:color="auto" w:sz="6" w:space="0"/>
                  </w:tcBorders>
                  <w:vAlign w:val="center"/>
                </w:tcPr>
                <w:p w14:paraId="2BFB2CE1">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有组织排放合计</w:t>
                  </w:r>
                </w:p>
              </w:tc>
              <w:tc>
                <w:tcPr>
                  <w:tcW w:w="1575" w:type="pct"/>
                  <w:gridSpan w:val="3"/>
                  <w:tcBorders>
                    <w:left w:val="single" w:color="auto" w:sz="6" w:space="0"/>
                  </w:tcBorders>
                  <w:vAlign w:val="center"/>
                </w:tcPr>
                <w:p w14:paraId="2664E12E">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2734" w:type="pct"/>
                  <w:gridSpan w:val="3"/>
                  <w:shd w:val="clear" w:color="auto" w:fill="auto"/>
                  <w:vAlign w:val="center"/>
                </w:tcPr>
                <w:p w14:paraId="47584E3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0.015</w:t>
                  </w:r>
                </w:p>
              </w:tc>
            </w:tr>
            <w:tr w14:paraId="1BDC792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0" w:type="pct"/>
                  <w:gridSpan w:val="2"/>
                  <w:vMerge w:val="continue"/>
                  <w:tcBorders>
                    <w:right w:val="single" w:color="auto" w:sz="6" w:space="0"/>
                  </w:tcBorders>
                  <w:vAlign w:val="center"/>
                </w:tcPr>
                <w:p w14:paraId="11188AAB">
                  <w:pPr>
                    <w:pStyle w:val="49"/>
                    <w:rPr>
                      <w:color w:val="000000" w:themeColor="text1"/>
                      <w:szCs w:val="21"/>
                      <w14:textFill>
                        <w14:solidFill>
                          <w14:schemeClr w14:val="tx1"/>
                        </w14:solidFill>
                      </w14:textFill>
                    </w:rPr>
                  </w:pPr>
                </w:p>
              </w:tc>
              <w:tc>
                <w:tcPr>
                  <w:tcW w:w="1575" w:type="pct"/>
                  <w:gridSpan w:val="3"/>
                  <w:tcBorders>
                    <w:left w:val="single" w:color="auto" w:sz="6" w:space="0"/>
                  </w:tcBorders>
                  <w:vAlign w:val="center"/>
                </w:tcPr>
                <w:p w14:paraId="670D8671">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2734" w:type="pct"/>
                  <w:gridSpan w:val="3"/>
                  <w:vAlign w:val="center"/>
                </w:tcPr>
                <w:p w14:paraId="1C164E29">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0.002</w:t>
                  </w:r>
                </w:p>
              </w:tc>
            </w:tr>
            <w:tr w14:paraId="36D46DA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0" w:type="pct"/>
                  <w:gridSpan w:val="2"/>
                  <w:vMerge w:val="continue"/>
                  <w:tcBorders>
                    <w:right w:val="single" w:color="auto" w:sz="6" w:space="0"/>
                  </w:tcBorders>
                  <w:vAlign w:val="center"/>
                </w:tcPr>
                <w:p w14:paraId="4E1BAD42">
                  <w:pPr>
                    <w:pStyle w:val="49"/>
                    <w:rPr>
                      <w:color w:val="000000" w:themeColor="text1"/>
                      <w:szCs w:val="21"/>
                      <w14:textFill>
                        <w14:solidFill>
                          <w14:schemeClr w14:val="tx1"/>
                        </w14:solidFill>
                      </w14:textFill>
                    </w:rPr>
                  </w:pPr>
                </w:p>
              </w:tc>
              <w:tc>
                <w:tcPr>
                  <w:tcW w:w="1575" w:type="pct"/>
                  <w:gridSpan w:val="3"/>
                  <w:tcBorders>
                    <w:left w:val="single" w:color="auto" w:sz="6" w:space="0"/>
                  </w:tcBorders>
                  <w:vAlign w:val="center"/>
                </w:tcPr>
                <w:p w14:paraId="7A3BB2FF">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2734" w:type="pct"/>
                  <w:gridSpan w:val="3"/>
                  <w:vAlign w:val="center"/>
                </w:tcPr>
                <w:p w14:paraId="4FE08E69">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0.006</w:t>
                  </w:r>
                </w:p>
              </w:tc>
            </w:tr>
            <w:tr w14:paraId="6D66FC0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0" w:type="pct"/>
                  <w:gridSpan w:val="2"/>
                  <w:vMerge w:val="continue"/>
                  <w:tcBorders>
                    <w:right w:val="single" w:color="auto" w:sz="6" w:space="0"/>
                  </w:tcBorders>
                  <w:vAlign w:val="center"/>
                </w:tcPr>
                <w:p w14:paraId="0BDA7BC3">
                  <w:pPr>
                    <w:pStyle w:val="49"/>
                    <w:rPr>
                      <w:color w:val="000000" w:themeColor="text1"/>
                      <w:szCs w:val="21"/>
                      <w14:textFill>
                        <w14:solidFill>
                          <w14:schemeClr w14:val="tx1"/>
                        </w14:solidFill>
                      </w14:textFill>
                    </w:rPr>
                  </w:pPr>
                </w:p>
              </w:tc>
              <w:tc>
                <w:tcPr>
                  <w:tcW w:w="1575" w:type="pct"/>
                  <w:gridSpan w:val="3"/>
                  <w:tcBorders>
                    <w:left w:val="single" w:color="auto" w:sz="6" w:space="0"/>
                  </w:tcBorders>
                  <w:vAlign w:val="center"/>
                </w:tcPr>
                <w:p w14:paraId="104696C3">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NOx</w:t>
                  </w:r>
                </w:p>
              </w:tc>
              <w:tc>
                <w:tcPr>
                  <w:tcW w:w="2734" w:type="pct"/>
                  <w:gridSpan w:val="3"/>
                  <w:vAlign w:val="center"/>
                </w:tcPr>
                <w:p w14:paraId="2CFC9FCD">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0.049</w:t>
                  </w:r>
                </w:p>
              </w:tc>
            </w:tr>
            <w:tr w14:paraId="35DF9CD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0" w:type="pct"/>
                  <w:gridSpan w:val="2"/>
                  <w:vMerge w:val="continue"/>
                  <w:tcBorders>
                    <w:right w:val="single" w:color="auto" w:sz="6" w:space="0"/>
                  </w:tcBorders>
                  <w:vAlign w:val="center"/>
                </w:tcPr>
                <w:p w14:paraId="7C1ACC53">
                  <w:pPr>
                    <w:pStyle w:val="49"/>
                    <w:rPr>
                      <w:color w:val="000000" w:themeColor="text1"/>
                      <w:szCs w:val="21"/>
                      <w14:textFill>
                        <w14:solidFill>
                          <w14:schemeClr w14:val="tx1"/>
                        </w14:solidFill>
                      </w14:textFill>
                    </w:rPr>
                  </w:pPr>
                </w:p>
              </w:tc>
              <w:tc>
                <w:tcPr>
                  <w:tcW w:w="1575" w:type="pct"/>
                  <w:gridSpan w:val="3"/>
                  <w:tcBorders>
                    <w:left w:val="single" w:color="auto" w:sz="6" w:space="0"/>
                  </w:tcBorders>
                  <w:vAlign w:val="center"/>
                </w:tcPr>
                <w:p w14:paraId="758701D6">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5041" w:type="dxa"/>
                  <w:gridSpan w:val="3"/>
                  <w:vAlign w:val="center"/>
                </w:tcPr>
                <w:p w14:paraId="5EDA0B7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0.0030</w:t>
                  </w:r>
                </w:p>
              </w:tc>
            </w:tr>
            <w:tr w14:paraId="586554A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90" w:type="pct"/>
                  <w:gridSpan w:val="2"/>
                  <w:vMerge w:val="continue"/>
                  <w:tcBorders>
                    <w:right w:val="single" w:color="auto" w:sz="6" w:space="0"/>
                  </w:tcBorders>
                  <w:vAlign w:val="center"/>
                </w:tcPr>
                <w:p w14:paraId="05C8ADAE">
                  <w:pPr>
                    <w:pStyle w:val="49"/>
                    <w:rPr>
                      <w:color w:val="000000" w:themeColor="text1"/>
                      <w:szCs w:val="21"/>
                      <w14:textFill>
                        <w14:solidFill>
                          <w14:schemeClr w14:val="tx1"/>
                        </w14:solidFill>
                      </w14:textFill>
                    </w:rPr>
                  </w:pPr>
                </w:p>
              </w:tc>
              <w:tc>
                <w:tcPr>
                  <w:tcW w:w="1575" w:type="pct"/>
                  <w:gridSpan w:val="3"/>
                  <w:tcBorders>
                    <w:left w:val="single" w:color="auto" w:sz="6" w:space="0"/>
                  </w:tcBorders>
                  <w:vAlign w:val="center"/>
                </w:tcPr>
                <w:p w14:paraId="31F45A53">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5041" w:type="dxa"/>
                  <w:gridSpan w:val="3"/>
                  <w:vAlign w:val="center"/>
                </w:tcPr>
                <w:p w14:paraId="5488938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0.00011</w:t>
                  </w:r>
                </w:p>
              </w:tc>
            </w:tr>
          </w:tbl>
          <w:p w14:paraId="379ABB67">
            <w:pPr>
              <w:widowControl/>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 xml:space="preserve">4  </w:t>
            </w:r>
            <w:r>
              <w:rPr>
                <w:b/>
                <w:color w:val="000000" w:themeColor="text1"/>
                <w:sz w:val="24"/>
                <w14:textFill>
                  <w14:solidFill>
                    <w14:schemeClr w14:val="tx1"/>
                  </w14:solidFill>
                </w14:textFill>
              </w:rPr>
              <w:t>工程大气污染物无组织排放量核算表</w:t>
            </w:r>
          </w:p>
          <w:tbl>
            <w:tblPr>
              <w:tblStyle w:val="25"/>
              <w:tblW w:w="4967"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615"/>
              <w:gridCol w:w="1095"/>
              <w:gridCol w:w="2353"/>
              <w:gridCol w:w="1368"/>
              <w:gridCol w:w="2032"/>
              <w:gridCol w:w="3263"/>
              <w:gridCol w:w="1684"/>
              <w:gridCol w:w="937"/>
            </w:tblGrid>
            <w:tr w14:paraId="7663568B">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restart"/>
                  <w:vAlign w:val="center"/>
                </w:tcPr>
                <w:p w14:paraId="542BCB05">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410" w:type="pct"/>
                  <w:vMerge w:val="restart"/>
                  <w:vAlign w:val="center"/>
                </w:tcPr>
                <w:p w14:paraId="40589006">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排放口编号</w:t>
                  </w:r>
                </w:p>
              </w:tc>
              <w:tc>
                <w:tcPr>
                  <w:tcW w:w="880" w:type="pct"/>
                  <w:vMerge w:val="restart"/>
                  <w:vAlign w:val="center"/>
                </w:tcPr>
                <w:p w14:paraId="2FF66D2F">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产污环节</w:t>
                  </w:r>
                </w:p>
              </w:tc>
              <w:tc>
                <w:tcPr>
                  <w:tcW w:w="512" w:type="pct"/>
                  <w:vMerge w:val="restart"/>
                  <w:vAlign w:val="center"/>
                </w:tcPr>
                <w:p w14:paraId="0CF5C9A1">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w:t>
                  </w:r>
                </w:p>
              </w:tc>
              <w:tc>
                <w:tcPr>
                  <w:tcW w:w="761" w:type="pct"/>
                  <w:vMerge w:val="restart"/>
                  <w:vAlign w:val="center"/>
                </w:tcPr>
                <w:p w14:paraId="18B94BB5">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主要污染防治措施</w:t>
                  </w:r>
                </w:p>
              </w:tc>
              <w:tc>
                <w:tcPr>
                  <w:tcW w:w="1852" w:type="pct"/>
                  <w:gridSpan w:val="2"/>
                  <w:vAlign w:val="center"/>
                </w:tcPr>
                <w:p w14:paraId="4F4C6908">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国家或地方标准</w:t>
                  </w:r>
                </w:p>
              </w:tc>
              <w:tc>
                <w:tcPr>
                  <w:tcW w:w="351" w:type="pct"/>
                  <w:vMerge w:val="restart"/>
                  <w:vAlign w:val="center"/>
                </w:tcPr>
                <w:p w14:paraId="37B4D70D">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年排放量t/a</w:t>
                  </w:r>
                </w:p>
              </w:tc>
            </w:tr>
            <w:tr w14:paraId="5C92555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0B3A10F1">
                  <w:pPr>
                    <w:pStyle w:val="49"/>
                    <w:rPr>
                      <w:color w:val="000000" w:themeColor="text1"/>
                      <w:szCs w:val="21"/>
                      <w14:textFill>
                        <w14:solidFill>
                          <w14:schemeClr w14:val="tx1"/>
                        </w14:solidFill>
                      </w14:textFill>
                    </w:rPr>
                  </w:pPr>
                </w:p>
              </w:tc>
              <w:tc>
                <w:tcPr>
                  <w:tcW w:w="410" w:type="pct"/>
                  <w:vMerge w:val="continue"/>
                  <w:vAlign w:val="center"/>
                </w:tcPr>
                <w:p w14:paraId="7CCEEBA9">
                  <w:pPr>
                    <w:pStyle w:val="49"/>
                    <w:rPr>
                      <w:color w:val="000000" w:themeColor="text1"/>
                      <w:szCs w:val="21"/>
                      <w14:textFill>
                        <w14:solidFill>
                          <w14:schemeClr w14:val="tx1"/>
                        </w14:solidFill>
                      </w14:textFill>
                    </w:rPr>
                  </w:pPr>
                </w:p>
              </w:tc>
              <w:tc>
                <w:tcPr>
                  <w:tcW w:w="880" w:type="pct"/>
                  <w:vMerge w:val="continue"/>
                  <w:vAlign w:val="center"/>
                </w:tcPr>
                <w:p w14:paraId="0F5C83D2">
                  <w:pPr>
                    <w:pStyle w:val="49"/>
                    <w:rPr>
                      <w:color w:val="000000" w:themeColor="text1"/>
                      <w:szCs w:val="21"/>
                      <w14:textFill>
                        <w14:solidFill>
                          <w14:schemeClr w14:val="tx1"/>
                        </w14:solidFill>
                      </w14:textFill>
                    </w:rPr>
                  </w:pPr>
                </w:p>
              </w:tc>
              <w:tc>
                <w:tcPr>
                  <w:tcW w:w="512" w:type="pct"/>
                  <w:vMerge w:val="continue"/>
                  <w:vAlign w:val="center"/>
                </w:tcPr>
                <w:p w14:paraId="758DE089">
                  <w:pPr>
                    <w:pStyle w:val="49"/>
                    <w:rPr>
                      <w:color w:val="000000" w:themeColor="text1"/>
                      <w:szCs w:val="21"/>
                      <w14:textFill>
                        <w14:solidFill>
                          <w14:schemeClr w14:val="tx1"/>
                        </w14:solidFill>
                      </w14:textFill>
                    </w:rPr>
                  </w:pPr>
                </w:p>
              </w:tc>
              <w:tc>
                <w:tcPr>
                  <w:tcW w:w="761" w:type="pct"/>
                  <w:vMerge w:val="continue"/>
                  <w:vAlign w:val="center"/>
                </w:tcPr>
                <w:p w14:paraId="262B34AD">
                  <w:pPr>
                    <w:pStyle w:val="49"/>
                    <w:rPr>
                      <w:color w:val="000000" w:themeColor="text1"/>
                      <w:szCs w:val="21"/>
                      <w14:textFill>
                        <w14:solidFill>
                          <w14:schemeClr w14:val="tx1"/>
                        </w14:solidFill>
                      </w14:textFill>
                    </w:rPr>
                  </w:pPr>
                </w:p>
              </w:tc>
              <w:tc>
                <w:tcPr>
                  <w:tcW w:w="1222" w:type="pct"/>
                  <w:vAlign w:val="center"/>
                </w:tcPr>
                <w:p w14:paraId="2C674703">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标准名称</w:t>
                  </w:r>
                </w:p>
              </w:tc>
              <w:tc>
                <w:tcPr>
                  <w:tcW w:w="629" w:type="pct"/>
                  <w:vAlign w:val="center"/>
                </w:tcPr>
                <w:p w14:paraId="39DCD0CC">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浓度限值mg/m</w:t>
                  </w:r>
                  <w:r>
                    <w:rPr>
                      <w:color w:val="000000" w:themeColor="text1"/>
                      <w:szCs w:val="21"/>
                      <w:vertAlign w:val="superscript"/>
                      <w14:textFill>
                        <w14:solidFill>
                          <w14:schemeClr w14:val="tx1"/>
                        </w14:solidFill>
                      </w14:textFill>
                    </w:rPr>
                    <w:t>3</w:t>
                  </w:r>
                </w:p>
              </w:tc>
              <w:tc>
                <w:tcPr>
                  <w:tcW w:w="351" w:type="pct"/>
                  <w:vMerge w:val="continue"/>
                  <w:vAlign w:val="center"/>
                </w:tcPr>
                <w:p w14:paraId="7B943A88">
                  <w:pPr>
                    <w:pStyle w:val="49"/>
                    <w:rPr>
                      <w:color w:val="000000" w:themeColor="text1"/>
                      <w:szCs w:val="21"/>
                      <w14:textFill>
                        <w14:solidFill>
                          <w14:schemeClr w14:val="tx1"/>
                        </w14:solidFill>
                      </w14:textFill>
                    </w:rPr>
                  </w:pPr>
                </w:p>
              </w:tc>
            </w:tr>
            <w:tr w14:paraId="3C7A328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restart"/>
                  <w:vAlign w:val="center"/>
                </w:tcPr>
                <w:p w14:paraId="4155D15A">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410" w:type="pct"/>
                  <w:vMerge w:val="restart"/>
                  <w:vAlign w:val="center"/>
                </w:tcPr>
                <w:p w14:paraId="4326FC7E">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综合车间</w:t>
                  </w:r>
                </w:p>
              </w:tc>
              <w:tc>
                <w:tcPr>
                  <w:tcW w:w="880" w:type="pct"/>
                  <w:shd w:val="clear" w:color="auto" w:fill="auto"/>
                  <w:vAlign w:val="center"/>
                </w:tcPr>
                <w:p w14:paraId="5265C49B">
                  <w:pPr>
                    <w:jc w:val="center"/>
                    <w:outlineLvl w:val="9"/>
                    <w:rPr>
                      <w:color w:val="000000" w:themeColor="text1"/>
                      <w:kern w:val="32"/>
                      <w:szCs w:val="21"/>
                      <w14:textFill>
                        <w14:solidFill>
                          <w14:schemeClr w14:val="tx1"/>
                        </w14:solidFill>
                      </w14:textFill>
                    </w:rPr>
                  </w:pPr>
                  <w:bookmarkStart w:id="132" w:name="_Toc27507"/>
                  <w:r>
                    <w:rPr>
                      <w:rFonts w:hint="eastAsia"/>
                      <w:color w:val="000000" w:themeColor="text1"/>
                      <w:szCs w:val="21"/>
                      <w14:textFill>
                        <w14:solidFill>
                          <w14:schemeClr w14:val="tx1"/>
                        </w14:solidFill>
                      </w14:textFill>
                    </w:rPr>
                    <w:t>白酒、啤酒生产线辅料投料粉尘</w:t>
                  </w:r>
                  <w:bookmarkEnd w:id="132"/>
                </w:p>
              </w:tc>
              <w:tc>
                <w:tcPr>
                  <w:tcW w:w="512" w:type="pct"/>
                  <w:shd w:val="clear" w:color="auto" w:fill="auto"/>
                  <w:vAlign w:val="center"/>
                </w:tcPr>
                <w:p w14:paraId="18628B6E">
                  <w:pPr>
                    <w:jc w:val="center"/>
                    <w:outlineLvl w:val="9"/>
                    <w:rPr>
                      <w:color w:val="000000" w:themeColor="text1"/>
                      <w:szCs w:val="21"/>
                      <w14:textFill>
                        <w14:solidFill>
                          <w14:schemeClr w14:val="tx1"/>
                        </w14:solidFill>
                      </w14:textFill>
                    </w:rPr>
                  </w:pPr>
                  <w:bookmarkStart w:id="133" w:name="_Toc17048"/>
                  <w:r>
                    <w:rPr>
                      <w:rFonts w:hint="eastAsia"/>
                      <w:color w:val="000000" w:themeColor="text1"/>
                      <w:szCs w:val="21"/>
                      <w14:textFill>
                        <w14:solidFill>
                          <w14:schemeClr w14:val="tx1"/>
                        </w14:solidFill>
                      </w14:textFill>
                    </w:rPr>
                    <w:t>颗粒物</w:t>
                  </w:r>
                  <w:bookmarkEnd w:id="133"/>
                </w:p>
              </w:tc>
              <w:tc>
                <w:tcPr>
                  <w:tcW w:w="761" w:type="pct"/>
                  <w:vMerge w:val="restart"/>
                  <w:vAlign w:val="center"/>
                </w:tcPr>
                <w:p w14:paraId="48716280">
                  <w:pPr>
                    <w:jc w:val="center"/>
                    <w:rPr>
                      <w:bCs/>
                      <w:color w:val="000000" w:themeColor="text1"/>
                      <w:szCs w:val="21"/>
                      <w:lang w:val="en-GB"/>
                      <w14:textFill>
                        <w14:solidFill>
                          <w14:schemeClr w14:val="tx1"/>
                        </w14:solidFill>
                      </w14:textFill>
                    </w:rPr>
                  </w:pPr>
                  <w:r>
                    <w:rPr>
                      <w:color w:val="000000" w:themeColor="text1"/>
                      <w:szCs w:val="21"/>
                      <w14:textFill>
                        <w14:solidFill>
                          <w14:schemeClr w14:val="tx1"/>
                        </w14:solidFill>
                      </w14:textFill>
                    </w:rPr>
                    <w:t>车间密闭，定期对废气环保设备维护，保证废气收集效率</w:t>
                  </w:r>
                </w:p>
              </w:tc>
              <w:tc>
                <w:tcPr>
                  <w:tcW w:w="1222" w:type="pct"/>
                  <w:shd w:val="clear" w:color="auto" w:fill="auto"/>
                  <w:vAlign w:val="center"/>
                </w:tcPr>
                <w:p w14:paraId="69E28395">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c>
                <w:tcPr>
                  <w:tcW w:w="629" w:type="pct"/>
                  <w:shd w:val="clear" w:color="auto" w:fill="auto"/>
                  <w:vAlign w:val="center"/>
                </w:tcPr>
                <w:p w14:paraId="36DAE105">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351" w:type="pct"/>
                  <w:shd w:val="clear" w:color="auto" w:fill="auto"/>
                  <w:vAlign w:val="center"/>
                </w:tcPr>
                <w:p w14:paraId="6A9719B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0.0132</w:t>
                  </w:r>
                </w:p>
              </w:tc>
            </w:tr>
            <w:tr w14:paraId="0B9894F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73FE411B">
                  <w:pPr>
                    <w:pStyle w:val="49"/>
                    <w:rPr>
                      <w:color w:val="000000" w:themeColor="text1"/>
                      <w:szCs w:val="21"/>
                      <w14:textFill>
                        <w14:solidFill>
                          <w14:schemeClr w14:val="tx1"/>
                        </w14:solidFill>
                      </w14:textFill>
                    </w:rPr>
                  </w:pPr>
                </w:p>
              </w:tc>
              <w:tc>
                <w:tcPr>
                  <w:tcW w:w="410" w:type="pct"/>
                  <w:vMerge w:val="continue"/>
                  <w:vAlign w:val="center"/>
                </w:tcPr>
                <w:p w14:paraId="64327FE0">
                  <w:pPr>
                    <w:pStyle w:val="49"/>
                    <w:rPr>
                      <w:color w:val="000000" w:themeColor="text1"/>
                      <w:szCs w:val="21"/>
                      <w14:textFill>
                        <w14:solidFill>
                          <w14:schemeClr w14:val="tx1"/>
                        </w14:solidFill>
                      </w14:textFill>
                    </w:rPr>
                  </w:pPr>
                </w:p>
              </w:tc>
              <w:tc>
                <w:tcPr>
                  <w:tcW w:w="880" w:type="pct"/>
                  <w:shd w:val="clear" w:color="auto" w:fill="auto"/>
                  <w:vAlign w:val="center"/>
                </w:tcPr>
                <w:p w14:paraId="29EEF88E">
                  <w:pPr>
                    <w:jc w:val="center"/>
                    <w:outlineLvl w:val="9"/>
                    <w:rPr>
                      <w:color w:val="000000" w:themeColor="text1"/>
                      <w:szCs w:val="21"/>
                      <w14:textFill>
                        <w14:solidFill>
                          <w14:schemeClr w14:val="tx1"/>
                        </w14:solidFill>
                      </w14:textFill>
                    </w:rPr>
                  </w:pPr>
                  <w:bookmarkStart w:id="134" w:name="_Toc12795"/>
                  <w:r>
                    <w:rPr>
                      <w:rFonts w:hint="eastAsia"/>
                      <w:color w:val="000000" w:themeColor="text1"/>
                      <w:szCs w:val="21"/>
                      <w14:textFill>
                        <w14:solidFill>
                          <w14:schemeClr w14:val="tx1"/>
                        </w14:solidFill>
                      </w14:textFill>
                    </w:rPr>
                    <w:t>白酒、啤酒以及植物饮料生产线原料投料、破碎工序和袋泡茶生产过程未收集粉尘</w:t>
                  </w:r>
                  <w:bookmarkEnd w:id="134"/>
                </w:p>
              </w:tc>
              <w:tc>
                <w:tcPr>
                  <w:tcW w:w="512" w:type="pct"/>
                  <w:shd w:val="clear" w:color="auto" w:fill="auto"/>
                  <w:vAlign w:val="center"/>
                </w:tcPr>
                <w:p w14:paraId="2C6559D8">
                  <w:pPr>
                    <w:jc w:val="center"/>
                    <w:outlineLvl w:val="9"/>
                    <w:rPr>
                      <w:color w:val="000000" w:themeColor="text1"/>
                      <w:szCs w:val="21"/>
                      <w14:textFill>
                        <w14:solidFill>
                          <w14:schemeClr w14:val="tx1"/>
                        </w14:solidFill>
                      </w14:textFill>
                    </w:rPr>
                  </w:pPr>
                  <w:bookmarkStart w:id="135" w:name="_Toc2383"/>
                  <w:r>
                    <w:rPr>
                      <w:rFonts w:hint="eastAsia"/>
                      <w:color w:val="000000" w:themeColor="text1"/>
                      <w:szCs w:val="21"/>
                      <w14:textFill>
                        <w14:solidFill>
                          <w14:schemeClr w14:val="tx1"/>
                        </w14:solidFill>
                      </w14:textFill>
                    </w:rPr>
                    <w:t>颗粒物</w:t>
                  </w:r>
                  <w:bookmarkEnd w:id="135"/>
                </w:p>
              </w:tc>
              <w:tc>
                <w:tcPr>
                  <w:tcW w:w="761" w:type="pct"/>
                  <w:vMerge w:val="continue"/>
                  <w:vAlign w:val="center"/>
                </w:tcPr>
                <w:p w14:paraId="3DA53EDF">
                  <w:pPr>
                    <w:jc w:val="center"/>
                    <w:rPr>
                      <w:color w:val="000000" w:themeColor="text1"/>
                      <w:szCs w:val="21"/>
                      <w14:textFill>
                        <w14:solidFill>
                          <w14:schemeClr w14:val="tx1"/>
                        </w14:solidFill>
                      </w14:textFill>
                    </w:rPr>
                  </w:pPr>
                </w:p>
              </w:tc>
              <w:tc>
                <w:tcPr>
                  <w:tcW w:w="1222" w:type="pct"/>
                  <w:shd w:val="clear" w:color="auto" w:fill="auto"/>
                  <w:vAlign w:val="center"/>
                </w:tcPr>
                <w:p w14:paraId="7E5EE071">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c>
                <w:tcPr>
                  <w:tcW w:w="629" w:type="pct"/>
                  <w:shd w:val="clear" w:color="auto" w:fill="auto"/>
                  <w:vAlign w:val="center"/>
                </w:tcPr>
                <w:p w14:paraId="06B03FA3">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351" w:type="pct"/>
                  <w:shd w:val="clear" w:color="auto" w:fill="auto"/>
                  <w:vAlign w:val="center"/>
                </w:tcPr>
                <w:p w14:paraId="7D7054D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0.070</w:t>
                  </w:r>
                </w:p>
              </w:tc>
            </w:tr>
            <w:tr w14:paraId="34DB967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632C4FB6">
                  <w:pPr>
                    <w:pStyle w:val="49"/>
                    <w:rPr>
                      <w:color w:val="000000" w:themeColor="text1"/>
                      <w:szCs w:val="21"/>
                      <w14:textFill>
                        <w14:solidFill>
                          <w14:schemeClr w14:val="tx1"/>
                        </w14:solidFill>
                      </w14:textFill>
                    </w:rPr>
                  </w:pPr>
                </w:p>
              </w:tc>
              <w:tc>
                <w:tcPr>
                  <w:tcW w:w="410" w:type="pct"/>
                  <w:vMerge w:val="continue"/>
                  <w:vAlign w:val="center"/>
                </w:tcPr>
                <w:p w14:paraId="2240F19D">
                  <w:pPr>
                    <w:pStyle w:val="49"/>
                    <w:rPr>
                      <w:color w:val="000000" w:themeColor="text1"/>
                      <w:szCs w:val="21"/>
                      <w14:textFill>
                        <w14:solidFill>
                          <w14:schemeClr w14:val="tx1"/>
                        </w14:solidFill>
                      </w14:textFill>
                    </w:rPr>
                  </w:pPr>
                </w:p>
              </w:tc>
              <w:tc>
                <w:tcPr>
                  <w:tcW w:w="880" w:type="pct"/>
                  <w:shd w:val="clear" w:color="auto" w:fill="auto"/>
                  <w:vAlign w:val="center"/>
                </w:tcPr>
                <w:p w14:paraId="4C5395A3">
                  <w:pPr>
                    <w:jc w:val="center"/>
                    <w:outlineLvl w:val="9"/>
                    <w:rPr>
                      <w:color w:val="000000" w:themeColor="text1"/>
                      <w:szCs w:val="21"/>
                      <w14:textFill>
                        <w14:solidFill>
                          <w14:schemeClr w14:val="tx1"/>
                        </w14:solidFill>
                      </w14:textFill>
                    </w:rPr>
                  </w:pPr>
                  <w:bookmarkStart w:id="136" w:name="_Toc18182"/>
                  <w:r>
                    <w:rPr>
                      <w:rFonts w:hint="eastAsia"/>
                      <w:color w:val="000000" w:themeColor="text1"/>
                      <w:szCs w:val="21"/>
                      <w14:textFill>
                        <w14:solidFill>
                          <w14:schemeClr w14:val="tx1"/>
                        </w14:solidFill>
                      </w14:textFill>
                    </w:rPr>
                    <w:t>综合车间发酵工序废气</w:t>
                  </w:r>
                  <w:bookmarkEnd w:id="136"/>
                </w:p>
              </w:tc>
              <w:tc>
                <w:tcPr>
                  <w:tcW w:w="512" w:type="pct"/>
                  <w:shd w:val="clear" w:color="auto" w:fill="auto"/>
                  <w:vAlign w:val="center"/>
                </w:tcPr>
                <w:p w14:paraId="31A7D91B">
                  <w:pPr>
                    <w:jc w:val="center"/>
                    <w:outlineLvl w:val="9"/>
                    <w:rPr>
                      <w:color w:val="000000" w:themeColor="text1"/>
                      <w:szCs w:val="21"/>
                      <w14:textFill>
                        <w14:solidFill>
                          <w14:schemeClr w14:val="tx1"/>
                        </w14:solidFill>
                      </w14:textFill>
                    </w:rPr>
                  </w:pPr>
                  <w:bookmarkStart w:id="137" w:name="_Toc26171"/>
                  <w:r>
                    <w:rPr>
                      <w:rFonts w:hint="eastAsia"/>
                      <w:color w:val="000000" w:themeColor="text1"/>
                      <w:szCs w:val="21"/>
                      <w14:textFill>
                        <w14:solidFill>
                          <w14:schemeClr w14:val="tx1"/>
                        </w14:solidFill>
                      </w14:textFill>
                    </w:rPr>
                    <w:t>二氧化碳</w:t>
                  </w:r>
                  <w:bookmarkEnd w:id="137"/>
                </w:p>
              </w:tc>
              <w:tc>
                <w:tcPr>
                  <w:tcW w:w="761" w:type="pct"/>
                  <w:vMerge w:val="continue"/>
                  <w:vAlign w:val="center"/>
                </w:tcPr>
                <w:p w14:paraId="704C941F">
                  <w:pPr>
                    <w:jc w:val="center"/>
                    <w:rPr>
                      <w:color w:val="000000" w:themeColor="text1"/>
                      <w:szCs w:val="21"/>
                      <w14:textFill>
                        <w14:solidFill>
                          <w14:schemeClr w14:val="tx1"/>
                        </w14:solidFill>
                      </w14:textFill>
                    </w:rPr>
                  </w:pPr>
                </w:p>
              </w:tc>
              <w:tc>
                <w:tcPr>
                  <w:tcW w:w="1222" w:type="pct"/>
                  <w:shd w:val="clear" w:color="auto" w:fill="auto"/>
                  <w:vAlign w:val="center"/>
                </w:tcPr>
                <w:p w14:paraId="3F2ADD8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629" w:type="pct"/>
                  <w:shd w:val="clear" w:color="auto" w:fill="auto"/>
                  <w:vAlign w:val="center"/>
                </w:tcPr>
                <w:p w14:paraId="4CF2DE5B">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51" w:type="pct"/>
                  <w:shd w:val="clear" w:color="auto" w:fill="auto"/>
                  <w:vAlign w:val="center"/>
                </w:tcPr>
                <w:p w14:paraId="2D54D23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55.334</w:t>
                  </w:r>
                </w:p>
              </w:tc>
            </w:tr>
            <w:tr w14:paraId="5577779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743E5449">
                  <w:pPr>
                    <w:pStyle w:val="49"/>
                    <w:rPr>
                      <w:color w:val="000000" w:themeColor="text1"/>
                      <w:szCs w:val="21"/>
                      <w14:textFill>
                        <w14:solidFill>
                          <w14:schemeClr w14:val="tx1"/>
                        </w14:solidFill>
                      </w14:textFill>
                    </w:rPr>
                  </w:pPr>
                </w:p>
              </w:tc>
              <w:tc>
                <w:tcPr>
                  <w:tcW w:w="410" w:type="pct"/>
                  <w:vMerge w:val="continue"/>
                  <w:vAlign w:val="center"/>
                </w:tcPr>
                <w:p w14:paraId="1FED052D">
                  <w:pPr>
                    <w:pStyle w:val="49"/>
                    <w:rPr>
                      <w:color w:val="000000" w:themeColor="text1"/>
                      <w:szCs w:val="21"/>
                      <w14:textFill>
                        <w14:solidFill>
                          <w14:schemeClr w14:val="tx1"/>
                        </w14:solidFill>
                      </w14:textFill>
                    </w:rPr>
                  </w:pPr>
                </w:p>
              </w:tc>
              <w:tc>
                <w:tcPr>
                  <w:tcW w:w="880" w:type="pct"/>
                  <w:vMerge w:val="restart"/>
                  <w:shd w:val="clear" w:color="auto" w:fill="auto"/>
                  <w:vAlign w:val="center"/>
                </w:tcPr>
                <w:p w14:paraId="48543DA5">
                  <w:pPr>
                    <w:jc w:val="center"/>
                    <w:outlineLvl w:val="9"/>
                    <w:rPr>
                      <w:color w:val="000000" w:themeColor="text1"/>
                      <w:szCs w:val="21"/>
                      <w14:textFill>
                        <w14:solidFill>
                          <w14:schemeClr w14:val="tx1"/>
                        </w14:solidFill>
                      </w14:textFill>
                    </w:rPr>
                  </w:pPr>
                  <w:bookmarkStart w:id="138" w:name="_Toc21824"/>
                  <w:r>
                    <w:rPr>
                      <w:rFonts w:hint="eastAsia"/>
                      <w:color w:val="000000" w:themeColor="text1"/>
                      <w:szCs w:val="21"/>
                      <w14:textFill>
                        <w14:solidFill>
                          <w14:schemeClr w14:val="tx1"/>
                        </w14:solidFill>
                      </w14:textFill>
                    </w:rPr>
                    <w:t>白酒储存过程产生的废气</w:t>
                  </w:r>
                  <w:bookmarkEnd w:id="138"/>
                </w:p>
              </w:tc>
              <w:tc>
                <w:tcPr>
                  <w:tcW w:w="512" w:type="pct"/>
                  <w:vMerge w:val="restart"/>
                  <w:shd w:val="clear" w:color="auto" w:fill="auto"/>
                  <w:vAlign w:val="center"/>
                </w:tcPr>
                <w:p w14:paraId="599F864A">
                  <w:pPr>
                    <w:jc w:val="center"/>
                    <w:outlineLvl w:val="9"/>
                    <w:rPr>
                      <w:color w:val="000000" w:themeColor="text1"/>
                      <w:szCs w:val="21"/>
                      <w14:textFill>
                        <w14:solidFill>
                          <w14:schemeClr w14:val="tx1"/>
                        </w14:solidFill>
                      </w14:textFill>
                    </w:rPr>
                  </w:pPr>
                  <w:bookmarkStart w:id="139" w:name="_Toc24886"/>
                  <w:r>
                    <w:rPr>
                      <w:rFonts w:hint="eastAsia"/>
                      <w:color w:val="000000" w:themeColor="text1"/>
                      <w:szCs w:val="21"/>
                      <w14:textFill>
                        <w14:solidFill>
                          <w14:schemeClr w14:val="tx1"/>
                        </w14:solidFill>
                      </w14:textFill>
                    </w:rPr>
                    <w:t>非甲烷总烃</w:t>
                  </w:r>
                  <w:bookmarkEnd w:id="139"/>
                </w:p>
              </w:tc>
              <w:tc>
                <w:tcPr>
                  <w:tcW w:w="761" w:type="pct"/>
                  <w:vMerge w:val="continue"/>
                  <w:vAlign w:val="center"/>
                </w:tcPr>
                <w:p w14:paraId="3A2C6C4F">
                  <w:pPr>
                    <w:jc w:val="center"/>
                    <w:rPr>
                      <w:color w:val="000000" w:themeColor="text1"/>
                      <w:szCs w:val="21"/>
                      <w14:textFill>
                        <w14:solidFill>
                          <w14:schemeClr w14:val="tx1"/>
                        </w14:solidFill>
                      </w14:textFill>
                    </w:rPr>
                  </w:pPr>
                </w:p>
              </w:tc>
              <w:tc>
                <w:tcPr>
                  <w:tcW w:w="1222" w:type="pct"/>
                  <w:shd w:val="clear" w:color="auto" w:fill="auto"/>
                  <w:vAlign w:val="center"/>
                </w:tcPr>
                <w:p w14:paraId="4B83677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 16297-1996）</w:t>
                  </w:r>
                  <w:r>
                    <w:rPr>
                      <w:rFonts w:hint="eastAsia"/>
                      <w:color w:val="000000" w:themeColor="text1"/>
                      <w:szCs w:val="21"/>
                      <w14:textFill>
                        <w14:solidFill>
                          <w14:schemeClr w14:val="tx1"/>
                        </w14:solidFill>
                      </w14:textFill>
                    </w:rPr>
                    <w:t>表2无组织排放限值</w:t>
                  </w:r>
                </w:p>
              </w:tc>
              <w:tc>
                <w:tcPr>
                  <w:tcW w:w="629" w:type="pct"/>
                  <w:shd w:val="clear" w:color="auto" w:fill="auto"/>
                  <w:vAlign w:val="center"/>
                </w:tcPr>
                <w:p w14:paraId="4BFCF493">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.0</w:t>
                  </w:r>
                </w:p>
              </w:tc>
              <w:tc>
                <w:tcPr>
                  <w:tcW w:w="351" w:type="pct"/>
                  <w:vMerge w:val="restart"/>
                  <w:shd w:val="clear" w:color="auto" w:fill="auto"/>
                  <w:vAlign w:val="center"/>
                </w:tcPr>
                <w:p w14:paraId="040C495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0.069</w:t>
                  </w:r>
                </w:p>
              </w:tc>
            </w:tr>
            <w:tr w14:paraId="364E539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402EF191">
                  <w:pPr>
                    <w:pStyle w:val="50"/>
                    <w:rPr>
                      <w:color w:val="000000" w:themeColor="text1"/>
                      <w14:textFill>
                        <w14:solidFill>
                          <w14:schemeClr w14:val="tx1"/>
                        </w14:solidFill>
                      </w14:textFill>
                    </w:rPr>
                  </w:pPr>
                </w:p>
              </w:tc>
              <w:tc>
                <w:tcPr>
                  <w:tcW w:w="410" w:type="pct"/>
                  <w:vMerge w:val="continue"/>
                  <w:vAlign w:val="center"/>
                </w:tcPr>
                <w:p w14:paraId="0AA25DA6">
                  <w:pPr>
                    <w:pStyle w:val="50"/>
                    <w:rPr>
                      <w:color w:val="000000" w:themeColor="text1"/>
                      <w14:textFill>
                        <w14:solidFill>
                          <w14:schemeClr w14:val="tx1"/>
                        </w14:solidFill>
                      </w14:textFill>
                    </w:rPr>
                  </w:pPr>
                </w:p>
              </w:tc>
              <w:tc>
                <w:tcPr>
                  <w:tcW w:w="880" w:type="pct"/>
                  <w:vMerge w:val="continue"/>
                  <w:shd w:val="clear" w:color="auto" w:fill="auto"/>
                  <w:vAlign w:val="center"/>
                </w:tcPr>
                <w:p w14:paraId="3F5496BC">
                  <w:pPr>
                    <w:pStyle w:val="50"/>
                    <w:rPr>
                      <w:color w:val="000000" w:themeColor="text1"/>
                      <w14:textFill>
                        <w14:solidFill>
                          <w14:schemeClr w14:val="tx1"/>
                        </w14:solidFill>
                      </w14:textFill>
                    </w:rPr>
                  </w:pPr>
                </w:p>
              </w:tc>
              <w:tc>
                <w:tcPr>
                  <w:tcW w:w="512" w:type="pct"/>
                  <w:vMerge w:val="continue"/>
                  <w:shd w:val="clear" w:color="auto" w:fill="auto"/>
                  <w:vAlign w:val="center"/>
                </w:tcPr>
                <w:p w14:paraId="719FA244">
                  <w:pPr>
                    <w:pStyle w:val="50"/>
                    <w:rPr>
                      <w:color w:val="000000" w:themeColor="text1"/>
                      <w14:textFill>
                        <w14:solidFill>
                          <w14:schemeClr w14:val="tx1"/>
                        </w14:solidFill>
                      </w14:textFill>
                    </w:rPr>
                  </w:pPr>
                </w:p>
              </w:tc>
              <w:tc>
                <w:tcPr>
                  <w:tcW w:w="761" w:type="pct"/>
                  <w:vMerge w:val="continue"/>
                  <w:vAlign w:val="center"/>
                </w:tcPr>
                <w:p w14:paraId="40CA16E6">
                  <w:pPr>
                    <w:pStyle w:val="50"/>
                    <w:rPr>
                      <w:color w:val="000000" w:themeColor="text1"/>
                      <w14:textFill>
                        <w14:solidFill>
                          <w14:schemeClr w14:val="tx1"/>
                        </w14:solidFill>
                      </w14:textFill>
                    </w:rPr>
                  </w:pPr>
                </w:p>
              </w:tc>
              <w:tc>
                <w:tcPr>
                  <w:tcW w:w="1222" w:type="pct"/>
                  <w:shd w:val="clear" w:color="auto" w:fill="auto"/>
                  <w:vAlign w:val="center"/>
                </w:tcPr>
                <w:p w14:paraId="274DB2AE">
                  <w:pPr>
                    <w:pStyle w:val="50"/>
                    <w:rPr>
                      <w:color w:val="000000" w:themeColor="text1"/>
                      <w:szCs w:val="21"/>
                      <w14:textFill>
                        <w14:solidFill>
                          <w14:schemeClr w14:val="tx1"/>
                        </w14:solidFill>
                      </w14:textFill>
                    </w:rPr>
                  </w:pPr>
                  <w:r>
                    <w:rPr>
                      <w:color w:val="000000" w:themeColor="text1"/>
                      <w:szCs w:val="21"/>
                      <w14:textFill>
                        <w14:solidFill>
                          <w14:schemeClr w14:val="tx1"/>
                        </w14:solidFill>
                      </w14:textFill>
                    </w:rPr>
                    <w:t>《关于全省开展工业企业挥发性有机物专项治理工作中排放建议值的通知》（豫环攻坚办[2017]162号）</w:t>
                  </w:r>
                  <w:r>
                    <w:rPr>
                      <w:rFonts w:hint="eastAsia"/>
                      <w:color w:val="000000" w:themeColor="text1"/>
                      <w:szCs w:val="21"/>
                      <w14:textFill>
                        <w14:solidFill>
                          <w14:schemeClr w14:val="tx1"/>
                        </w14:solidFill>
                      </w14:textFill>
                    </w:rPr>
                    <w:t>附件2“其他企业”</w:t>
                  </w:r>
                </w:p>
              </w:tc>
              <w:tc>
                <w:tcPr>
                  <w:tcW w:w="629" w:type="pct"/>
                  <w:shd w:val="clear" w:color="auto" w:fill="auto"/>
                  <w:vAlign w:val="center"/>
                </w:tcPr>
                <w:p w14:paraId="1006F208">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51" w:type="pct"/>
                  <w:vMerge w:val="continue"/>
                  <w:shd w:val="clear" w:color="auto" w:fill="auto"/>
                  <w:vAlign w:val="center"/>
                </w:tcPr>
                <w:p w14:paraId="453AA680">
                  <w:pPr>
                    <w:pStyle w:val="50"/>
                    <w:rPr>
                      <w:color w:val="000000" w:themeColor="text1"/>
                      <w:szCs w:val="21"/>
                      <w14:textFill>
                        <w14:solidFill>
                          <w14:schemeClr w14:val="tx1"/>
                        </w14:solidFill>
                      </w14:textFill>
                    </w:rPr>
                  </w:pPr>
                </w:p>
              </w:tc>
            </w:tr>
            <w:tr w14:paraId="15D3A66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65166D3C">
                  <w:pPr>
                    <w:pStyle w:val="50"/>
                    <w:rPr>
                      <w:color w:val="000000" w:themeColor="text1"/>
                      <w:szCs w:val="21"/>
                      <w14:textFill>
                        <w14:solidFill>
                          <w14:schemeClr w14:val="tx1"/>
                        </w14:solidFill>
                      </w14:textFill>
                    </w:rPr>
                  </w:pPr>
                </w:p>
              </w:tc>
              <w:tc>
                <w:tcPr>
                  <w:tcW w:w="410" w:type="pct"/>
                  <w:vMerge w:val="continue"/>
                  <w:vAlign w:val="center"/>
                </w:tcPr>
                <w:p w14:paraId="7514A8CE">
                  <w:pPr>
                    <w:pStyle w:val="50"/>
                    <w:rPr>
                      <w:color w:val="000000" w:themeColor="text1"/>
                      <w:szCs w:val="21"/>
                      <w14:textFill>
                        <w14:solidFill>
                          <w14:schemeClr w14:val="tx1"/>
                        </w14:solidFill>
                      </w14:textFill>
                    </w:rPr>
                  </w:pPr>
                </w:p>
              </w:tc>
              <w:tc>
                <w:tcPr>
                  <w:tcW w:w="880" w:type="pct"/>
                  <w:vMerge w:val="continue"/>
                  <w:shd w:val="clear" w:color="auto" w:fill="auto"/>
                  <w:vAlign w:val="center"/>
                </w:tcPr>
                <w:p w14:paraId="5798E6FE">
                  <w:pPr>
                    <w:pStyle w:val="50"/>
                    <w:rPr>
                      <w:color w:val="000000" w:themeColor="text1"/>
                      <w:szCs w:val="21"/>
                      <w14:textFill>
                        <w14:solidFill>
                          <w14:schemeClr w14:val="tx1"/>
                        </w14:solidFill>
                      </w14:textFill>
                    </w:rPr>
                  </w:pPr>
                </w:p>
              </w:tc>
              <w:tc>
                <w:tcPr>
                  <w:tcW w:w="512" w:type="pct"/>
                  <w:vMerge w:val="continue"/>
                  <w:shd w:val="clear" w:color="auto" w:fill="auto"/>
                  <w:vAlign w:val="center"/>
                </w:tcPr>
                <w:p w14:paraId="511CA09E">
                  <w:pPr>
                    <w:pStyle w:val="50"/>
                    <w:rPr>
                      <w:color w:val="000000" w:themeColor="text1"/>
                      <w:szCs w:val="21"/>
                      <w14:textFill>
                        <w14:solidFill>
                          <w14:schemeClr w14:val="tx1"/>
                        </w14:solidFill>
                      </w14:textFill>
                    </w:rPr>
                  </w:pPr>
                </w:p>
              </w:tc>
              <w:tc>
                <w:tcPr>
                  <w:tcW w:w="761" w:type="pct"/>
                  <w:vMerge w:val="continue"/>
                  <w:vAlign w:val="center"/>
                </w:tcPr>
                <w:p w14:paraId="00F82772">
                  <w:pPr>
                    <w:pStyle w:val="50"/>
                    <w:rPr>
                      <w:color w:val="000000" w:themeColor="text1"/>
                      <w:szCs w:val="21"/>
                      <w14:textFill>
                        <w14:solidFill>
                          <w14:schemeClr w14:val="tx1"/>
                        </w14:solidFill>
                      </w14:textFill>
                    </w:rPr>
                  </w:pPr>
                </w:p>
              </w:tc>
              <w:tc>
                <w:tcPr>
                  <w:tcW w:w="1222" w:type="pct"/>
                  <w:vMerge w:val="restart"/>
                  <w:shd w:val="clear" w:color="auto" w:fill="auto"/>
                  <w:vAlign w:val="center"/>
                </w:tcPr>
                <w:p w14:paraId="2A4F4701">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《挥发性有机物无组织排放控制标准》</w:t>
                  </w:r>
                  <w:r>
                    <w:rPr>
                      <w:color w:val="000000" w:themeColor="text1"/>
                      <w14:textFill>
                        <w14:solidFill>
                          <w14:schemeClr w14:val="tx1"/>
                        </w14:solidFill>
                      </w14:textFill>
                    </w:rPr>
                    <w:t>(GB37822-2019)</w:t>
                  </w:r>
                </w:p>
              </w:tc>
              <w:tc>
                <w:tcPr>
                  <w:tcW w:w="629" w:type="pct"/>
                  <w:shd w:val="clear" w:color="auto" w:fill="auto"/>
                  <w:vAlign w:val="center"/>
                </w:tcPr>
                <w:p w14:paraId="3397E76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10.0（监控点处1小时平均）</w:t>
                  </w:r>
                </w:p>
              </w:tc>
              <w:tc>
                <w:tcPr>
                  <w:tcW w:w="351" w:type="pct"/>
                  <w:vMerge w:val="continue"/>
                  <w:shd w:val="clear" w:color="auto" w:fill="auto"/>
                  <w:vAlign w:val="center"/>
                </w:tcPr>
                <w:p w14:paraId="639899CD">
                  <w:pPr>
                    <w:pStyle w:val="50"/>
                    <w:rPr>
                      <w:color w:val="000000" w:themeColor="text1"/>
                      <w:szCs w:val="21"/>
                      <w14:textFill>
                        <w14:solidFill>
                          <w14:schemeClr w14:val="tx1"/>
                        </w14:solidFill>
                      </w14:textFill>
                    </w:rPr>
                  </w:pPr>
                </w:p>
              </w:tc>
            </w:tr>
            <w:tr w14:paraId="11091D1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2FC365A2">
                  <w:pPr>
                    <w:pStyle w:val="50"/>
                    <w:rPr>
                      <w:color w:val="000000" w:themeColor="text1"/>
                      <w14:textFill>
                        <w14:solidFill>
                          <w14:schemeClr w14:val="tx1"/>
                        </w14:solidFill>
                      </w14:textFill>
                    </w:rPr>
                  </w:pPr>
                </w:p>
              </w:tc>
              <w:tc>
                <w:tcPr>
                  <w:tcW w:w="410" w:type="pct"/>
                  <w:vMerge w:val="continue"/>
                  <w:vAlign w:val="center"/>
                </w:tcPr>
                <w:p w14:paraId="6F8D31A5">
                  <w:pPr>
                    <w:pStyle w:val="50"/>
                    <w:rPr>
                      <w:color w:val="000000" w:themeColor="text1"/>
                      <w14:textFill>
                        <w14:solidFill>
                          <w14:schemeClr w14:val="tx1"/>
                        </w14:solidFill>
                      </w14:textFill>
                    </w:rPr>
                  </w:pPr>
                </w:p>
              </w:tc>
              <w:tc>
                <w:tcPr>
                  <w:tcW w:w="880" w:type="pct"/>
                  <w:vMerge w:val="continue"/>
                  <w:shd w:val="clear" w:color="auto" w:fill="auto"/>
                  <w:vAlign w:val="center"/>
                </w:tcPr>
                <w:p w14:paraId="7E22C370">
                  <w:pPr>
                    <w:pStyle w:val="50"/>
                    <w:rPr>
                      <w:color w:val="000000" w:themeColor="text1"/>
                      <w14:textFill>
                        <w14:solidFill>
                          <w14:schemeClr w14:val="tx1"/>
                        </w14:solidFill>
                      </w14:textFill>
                    </w:rPr>
                  </w:pPr>
                </w:p>
              </w:tc>
              <w:tc>
                <w:tcPr>
                  <w:tcW w:w="512" w:type="pct"/>
                  <w:vMerge w:val="continue"/>
                  <w:shd w:val="clear" w:color="auto" w:fill="auto"/>
                  <w:vAlign w:val="center"/>
                </w:tcPr>
                <w:p w14:paraId="58BAAF92">
                  <w:pPr>
                    <w:pStyle w:val="50"/>
                    <w:rPr>
                      <w:color w:val="000000" w:themeColor="text1"/>
                      <w14:textFill>
                        <w14:solidFill>
                          <w14:schemeClr w14:val="tx1"/>
                        </w14:solidFill>
                      </w14:textFill>
                    </w:rPr>
                  </w:pPr>
                </w:p>
              </w:tc>
              <w:tc>
                <w:tcPr>
                  <w:tcW w:w="761" w:type="pct"/>
                  <w:vMerge w:val="continue"/>
                  <w:vAlign w:val="center"/>
                </w:tcPr>
                <w:p w14:paraId="10D1C7A3">
                  <w:pPr>
                    <w:pStyle w:val="50"/>
                    <w:rPr>
                      <w:color w:val="000000" w:themeColor="text1"/>
                      <w14:textFill>
                        <w14:solidFill>
                          <w14:schemeClr w14:val="tx1"/>
                        </w14:solidFill>
                      </w14:textFill>
                    </w:rPr>
                  </w:pPr>
                </w:p>
              </w:tc>
              <w:tc>
                <w:tcPr>
                  <w:tcW w:w="1222" w:type="pct"/>
                  <w:vMerge w:val="continue"/>
                  <w:shd w:val="clear" w:color="auto" w:fill="auto"/>
                  <w:vAlign w:val="center"/>
                </w:tcPr>
                <w:p w14:paraId="054E3052">
                  <w:pPr>
                    <w:jc w:val="center"/>
                    <w:rPr>
                      <w:color w:val="000000" w:themeColor="text1"/>
                      <w14:textFill>
                        <w14:solidFill>
                          <w14:schemeClr w14:val="tx1"/>
                        </w14:solidFill>
                      </w14:textFill>
                    </w:rPr>
                  </w:pPr>
                </w:p>
              </w:tc>
              <w:tc>
                <w:tcPr>
                  <w:tcW w:w="629" w:type="pct"/>
                  <w:shd w:val="clear" w:color="auto" w:fill="auto"/>
                  <w:vAlign w:val="center"/>
                </w:tcPr>
                <w:p w14:paraId="0A7EE4A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30.0（监控点处任意一次）</w:t>
                  </w:r>
                </w:p>
              </w:tc>
              <w:tc>
                <w:tcPr>
                  <w:tcW w:w="351" w:type="pct"/>
                  <w:vMerge w:val="continue"/>
                  <w:shd w:val="clear" w:color="auto" w:fill="auto"/>
                  <w:vAlign w:val="center"/>
                </w:tcPr>
                <w:p w14:paraId="6B952F41">
                  <w:pPr>
                    <w:pStyle w:val="50"/>
                    <w:rPr>
                      <w:color w:val="000000" w:themeColor="text1"/>
                      <w:szCs w:val="21"/>
                      <w14:textFill>
                        <w14:solidFill>
                          <w14:schemeClr w14:val="tx1"/>
                        </w14:solidFill>
                      </w14:textFill>
                    </w:rPr>
                  </w:pPr>
                </w:p>
              </w:tc>
            </w:tr>
            <w:tr w14:paraId="0AE27CD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Align w:val="center"/>
                </w:tcPr>
                <w:p w14:paraId="72079C75">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410" w:type="pct"/>
                  <w:vAlign w:val="center"/>
                </w:tcPr>
                <w:p w14:paraId="6DCB1F35">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黄酒车间</w:t>
                  </w:r>
                </w:p>
              </w:tc>
              <w:tc>
                <w:tcPr>
                  <w:tcW w:w="880" w:type="pct"/>
                  <w:shd w:val="clear" w:color="auto" w:fill="auto"/>
                  <w:vAlign w:val="center"/>
                </w:tcPr>
                <w:p w14:paraId="24F8819B">
                  <w:pPr>
                    <w:jc w:val="center"/>
                    <w:outlineLvl w:val="9"/>
                    <w:rPr>
                      <w:color w:val="000000" w:themeColor="text1"/>
                      <w:kern w:val="32"/>
                      <w:szCs w:val="21"/>
                      <w14:textFill>
                        <w14:solidFill>
                          <w14:schemeClr w14:val="tx1"/>
                        </w14:solidFill>
                      </w14:textFill>
                    </w:rPr>
                  </w:pPr>
                  <w:bookmarkStart w:id="140" w:name="_Toc13679"/>
                  <w:r>
                    <w:rPr>
                      <w:rFonts w:hint="eastAsia"/>
                      <w:color w:val="000000" w:themeColor="text1"/>
                      <w:kern w:val="52"/>
                      <w14:textFill>
                        <w14:solidFill>
                          <w14:schemeClr w14:val="tx1"/>
                        </w14:solidFill>
                      </w14:textFill>
                    </w:rPr>
                    <w:t>黄酒生产线原辅料投料过程粉尘</w:t>
                  </w:r>
                  <w:bookmarkEnd w:id="140"/>
                </w:p>
              </w:tc>
              <w:tc>
                <w:tcPr>
                  <w:tcW w:w="512" w:type="pct"/>
                  <w:shd w:val="clear" w:color="auto" w:fill="auto"/>
                  <w:vAlign w:val="center"/>
                </w:tcPr>
                <w:p w14:paraId="17F063F6">
                  <w:pPr>
                    <w:jc w:val="center"/>
                    <w:outlineLvl w:val="9"/>
                    <w:rPr>
                      <w:color w:val="000000" w:themeColor="text1"/>
                      <w:szCs w:val="21"/>
                      <w14:textFill>
                        <w14:solidFill>
                          <w14:schemeClr w14:val="tx1"/>
                        </w14:solidFill>
                      </w14:textFill>
                    </w:rPr>
                  </w:pPr>
                  <w:bookmarkStart w:id="141" w:name="_Toc1765"/>
                  <w:r>
                    <w:rPr>
                      <w:rFonts w:hint="eastAsia"/>
                      <w:color w:val="000000" w:themeColor="text1"/>
                      <w:szCs w:val="21"/>
                      <w14:textFill>
                        <w14:solidFill>
                          <w14:schemeClr w14:val="tx1"/>
                        </w14:solidFill>
                      </w14:textFill>
                    </w:rPr>
                    <w:t>颗粒物</w:t>
                  </w:r>
                  <w:bookmarkEnd w:id="141"/>
                </w:p>
              </w:tc>
              <w:tc>
                <w:tcPr>
                  <w:tcW w:w="761" w:type="pct"/>
                  <w:vAlign w:val="center"/>
                </w:tcPr>
                <w:p w14:paraId="76B6DDB4">
                  <w:pPr>
                    <w:jc w:val="center"/>
                    <w:rPr>
                      <w:bCs/>
                      <w:color w:val="000000" w:themeColor="text1"/>
                      <w:szCs w:val="21"/>
                      <w:lang w:val="en-GB"/>
                      <w14:textFill>
                        <w14:solidFill>
                          <w14:schemeClr w14:val="tx1"/>
                        </w14:solidFill>
                      </w14:textFill>
                    </w:rPr>
                  </w:pPr>
                  <w:r>
                    <w:rPr>
                      <w:color w:val="000000" w:themeColor="text1"/>
                      <w:szCs w:val="21"/>
                      <w14:textFill>
                        <w14:solidFill>
                          <w14:schemeClr w14:val="tx1"/>
                        </w14:solidFill>
                      </w14:textFill>
                    </w:rPr>
                    <w:t>车间密闭</w:t>
                  </w:r>
                </w:p>
              </w:tc>
              <w:tc>
                <w:tcPr>
                  <w:tcW w:w="1222" w:type="pct"/>
                  <w:shd w:val="clear" w:color="auto" w:fill="auto"/>
                  <w:vAlign w:val="center"/>
                </w:tcPr>
                <w:p w14:paraId="3001242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c>
                <w:tcPr>
                  <w:tcW w:w="629" w:type="pct"/>
                  <w:vAlign w:val="center"/>
                </w:tcPr>
                <w:p w14:paraId="40A9901E">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351" w:type="pct"/>
                  <w:shd w:val="clear" w:color="auto" w:fill="auto"/>
                  <w:vAlign w:val="center"/>
                </w:tcPr>
                <w:p w14:paraId="4034FD4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0.008</w:t>
                  </w:r>
                </w:p>
              </w:tc>
            </w:tr>
            <w:tr w14:paraId="3F1EC18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Align w:val="center"/>
                </w:tcPr>
                <w:p w14:paraId="42D7FA0D">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410" w:type="pct"/>
                  <w:vAlign w:val="center"/>
                </w:tcPr>
                <w:p w14:paraId="705C7411">
                  <w:pPr>
                    <w:pStyle w:val="49"/>
                    <w:rPr>
                      <w:color w:val="000000" w:themeColor="text1"/>
                      <w:szCs w:val="21"/>
                      <w14:textFill>
                        <w14:solidFill>
                          <w14:schemeClr w14:val="tx1"/>
                        </w14:solidFill>
                      </w14:textFill>
                    </w:rPr>
                  </w:pPr>
                  <w:r>
                    <w:rPr>
                      <w:rFonts w:hint="eastAsia"/>
                      <w:color w:val="000000" w:themeColor="text1"/>
                      <w:kern w:val="52"/>
                      <w14:textFill>
                        <w14:solidFill>
                          <w14:schemeClr w14:val="tx1"/>
                        </w14:solidFill>
                      </w14:textFill>
                    </w:rPr>
                    <w:t>封坛发酵车间</w:t>
                  </w:r>
                </w:p>
              </w:tc>
              <w:tc>
                <w:tcPr>
                  <w:tcW w:w="880" w:type="pct"/>
                  <w:shd w:val="clear" w:color="auto" w:fill="auto"/>
                  <w:vAlign w:val="center"/>
                </w:tcPr>
                <w:p w14:paraId="09C06034">
                  <w:pPr>
                    <w:jc w:val="center"/>
                    <w:outlineLvl w:val="9"/>
                    <w:rPr>
                      <w:color w:val="000000" w:themeColor="text1"/>
                      <w:kern w:val="52"/>
                      <w14:textFill>
                        <w14:solidFill>
                          <w14:schemeClr w14:val="tx1"/>
                        </w14:solidFill>
                      </w14:textFill>
                    </w:rPr>
                  </w:pPr>
                  <w:bookmarkStart w:id="142" w:name="_Toc17619"/>
                  <w:r>
                    <w:rPr>
                      <w:rFonts w:hint="eastAsia"/>
                      <w:color w:val="000000" w:themeColor="text1"/>
                      <w:kern w:val="52"/>
                      <w14:textFill>
                        <w14:solidFill>
                          <w14:schemeClr w14:val="tx1"/>
                        </w14:solidFill>
                      </w14:textFill>
                    </w:rPr>
                    <w:t>封坛发酵车间废气</w:t>
                  </w:r>
                  <w:bookmarkEnd w:id="142"/>
                </w:p>
              </w:tc>
              <w:tc>
                <w:tcPr>
                  <w:tcW w:w="512" w:type="pct"/>
                  <w:shd w:val="clear" w:color="auto" w:fill="auto"/>
                  <w:vAlign w:val="center"/>
                </w:tcPr>
                <w:p w14:paraId="63F5242D">
                  <w:pPr>
                    <w:jc w:val="center"/>
                    <w:outlineLvl w:val="9"/>
                    <w:rPr>
                      <w:color w:val="000000" w:themeColor="text1"/>
                      <w:szCs w:val="21"/>
                      <w14:textFill>
                        <w14:solidFill>
                          <w14:schemeClr w14:val="tx1"/>
                        </w14:solidFill>
                      </w14:textFill>
                    </w:rPr>
                  </w:pPr>
                  <w:bookmarkStart w:id="143" w:name="_Toc24068"/>
                  <w:r>
                    <w:rPr>
                      <w:rFonts w:hint="eastAsia"/>
                      <w:color w:val="000000" w:themeColor="text1"/>
                      <w:szCs w:val="21"/>
                      <w14:textFill>
                        <w14:solidFill>
                          <w14:schemeClr w14:val="tx1"/>
                        </w14:solidFill>
                      </w14:textFill>
                    </w:rPr>
                    <w:t>二氧化碳</w:t>
                  </w:r>
                  <w:bookmarkEnd w:id="143"/>
                </w:p>
              </w:tc>
              <w:tc>
                <w:tcPr>
                  <w:tcW w:w="761" w:type="pct"/>
                  <w:vAlign w:val="center"/>
                </w:tcPr>
                <w:p w14:paraId="767E84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1222" w:type="pct"/>
                  <w:shd w:val="clear" w:color="auto" w:fill="auto"/>
                  <w:vAlign w:val="center"/>
                </w:tcPr>
                <w:p w14:paraId="413642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629" w:type="pct"/>
                  <w:vAlign w:val="center"/>
                </w:tcPr>
                <w:p w14:paraId="60128503">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51" w:type="pct"/>
                  <w:shd w:val="clear" w:color="auto" w:fill="auto"/>
                  <w:vAlign w:val="center"/>
                </w:tcPr>
                <w:p w14:paraId="6E048B2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7.412</w:t>
                  </w:r>
                </w:p>
              </w:tc>
            </w:tr>
            <w:tr w14:paraId="0690559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Align w:val="center"/>
                </w:tcPr>
                <w:p w14:paraId="41B8E0B6">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410" w:type="pct"/>
                  <w:vAlign w:val="center"/>
                </w:tcPr>
                <w:p w14:paraId="334EA26F">
                  <w:pPr>
                    <w:pStyle w:val="49"/>
                    <w:rPr>
                      <w:color w:val="000000" w:themeColor="text1"/>
                      <w:szCs w:val="21"/>
                      <w14:textFill>
                        <w14:solidFill>
                          <w14:schemeClr w14:val="tx1"/>
                        </w14:solidFill>
                      </w14:textFill>
                    </w:rPr>
                  </w:pPr>
                  <w:r>
                    <w:rPr>
                      <w:rFonts w:hint="eastAsia"/>
                      <w:color w:val="000000" w:themeColor="text1"/>
                      <w:kern w:val="52"/>
                      <w14:textFill>
                        <w14:solidFill>
                          <w14:schemeClr w14:val="tx1"/>
                        </w14:solidFill>
                      </w14:textFill>
                    </w:rPr>
                    <w:t>封坛区域</w:t>
                  </w:r>
                </w:p>
              </w:tc>
              <w:tc>
                <w:tcPr>
                  <w:tcW w:w="880" w:type="pct"/>
                  <w:shd w:val="clear" w:color="auto" w:fill="auto"/>
                  <w:vAlign w:val="center"/>
                </w:tcPr>
                <w:p w14:paraId="66B90C04">
                  <w:pPr>
                    <w:jc w:val="center"/>
                    <w:outlineLvl w:val="9"/>
                    <w:rPr>
                      <w:color w:val="000000" w:themeColor="text1"/>
                      <w:kern w:val="52"/>
                      <w14:textFill>
                        <w14:solidFill>
                          <w14:schemeClr w14:val="tx1"/>
                        </w14:solidFill>
                      </w14:textFill>
                    </w:rPr>
                  </w:pPr>
                  <w:bookmarkStart w:id="144" w:name="_Toc7090"/>
                  <w:r>
                    <w:rPr>
                      <w:rFonts w:hint="eastAsia"/>
                      <w:color w:val="000000" w:themeColor="text1"/>
                      <w:kern w:val="52"/>
                      <w14:textFill>
                        <w14:solidFill>
                          <w14:schemeClr w14:val="tx1"/>
                        </w14:solidFill>
                      </w14:textFill>
                    </w:rPr>
                    <w:t>封坛区域废气</w:t>
                  </w:r>
                  <w:bookmarkEnd w:id="144"/>
                </w:p>
              </w:tc>
              <w:tc>
                <w:tcPr>
                  <w:tcW w:w="512" w:type="pct"/>
                  <w:shd w:val="clear" w:color="auto" w:fill="auto"/>
                  <w:vAlign w:val="center"/>
                </w:tcPr>
                <w:p w14:paraId="18C66735">
                  <w:pPr>
                    <w:jc w:val="center"/>
                    <w:outlineLvl w:val="9"/>
                    <w:rPr>
                      <w:color w:val="000000" w:themeColor="text1"/>
                      <w:szCs w:val="21"/>
                      <w14:textFill>
                        <w14:solidFill>
                          <w14:schemeClr w14:val="tx1"/>
                        </w14:solidFill>
                      </w14:textFill>
                    </w:rPr>
                  </w:pPr>
                  <w:bookmarkStart w:id="145" w:name="_Toc90"/>
                  <w:r>
                    <w:rPr>
                      <w:rFonts w:hint="eastAsia"/>
                      <w:color w:val="000000" w:themeColor="text1"/>
                      <w:szCs w:val="21"/>
                      <w14:textFill>
                        <w14:solidFill>
                          <w14:schemeClr w14:val="tx1"/>
                        </w14:solidFill>
                      </w14:textFill>
                    </w:rPr>
                    <w:t>二氧化碳</w:t>
                  </w:r>
                  <w:bookmarkEnd w:id="145"/>
                </w:p>
              </w:tc>
              <w:tc>
                <w:tcPr>
                  <w:tcW w:w="761" w:type="pct"/>
                  <w:vAlign w:val="center"/>
                </w:tcPr>
                <w:p w14:paraId="540C9EA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1222" w:type="pct"/>
                  <w:shd w:val="clear" w:color="auto" w:fill="auto"/>
                  <w:vAlign w:val="center"/>
                </w:tcPr>
                <w:p w14:paraId="5471BA5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629" w:type="pct"/>
                  <w:vAlign w:val="center"/>
                </w:tcPr>
                <w:p w14:paraId="7534B6CD">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51" w:type="pct"/>
                  <w:shd w:val="clear" w:color="auto" w:fill="auto"/>
                  <w:vAlign w:val="center"/>
                </w:tcPr>
                <w:p w14:paraId="37725B6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4.941</w:t>
                  </w:r>
                </w:p>
              </w:tc>
            </w:tr>
            <w:tr w14:paraId="24A8D02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restart"/>
                  <w:vAlign w:val="center"/>
                </w:tcPr>
                <w:p w14:paraId="38BA7BAA">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410" w:type="pct"/>
                  <w:vMerge w:val="restart"/>
                  <w:vAlign w:val="center"/>
                </w:tcPr>
                <w:p w14:paraId="1DE34365">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1#二类器械车间</w:t>
                  </w:r>
                </w:p>
              </w:tc>
              <w:tc>
                <w:tcPr>
                  <w:tcW w:w="880" w:type="pct"/>
                  <w:vMerge w:val="restart"/>
                  <w:shd w:val="clear" w:color="auto" w:fill="auto"/>
                  <w:vAlign w:val="center"/>
                </w:tcPr>
                <w:p w14:paraId="3D9D669D">
                  <w:pPr>
                    <w:jc w:val="center"/>
                    <w:outlineLvl w:val="9"/>
                    <w:rPr>
                      <w:color w:val="000000" w:themeColor="text1"/>
                      <w:szCs w:val="21"/>
                      <w14:textFill>
                        <w14:solidFill>
                          <w14:schemeClr w14:val="tx1"/>
                        </w14:solidFill>
                      </w14:textFill>
                    </w:rPr>
                  </w:pPr>
                  <w:bookmarkStart w:id="146" w:name="_Toc3325"/>
                  <w:r>
                    <w:rPr>
                      <w:rFonts w:hint="eastAsia"/>
                      <w:color w:val="000000" w:themeColor="text1"/>
                      <w:szCs w:val="21"/>
                      <w14:textFill>
                        <w14:solidFill>
                          <w14:schemeClr w14:val="tx1"/>
                        </w14:solidFill>
                      </w14:textFill>
                    </w:rPr>
                    <w:t>医用手术衣生产线超声波缝合工序废气</w:t>
                  </w:r>
                  <w:bookmarkEnd w:id="146"/>
                </w:p>
              </w:tc>
              <w:tc>
                <w:tcPr>
                  <w:tcW w:w="512" w:type="pct"/>
                  <w:vMerge w:val="restart"/>
                  <w:shd w:val="clear" w:color="auto" w:fill="auto"/>
                  <w:vAlign w:val="center"/>
                </w:tcPr>
                <w:p w14:paraId="59A10E59">
                  <w:pPr>
                    <w:jc w:val="center"/>
                    <w:outlineLvl w:val="9"/>
                    <w:rPr>
                      <w:color w:val="000000" w:themeColor="text1"/>
                      <w:szCs w:val="21"/>
                      <w14:textFill>
                        <w14:solidFill>
                          <w14:schemeClr w14:val="tx1"/>
                        </w14:solidFill>
                      </w14:textFill>
                    </w:rPr>
                  </w:pPr>
                  <w:bookmarkStart w:id="147" w:name="_Toc15408"/>
                  <w:r>
                    <w:rPr>
                      <w:rFonts w:hint="eastAsia"/>
                      <w:color w:val="000000" w:themeColor="text1"/>
                      <w:szCs w:val="21"/>
                      <w14:textFill>
                        <w14:solidFill>
                          <w14:schemeClr w14:val="tx1"/>
                        </w14:solidFill>
                      </w14:textFill>
                    </w:rPr>
                    <w:t>非甲烷总烃</w:t>
                  </w:r>
                  <w:bookmarkEnd w:id="147"/>
                </w:p>
              </w:tc>
              <w:tc>
                <w:tcPr>
                  <w:tcW w:w="761" w:type="pct"/>
                  <w:vMerge w:val="restart"/>
                  <w:vAlign w:val="center"/>
                </w:tcPr>
                <w:p w14:paraId="2C19DEBB">
                  <w:pPr>
                    <w:jc w:val="center"/>
                    <w:rPr>
                      <w:rFonts w:hint="eastAsia" w:eastAsia="宋体"/>
                      <w:bCs/>
                      <w:color w:val="000000" w:themeColor="text1"/>
                      <w:szCs w:val="21"/>
                      <w:lang w:val="en-GB" w:eastAsia="zh-CN"/>
                      <w14:textFill>
                        <w14:solidFill>
                          <w14:schemeClr w14:val="tx1"/>
                        </w14:solidFill>
                      </w14:textFill>
                    </w:rPr>
                  </w:pPr>
                  <w:r>
                    <w:rPr>
                      <w:rFonts w:hint="eastAsia"/>
                      <w:color w:val="000000" w:themeColor="text1"/>
                      <w:szCs w:val="21"/>
                      <w:lang w:eastAsia="zh-CN"/>
                      <w14:textFill>
                        <w14:solidFill>
                          <w14:schemeClr w14:val="tx1"/>
                        </w14:solidFill>
                      </w14:textFill>
                    </w:rPr>
                    <w:t>车间产生的废气经循环净风（采用三级过滤器+活性炭吸附装置）净化后循环利用，不外排</w:t>
                  </w:r>
                </w:p>
              </w:tc>
              <w:tc>
                <w:tcPr>
                  <w:tcW w:w="1222" w:type="pct"/>
                  <w:shd w:val="clear" w:color="auto" w:fill="auto"/>
                  <w:vAlign w:val="center"/>
                </w:tcPr>
                <w:p w14:paraId="4AACC7B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 16297-1996）</w:t>
                  </w:r>
                  <w:r>
                    <w:rPr>
                      <w:rFonts w:hint="eastAsia"/>
                      <w:color w:val="000000" w:themeColor="text1"/>
                      <w:szCs w:val="21"/>
                      <w14:textFill>
                        <w14:solidFill>
                          <w14:schemeClr w14:val="tx1"/>
                        </w14:solidFill>
                      </w14:textFill>
                    </w:rPr>
                    <w:t>表2无组织排放限值</w:t>
                  </w:r>
                </w:p>
              </w:tc>
              <w:tc>
                <w:tcPr>
                  <w:tcW w:w="629" w:type="pct"/>
                  <w:shd w:val="clear" w:color="auto" w:fill="auto"/>
                  <w:vAlign w:val="center"/>
                </w:tcPr>
                <w:p w14:paraId="47D94472">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.0</w:t>
                  </w:r>
                </w:p>
              </w:tc>
              <w:tc>
                <w:tcPr>
                  <w:tcW w:w="351" w:type="pct"/>
                  <w:vMerge w:val="restart"/>
                  <w:shd w:val="clear" w:color="auto" w:fill="auto"/>
                  <w:vAlign w:val="center"/>
                </w:tcPr>
                <w:p w14:paraId="6E1C12D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0AA9F1C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4B6EAEC7">
                  <w:pPr>
                    <w:pStyle w:val="50"/>
                    <w:rPr>
                      <w:color w:val="000000" w:themeColor="text1"/>
                      <w14:textFill>
                        <w14:solidFill>
                          <w14:schemeClr w14:val="tx1"/>
                        </w14:solidFill>
                      </w14:textFill>
                    </w:rPr>
                  </w:pPr>
                </w:p>
              </w:tc>
              <w:tc>
                <w:tcPr>
                  <w:tcW w:w="410" w:type="pct"/>
                  <w:vMerge w:val="continue"/>
                  <w:vAlign w:val="center"/>
                </w:tcPr>
                <w:p w14:paraId="254215A0">
                  <w:pPr>
                    <w:pStyle w:val="50"/>
                    <w:rPr>
                      <w:color w:val="000000" w:themeColor="text1"/>
                      <w14:textFill>
                        <w14:solidFill>
                          <w14:schemeClr w14:val="tx1"/>
                        </w14:solidFill>
                      </w14:textFill>
                    </w:rPr>
                  </w:pPr>
                </w:p>
              </w:tc>
              <w:tc>
                <w:tcPr>
                  <w:tcW w:w="880" w:type="pct"/>
                  <w:vMerge w:val="continue"/>
                  <w:shd w:val="clear" w:color="auto" w:fill="auto"/>
                  <w:vAlign w:val="center"/>
                </w:tcPr>
                <w:p w14:paraId="43243F55">
                  <w:pPr>
                    <w:pStyle w:val="50"/>
                    <w:rPr>
                      <w:color w:val="000000" w:themeColor="text1"/>
                      <w14:textFill>
                        <w14:solidFill>
                          <w14:schemeClr w14:val="tx1"/>
                        </w14:solidFill>
                      </w14:textFill>
                    </w:rPr>
                  </w:pPr>
                </w:p>
              </w:tc>
              <w:tc>
                <w:tcPr>
                  <w:tcW w:w="512" w:type="pct"/>
                  <w:vMerge w:val="continue"/>
                  <w:shd w:val="clear" w:color="auto" w:fill="auto"/>
                  <w:vAlign w:val="center"/>
                </w:tcPr>
                <w:p w14:paraId="305F31B2">
                  <w:pPr>
                    <w:pStyle w:val="50"/>
                    <w:rPr>
                      <w:color w:val="000000" w:themeColor="text1"/>
                      <w14:textFill>
                        <w14:solidFill>
                          <w14:schemeClr w14:val="tx1"/>
                        </w14:solidFill>
                      </w14:textFill>
                    </w:rPr>
                  </w:pPr>
                </w:p>
              </w:tc>
              <w:tc>
                <w:tcPr>
                  <w:tcW w:w="761" w:type="pct"/>
                  <w:vMerge w:val="continue"/>
                  <w:vAlign w:val="center"/>
                </w:tcPr>
                <w:p w14:paraId="757E6190">
                  <w:pPr>
                    <w:pStyle w:val="50"/>
                    <w:rPr>
                      <w:color w:val="000000" w:themeColor="text1"/>
                      <w14:textFill>
                        <w14:solidFill>
                          <w14:schemeClr w14:val="tx1"/>
                        </w14:solidFill>
                      </w14:textFill>
                    </w:rPr>
                  </w:pPr>
                </w:p>
              </w:tc>
              <w:tc>
                <w:tcPr>
                  <w:tcW w:w="1222" w:type="pct"/>
                  <w:shd w:val="clear" w:color="auto" w:fill="auto"/>
                  <w:vAlign w:val="center"/>
                </w:tcPr>
                <w:p w14:paraId="30EA95CD">
                  <w:pPr>
                    <w:pStyle w:val="50"/>
                    <w:rPr>
                      <w:color w:val="000000" w:themeColor="text1"/>
                      <w:szCs w:val="21"/>
                      <w14:textFill>
                        <w14:solidFill>
                          <w14:schemeClr w14:val="tx1"/>
                        </w14:solidFill>
                      </w14:textFill>
                    </w:rPr>
                  </w:pPr>
                  <w:r>
                    <w:rPr>
                      <w:color w:val="000000" w:themeColor="text1"/>
                      <w:szCs w:val="21"/>
                      <w14:textFill>
                        <w14:solidFill>
                          <w14:schemeClr w14:val="tx1"/>
                        </w14:solidFill>
                      </w14:textFill>
                    </w:rPr>
                    <w:t>《关于全省开展工业企业挥发性有机物专项治理工作中排放建议值的通知》（豫环攻坚办[2017]162号）</w:t>
                  </w:r>
                  <w:r>
                    <w:rPr>
                      <w:rFonts w:hint="eastAsia"/>
                      <w:color w:val="000000" w:themeColor="text1"/>
                      <w:szCs w:val="21"/>
                      <w14:textFill>
                        <w14:solidFill>
                          <w14:schemeClr w14:val="tx1"/>
                        </w14:solidFill>
                      </w14:textFill>
                    </w:rPr>
                    <w:t>附件2“其他企业”</w:t>
                  </w:r>
                </w:p>
              </w:tc>
              <w:tc>
                <w:tcPr>
                  <w:tcW w:w="629" w:type="pct"/>
                  <w:shd w:val="clear" w:color="auto" w:fill="auto"/>
                  <w:vAlign w:val="center"/>
                </w:tcPr>
                <w:p w14:paraId="40C9F3D2">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51" w:type="pct"/>
                  <w:vMerge w:val="continue"/>
                  <w:shd w:val="clear" w:color="auto" w:fill="auto"/>
                  <w:vAlign w:val="center"/>
                </w:tcPr>
                <w:p w14:paraId="69853867">
                  <w:pPr>
                    <w:pStyle w:val="50"/>
                    <w:rPr>
                      <w:color w:val="000000" w:themeColor="text1"/>
                      <w:szCs w:val="21"/>
                      <w14:textFill>
                        <w14:solidFill>
                          <w14:schemeClr w14:val="tx1"/>
                        </w14:solidFill>
                      </w14:textFill>
                    </w:rPr>
                  </w:pPr>
                </w:p>
              </w:tc>
            </w:tr>
            <w:tr w14:paraId="75FEA6E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472D11F2">
                  <w:pPr>
                    <w:pStyle w:val="50"/>
                    <w:rPr>
                      <w:color w:val="000000" w:themeColor="text1"/>
                      <w:szCs w:val="21"/>
                      <w14:textFill>
                        <w14:solidFill>
                          <w14:schemeClr w14:val="tx1"/>
                        </w14:solidFill>
                      </w14:textFill>
                    </w:rPr>
                  </w:pPr>
                </w:p>
              </w:tc>
              <w:tc>
                <w:tcPr>
                  <w:tcW w:w="410" w:type="pct"/>
                  <w:vMerge w:val="continue"/>
                  <w:vAlign w:val="center"/>
                </w:tcPr>
                <w:p w14:paraId="78395821">
                  <w:pPr>
                    <w:pStyle w:val="50"/>
                    <w:rPr>
                      <w:color w:val="000000" w:themeColor="text1"/>
                      <w:szCs w:val="21"/>
                      <w14:textFill>
                        <w14:solidFill>
                          <w14:schemeClr w14:val="tx1"/>
                        </w14:solidFill>
                      </w14:textFill>
                    </w:rPr>
                  </w:pPr>
                </w:p>
              </w:tc>
              <w:tc>
                <w:tcPr>
                  <w:tcW w:w="880" w:type="pct"/>
                  <w:vMerge w:val="continue"/>
                  <w:shd w:val="clear" w:color="auto" w:fill="auto"/>
                  <w:vAlign w:val="center"/>
                </w:tcPr>
                <w:p w14:paraId="0F036C3E">
                  <w:pPr>
                    <w:pStyle w:val="50"/>
                    <w:rPr>
                      <w:color w:val="000000" w:themeColor="text1"/>
                      <w:szCs w:val="21"/>
                      <w14:textFill>
                        <w14:solidFill>
                          <w14:schemeClr w14:val="tx1"/>
                        </w14:solidFill>
                      </w14:textFill>
                    </w:rPr>
                  </w:pPr>
                </w:p>
              </w:tc>
              <w:tc>
                <w:tcPr>
                  <w:tcW w:w="512" w:type="pct"/>
                  <w:vMerge w:val="continue"/>
                  <w:shd w:val="clear" w:color="auto" w:fill="auto"/>
                  <w:vAlign w:val="center"/>
                </w:tcPr>
                <w:p w14:paraId="7BDA18E0">
                  <w:pPr>
                    <w:pStyle w:val="50"/>
                    <w:rPr>
                      <w:color w:val="000000" w:themeColor="text1"/>
                      <w:szCs w:val="21"/>
                      <w14:textFill>
                        <w14:solidFill>
                          <w14:schemeClr w14:val="tx1"/>
                        </w14:solidFill>
                      </w14:textFill>
                    </w:rPr>
                  </w:pPr>
                </w:p>
              </w:tc>
              <w:tc>
                <w:tcPr>
                  <w:tcW w:w="761" w:type="pct"/>
                  <w:vMerge w:val="continue"/>
                  <w:vAlign w:val="center"/>
                </w:tcPr>
                <w:p w14:paraId="2D014FF5">
                  <w:pPr>
                    <w:pStyle w:val="50"/>
                    <w:rPr>
                      <w:color w:val="000000" w:themeColor="text1"/>
                      <w:szCs w:val="21"/>
                      <w14:textFill>
                        <w14:solidFill>
                          <w14:schemeClr w14:val="tx1"/>
                        </w14:solidFill>
                      </w14:textFill>
                    </w:rPr>
                  </w:pPr>
                </w:p>
              </w:tc>
              <w:tc>
                <w:tcPr>
                  <w:tcW w:w="1222" w:type="pct"/>
                  <w:vMerge w:val="restart"/>
                  <w:shd w:val="clear" w:color="auto" w:fill="auto"/>
                  <w:vAlign w:val="center"/>
                </w:tcPr>
                <w:p w14:paraId="4C6ABC5B">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《挥发性有机物无组织排放控制标准》</w:t>
                  </w:r>
                  <w:r>
                    <w:rPr>
                      <w:color w:val="000000" w:themeColor="text1"/>
                      <w14:textFill>
                        <w14:solidFill>
                          <w14:schemeClr w14:val="tx1"/>
                        </w14:solidFill>
                      </w14:textFill>
                    </w:rPr>
                    <w:t>(GB37822-2019)</w:t>
                  </w:r>
                </w:p>
              </w:tc>
              <w:tc>
                <w:tcPr>
                  <w:tcW w:w="629" w:type="pct"/>
                  <w:shd w:val="clear" w:color="auto" w:fill="auto"/>
                  <w:vAlign w:val="center"/>
                </w:tcPr>
                <w:p w14:paraId="094DC58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10.0（监控点处1小时平均）</w:t>
                  </w:r>
                </w:p>
              </w:tc>
              <w:tc>
                <w:tcPr>
                  <w:tcW w:w="351" w:type="pct"/>
                  <w:vMerge w:val="continue"/>
                  <w:shd w:val="clear" w:color="auto" w:fill="auto"/>
                  <w:vAlign w:val="center"/>
                </w:tcPr>
                <w:p w14:paraId="645991E2">
                  <w:pPr>
                    <w:pStyle w:val="50"/>
                    <w:rPr>
                      <w:color w:val="000000" w:themeColor="text1"/>
                      <w:szCs w:val="21"/>
                      <w14:textFill>
                        <w14:solidFill>
                          <w14:schemeClr w14:val="tx1"/>
                        </w14:solidFill>
                      </w14:textFill>
                    </w:rPr>
                  </w:pPr>
                </w:p>
              </w:tc>
            </w:tr>
            <w:tr w14:paraId="05DC1CE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18D3C1B9">
                  <w:pPr>
                    <w:pStyle w:val="50"/>
                    <w:rPr>
                      <w:color w:val="000000" w:themeColor="text1"/>
                      <w:szCs w:val="21"/>
                      <w14:textFill>
                        <w14:solidFill>
                          <w14:schemeClr w14:val="tx1"/>
                        </w14:solidFill>
                      </w14:textFill>
                    </w:rPr>
                  </w:pPr>
                </w:p>
              </w:tc>
              <w:tc>
                <w:tcPr>
                  <w:tcW w:w="410" w:type="pct"/>
                  <w:vMerge w:val="continue"/>
                  <w:vAlign w:val="center"/>
                </w:tcPr>
                <w:p w14:paraId="47DDF5F1">
                  <w:pPr>
                    <w:pStyle w:val="50"/>
                    <w:rPr>
                      <w:color w:val="000000" w:themeColor="text1"/>
                      <w:szCs w:val="21"/>
                      <w14:textFill>
                        <w14:solidFill>
                          <w14:schemeClr w14:val="tx1"/>
                        </w14:solidFill>
                      </w14:textFill>
                    </w:rPr>
                  </w:pPr>
                </w:p>
              </w:tc>
              <w:tc>
                <w:tcPr>
                  <w:tcW w:w="880" w:type="pct"/>
                  <w:vMerge w:val="continue"/>
                  <w:shd w:val="clear" w:color="auto" w:fill="auto"/>
                  <w:vAlign w:val="center"/>
                </w:tcPr>
                <w:p w14:paraId="53473435">
                  <w:pPr>
                    <w:pStyle w:val="50"/>
                    <w:rPr>
                      <w:color w:val="000000" w:themeColor="text1"/>
                      <w:szCs w:val="21"/>
                      <w14:textFill>
                        <w14:solidFill>
                          <w14:schemeClr w14:val="tx1"/>
                        </w14:solidFill>
                      </w14:textFill>
                    </w:rPr>
                  </w:pPr>
                </w:p>
              </w:tc>
              <w:tc>
                <w:tcPr>
                  <w:tcW w:w="512" w:type="pct"/>
                  <w:vMerge w:val="continue"/>
                  <w:shd w:val="clear" w:color="auto" w:fill="auto"/>
                  <w:vAlign w:val="center"/>
                </w:tcPr>
                <w:p w14:paraId="2F2B7F7B">
                  <w:pPr>
                    <w:pStyle w:val="50"/>
                    <w:rPr>
                      <w:color w:val="000000" w:themeColor="text1"/>
                      <w:szCs w:val="21"/>
                      <w14:textFill>
                        <w14:solidFill>
                          <w14:schemeClr w14:val="tx1"/>
                        </w14:solidFill>
                      </w14:textFill>
                    </w:rPr>
                  </w:pPr>
                </w:p>
              </w:tc>
              <w:tc>
                <w:tcPr>
                  <w:tcW w:w="761" w:type="pct"/>
                  <w:vMerge w:val="continue"/>
                  <w:vAlign w:val="center"/>
                </w:tcPr>
                <w:p w14:paraId="5835C24C">
                  <w:pPr>
                    <w:pStyle w:val="50"/>
                    <w:rPr>
                      <w:color w:val="000000" w:themeColor="text1"/>
                      <w:szCs w:val="21"/>
                      <w14:textFill>
                        <w14:solidFill>
                          <w14:schemeClr w14:val="tx1"/>
                        </w14:solidFill>
                      </w14:textFill>
                    </w:rPr>
                  </w:pPr>
                </w:p>
              </w:tc>
              <w:tc>
                <w:tcPr>
                  <w:tcW w:w="1222" w:type="pct"/>
                  <w:vMerge w:val="continue"/>
                  <w:shd w:val="clear" w:color="auto" w:fill="auto"/>
                  <w:vAlign w:val="center"/>
                </w:tcPr>
                <w:p w14:paraId="0BCFE903">
                  <w:pPr>
                    <w:jc w:val="center"/>
                    <w:rPr>
                      <w:color w:val="000000" w:themeColor="text1"/>
                      <w:szCs w:val="21"/>
                      <w14:textFill>
                        <w14:solidFill>
                          <w14:schemeClr w14:val="tx1"/>
                        </w14:solidFill>
                      </w14:textFill>
                    </w:rPr>
                  </w:pPr>
                </w:p>
              </w:tc>
              <w:tc>
                <w:tcPr>
                  <w:tcW w:w="629" w:type="pct"/>
                  <w:shd w:val="clear" w:color="auto" w:fill="auto"/>
                  <w:vAlign w:val="center"/>
                </w:tcPr>
                <w:p w14:paraId="647D3E1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30.0（监控点处任意一次）</w:t>
                  </w:r>
                </w:p>
              </w:tc>
              <w:tc>
                <w:tcPr>
                  <w:tcW w:w="351" w:type="pct"/>
                  <w:vMerge w:val="continue"/>
                  <w:shd w:val="clear" w:color="auto" w:fill="auto"/>
                  <w:vAlign w:val="center"/>
                </w:tcPr>
                <w:p w14:paraId="740929E0">
                  <w:pPr>
                    <w:pStyle w:val="50"/>
                    <w:rPr>
                      <w:color w:val="000000" w:themeColor="text1"/>
                      <w:szCs w:val="21"/>
                      <w14:textFill>
                        <w14:solidFill>
                          <w14:schemeClr w14:val="tx1"/>
                        </w14:solidFill>
                      </w14:textFill>
                    </w:rPr>
                  </w:pPr>
                </w:p>
              </w:tc>
            </w:tr>
            <w:tr w14:paraId="4267FDC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5605F0E7">
                  <w:pPr>
                    <w:jc w:val="center"/>
                    <w:outlineLvl w:val="9"/>
                    <w:rPr>
                      <w:color w:val="000000" w:themeColor="text1"/>
                      <w14:textFill>
                        <w14:solidFill>
                          <w14:schemeClr w14:val="tx1"/>
                        </w14:solidFill>
                      </w14:textFill>
                    </w:rPr>
                  </w:pPr>
                </w:p>
              </w:tc>
              <w:tc>
                <w:tcPr>
                  <w:tcW w:w="410" w:type="pct"/>
                  <w:vMerge w:val="continue"/>
                  <w:vAlign w:val="center"/>
                </w:tcPr>
                <w:p w14:paraId="5205DF7A">
                  <w:pPr>
                    <w:jc w:val="center"/>
                    <w:outlineLvl w:val="9"/>
                    <w:rPr>
                      <w:color w:val="000000" w:themeColor="text1"/>
                      <w14:textFill>
                        <w14:solidFill>
                          <w14:schemeClr w14:val="tx1"/>
                        </w14:solidFill>
                      </w14:textFill>
                    </w:rPr>
                  </w:pPr>
                </w:p>
              </w:tc>
              <w:tc>
                <w:tcPr>
                  <w:tcW w:w="880" w:type="pct"/>
                  <w:vMerge w:val="restart"/>
                  <w:shd w:val="clear" w:color="auto" w:fill="auto"/>
                  <w:vAlign w:val="center"/>
                </w:tcPr>
                <w:p w14:paraId="5EEBCD3E">
                  <w:pPr>
                    <w:jc w:val="center"/>
                    <w:outlineLvl w:val="9"/>
                    <w:rPr>
                      <w:color w:val="000000" w:themeColor="text1"/>
                      <w:szCs w:val="21"/>
                      <w14:textFill>
                        <w14:solidFill>
                          <w14:schemeClr w14:val="tx1"/>
                        </w14:solidFill>
                      </w14:textFill>
                    </w:rPr>
                  </w:pPr>
                  <w:bookmarkStart w:id="148" w:name="_Toc24695"/>
                  <w:r>
                    <w:rPr>
                      <w:rFonts w:hint="eastAsia"/>
                      <w:color w:val="000000" w:themeColor="text1"/>
                      <w:szCs w:val="21"/>
                      <w14:textFill>
                        <w14:solidFill>
                          <w14:schemeClr w14:val="tx1"/>
                        </w14:solidFill>
                      </w14:textFill>
                    </w:rPr>
                    <w:t>治疗凝胶生产线乳化工序未收集的废气</w:t>
                  </w:r>
                  <w:bookmarkEnd w:id="148"/>
                </w:p>
              </w:tc>
              <w:tc>
                <w:tcPr>
                  <w:tcW w:w="512" w:type="pct"/>
                  <w:vMerge w:val="restart"/>
                  <w:shd w:val="clear" w:color="auto" w:fill="auto"/>
                  <w:vAlign w:val="center"/>
                </w:tcPr>
                <w:p w14:paraId="69C09846">
                  <w:pPr>
                    <w:jc w:val="center"/>
                    <w:outlineLvl w:val="9"/>
                    <w:rPr>
                      <w:color w:val="000000" w:themeColor="text1"/>
                      <w:szCs w:val="21"/>
                      <w14:textFill>
                        <w14:solidFill>
                          <w14:schemeClr w14:val="tx1"/>
                        </w14:solidFill>
                      </w14:textFill>
                    </w:rPr>
                  </w:pPr>
                  <w:bookmarkStart w:id="149" w:name="_Toc2671"/>
                  <w:r>
                    <w:rPr>
                      <w:rFonts w:hint="eastAsia"/>
                      <w:color w:val="000000" w:themeColor="text1"/>
                      <w:szCs w:val="21"/>
                      <w14:textFill>
                        <w14:solidFill>
                          <w14:schemeClr w14:val="tx1"/>
                        </w14:solidFill>
                      </w14:textFill>
                    </w:rPr>
                    <w:t>非甲烷总烃</w:t>
                  </w:r>
                  <w:bookmarkEnd w:id="149"/>
                </w:p>
              </w:tc>
              <w:tc>
                <w:tcPr>
                  <w:tcW w:w="761" w:type="pct"/>
                  <w:vMerge w:val="continue"/>
                  <w:vAlign w:val="center"/>
                </w:tcPr>
                <w:p w14:paraId="300F6857">
                  <w:pPr>
                    <w:jc w:val="center"/>
                    <w:outlineLvl w:val="9"/>
                    <w:rPr>
                      <w:color w:val="000000" w:themeColor="text1"/>
                      <w:szCs w:val="21"/>
                      <w14:textFill>
                        <w14:solidFill>
                          <w14:schemeClr w14:val="tx1"/>
                        </w14:solidFill>
                      </w14:textFill>
                    </w:rPr>
                  </w:pPr>
                </w:p>
              </w:tc>
              <w:tc>
                <w:tcPr>
                  <w:tcW w:w="1222" w:type="pct"/>
                  <w:shd w:val="clear" w:color="auto" w:fill="auto"/>
                  <w:vAlign w:val="center"/>
                </w:tcPr>
                <w:p w14:paraId="4107B04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 16297-1996）</w:t>
                  </w:r>
                  <w:r>
                    <w:rPr>
                      <w:rFonts w:hint="eastAsia"/>
                      <w:color w:val="000000" w:themeColor="text1"/>
                      <w:szCs w:val="21"/>
                      <w14:textFill>
                        <w14:solidFill>
                          <w14:schemeClr w14:val="tx1"/>
                        </w14:solidFill>
                      </w14:textFill>
                    </w:rPr>
                    <w:t>表2无组织排放限值</w:t>
                  </w:r>
                </w:p>
              </w:tc>
              <w:tc>
                <w:tcPr>
                  <w:tcW w:w="629" w:type="pct"/>
                  <w:shd w:val="clear" w:color="auto" w:fill="auto"/>
                  <w:vAlign w:val="center"/>
                </w:tcPr>
                <w:p w14:paraId="426EDFE5">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.0</w:t>
                  </w:r>
                </w:p>
              </w:tc>
              <w:tc>
                <w:tcPr>
                  <w:tcW w:w="351" w:type="pct"/>
                  <w:vMerge w:val="restart"/>
                  <w:shd w:val="clear" w:color="auto" w:fill="auto"/>
                  <w:vAlign w:val="center"/>
                </w:tcPr>
                <w:p w14:paraId="6DCFF71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29B2C6A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5B5DF5A1">
                  <w:pPr>
                    <w:jc w:val="center"/>
                    <w:outlineLvl w:val="9"/>
                    <w:rPr>
                      <w:color w:val="000000" w:themeColor="text1"/>
                      <w14:textFill>
                        <w14:solidFill>
                          <w14:schemeClr w14:val="tx1"/>
                        </w14:solidFill>
                      </w14:textFill>
                    </w:rPr>
                  </w:pPr>
                </w:p>
              </w:tc>
              <w:tc>
                <w:tcPr>
                  <w:tcW w:w="410" w:type="pct"/>
                  <w:vMerge w:val="continue"/>
                  <w:vAlign w:val="center"/>
                </w:tcPr>
                <w:p w14:paraId="4DC3EA95">
                  <w:pPr>
                    <w:jc w:val="center"/>
                    <w:outlineLvl w:val="9"/>
                    <w:rPr>
                      <w:color w:val="000000" w:themeColor="text1"/>
                      <w14:textFill>
                        <w14:solidFill>
                          <w14:schemeClr w14:val="tx1"/>
                        </w14:solidFill>
                      </w14:textFill>
                    </w:rPr>
                  </w:pPr>
                </w:p>
              </w:tc>
              <w:tc>
                <w:tcPr>
                  <w:tcW w:w="880" w:type="pct"/>
                  <w:vMerge w:val="continue"/>
                  <w:shd w:val="clear" w:color="auto" w:fill="auto"/>
                  <w:vAlign w:val="center"/>
                </w:tcPr>
                <w:p w14:paraId="1F92DACD">
                  <w:pPr>
                    <w:jc w:val="center"/>
                    <w:outlineLvl w:val="9"/>
                    <w:rPr>
                      <w:color w:val="000000" w:themeColor="text1"/>
                      <w14:textFill>
                        <w14:solidFill>
                          <w14:schemeClr w14:val="tx1"/>
                        </w14:solidFill>
                      </w14:textFill>
                    </w:rPr>
                  </w:pPr>
                </w:p>
              </w:tc>
              <w:tc>
                <w:tcPr>
                  <w:tcW w:w="512" w:type="pct"/>
                  <w:vMerge w:val="continue"/>
                  <w:shd w:val="clear" w:color="auto" w:fill="auto"/>
                  <w:vAlign w:val="center"/>
                </w:tcPr>
                <w:p w14:paraId="0430B732">
                  <w:pPr>
                    <w:jc w:val="center"/>
                    <w:outlineLvl w:val="9"/>
                    <w:rPr>
                      <w:color w:val="000000" w:themeColor="text1"/>
                      <w14:textFill>
                        <w14:solidFill>
                          <w14:schemeClr w14:val="tx1"/>
                        </w14:solidFill>
                      </w14:textFill>
                    </w:rPr>
                  </w:pPr>
                </w:p>
              </w:tc>
              <w:tc>
                <w:tcPr>
                  <w:tcW w:w="761" w:type="pct"/>
                  <w:vMerge w:val="continue"/>
                  <w:vAlign w:val="center"/>
                </w:tcPr>
                <w:p w14:paraId="0D1D3D6B">
                  <w:pPr>
                    <w:jc w:val="center"/>
                    <w:outlineLvl w:val="9"/>
                    <w:rPr>
                      <w:color w:val="000000" w:themeColor="text1"/>
                      <w14:textFill>
                        <w14:solidFill>
                          <w14:schemeClr w14:val="tx1"/>
                        </w14:solidFill>
                      </w14:textFill>
                    </w:rPr>
                  </w:pPr>
                </w:p>
              </w:tc>
              <w:tc>
                <w:tcPr>
                  <w:tcW w:w="1222" w:type="pct"/>
                  <w:shd w:val="clear" w:color="auto" w:fill="auto"/>
                  <w:vAlign w:val="center"/>
                </w:tcPr>
                <w:p w14:paraId="3F94ABFF">
                  <w:pPr>
                    <w:pStyle w:val="50"/>
                    <w:rPr>
                      <w:color w:val="000000" w:themeColor="text1"/>
                      <w:szCs w:val="21"/>
                      <w14:textFill>
                        <w14:solidFill>
                          <w14:schemeClr w14:val="tx1"/>
                        </w14:solidFill>
                      </w14:textFill>
                    </w:rPr>
                  </w:pPr>
                  <w:r>
                    <w:rPr>
                      <w:color w:val="000000" w:themeColor="text1"/>
                      <w:szCs w:val="21"/>
                      <w14:textFill>
                        <w14:solidFill>
                          <w14:schemeClr w14:val="tx1"/>
                        </w14:solidFill>
                      </w14:textFill>
                    </w:rPr>
                    <w:t>《关于全省开展工业企业挥发性有机物专项治理工作中排放建议值的通知》（豫环攻坚办[2017]162号）</w:t>
                  </w:r>
                  <w:r>
                    <w:rPr>
                      <w:rFonts w:hint="eastAsia"/>
                      <w:color w:val="000000" w:themeColor="text1"/>
                      <w:szCs w:val="21"/>
                      <w14:textFill>
                        <w14:solidFill>
                          <w14:schemeClr w14:val="tx1"/>
                        </w14:solidFill>
                      </w14:textFill>
                    </w:rPr>
                    <w:t>附件2“其他企业”</w:t>
                  </w:r>
                </w:p>
              </w:tc>
              <w:tc>
                <w:tcPr>
                  <w:tcW w:w="629" w:type="pct"/>
                  <w:shd w:val="clear" w:color="auto" w:fill="auto"/>
                  <w:vAlign w:val="center"/>
                </w:tcPr>
                <w:p w14:paraId="212F5802">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51" w:type="pct"/>
                  <w:vMerge w:val="continue"/>
                  <w:shd w:val="clear" w:color="auto" w:fill="auto"/>
                  <w:vAlign w:val="center"/>
                </w:tcPr>
                <w:p w14:paraId="770EB086">
                  <w:pPr>
                    <w:jc w:val="center"/>
                    <w:outlineLvl w:val="9"/>
                    <w:rPr>
                      <w:color w:val="000000" w:themeColor="text1"/>
                      <w:szCs w:val="21"/>
                      <w14:textFill>
                        <w14:solidFill>
                          <w14:schemeClr w14:val="tx1"/>
                        </w14:solidFill>
                      </w14:textFill>
                    </w:rPr>
                  </w:pPr>
                </w:p>
              </w:tc>
            </w:tr>
            <w:tr w14:paraId="2242127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725D7582">
                  <w:pPr>
                    <w:jc w:val="center"/>
                    <w:outlineLvl w:val="9"/>
                    <w:rPr>
                      <w:color w:val="000000" w:themeColor="text1"/>
                      <w:szCs w:val="21"/>
                      <w14:textFill>
                        <w14:solidFill>
                          <w14:schemeClr w14:val="tx1"/>
                        </w14:solidFill>
                      </w14:textFill>
                    </w:rPr>
                  </w:pPr>
                </w:p>
              </w:tc>
              <w:tc>
                <w:tcPr>
                  <w:tcW w:w="410" w:type="pct"/>
                  <w:vMerge w:val="continue"/>
                  <w:vAlign w:val="center"/>
                </w:tcPr>
                <w:p w14:paraId="28F9D4A4">
                  <w:pPr>
                    <w:jc w:val="center"/>
                    <w:outlineLvl w:val="9"/>
                    <w:rPr>
                      <w:color w:val="000000" w:themeColor="text1"/>
                      <w:szCs w:val="21"/>
                      <w14:textFill>
                        <w14:solidFill>
                          <w14:schemeClr w14:val="tx1"/>
                        </w14:solidFill>
                      </w14:textFill>
                    </w:rPr>
                  </w:pPr>
                </w:p>
              </w:tc>
              <w:tc>
                <w:tcPr>
                  <w:tcW w:w="880" w:type="pct"/>
                  <w:vMerge w:val="continue"/>
                  <w:shd w:val="clear" w:color="auto" w:fill="auto"/>
                  <w:vAlign w:val="center"/>
                </w:tcPr>
                <w:p w14:paraId="3CE7B767">
                  <w:pPr>
                    <w:jc w:val="center"/>
                    <w:outlineLvl w:val="9"/>
                    <w:rPr>
                      <w:color w:val="000000" w:themeColor="text1"/>
                      <w:szCs w:val="21"/>
                      <w14:textFill>
                        <w14:solidFill>
                          <w14:schemeClr w14:val="tx1"/>
                        </w14:solidFill>
                      </w14:textFill>
                    </w:rPr>
                  </w:pPr>
                </w:p>
              </w:tc>
              <w:tc>
                <w:tcPr>
                  <w:tcW w:w="512" w:type="pct"/>
                  <w:vMerge w:val="continue"/>
                  <w:shd w:val="clear" w:color="auto" w:fill="auto"/>
                  <w:vAlign w:val="center"/>
                </w:tcPr>
                <w:p w14:paraId="561150E6">
                  <w:pPr>
                    <w:jc w:val="center"/>
                    <w:outlineLvl w:val="9"/>
                    <w:rPr>
                      <w:color w:val="000000" w:themeColor="text1"/>
                      <w:szCs w:val="21"/>
                      <w14:textFill>
                        <w14:solidFill>
                          <w14:schemeClr w14:val="tx1"/>
                        </w14:solidFill>
                      </w14:textFill>
                    </w:rPr>
                  </w:pPr>
                </w:p>
              </w:tc>
              <w:tc>
                <w:tcPr>
                  <w:tcW w:w="761" w:type="pct"/>
                  <w:vMerge w:val="continue"/>
                  <w:vAlign w:val="center"/>
                </w:tcPr>
                <w:p w14:paraId="16551384">
                  <w:pPr>
                    <w:jc w:val="center"/>
                    <w:outlineLvl w:val="9"/>
                    <w:rPr>
                      <w:color w:val="000000" w:themeColor="text1"/>
                      <w:szCs w:val="21"/>
                      <w14:textFill>
                        <w14:solidFill>
                          <w14:schemeClr w14:val="tx1"/>
                        </w14:solidFill>
                      </w14:textFill>
                    </w:rPr>
                  </w:pPr>
                </w:p>
              </w:tc>
              <w:tc>
                <w:tcPr>
                  <w:tcW w:w="1222" w:type="pct"/>
                  <w:vMerge w:val="restart"/>
                  <w:shd w:val="clear" w:color="auto" w:fill="auto"/>
                  <w:vAlign w:val="center"/>
                </w:tcPr>
                <w:p w14:paraId="7606FAA1">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《挥发性有机物无组织排放控制标准》</w:t>
                  </w:r>
                  <w:r>
                    <w:rPr>
                      <w:color w:val="000000" w:themeColor="text1"/>
                      <w14:textFill>
                        <w14:solidFill>
                          <w14:schemeClr w14:val="tx1"/>
                        </w14:solidFill>
                      </w14:textFill>
                    </w:rPr>
                    <w:t>(GB37822-2019)</w:t>
                  </w:r>
                </w:p>
              </w:tc>
              <w:tc>
                <w:tcPr>
                  <w:tcW w:w="629" w:type="pct"/>
                  <w:shd w:val="clear" w:color="auto" w:fill="auto"/>
                  <w:vAlign w:val="center"/>
                </w:tcPr>
                <w:p w14:paraId="4451B83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10.0（监控点处1小时平均）</w:t>
                  </w:r>
                </w:p>
              </w:tc>
              <w:tc>
                <w:tcPr>
                  <w:tcW w:w="351" w:type="pct"/>
                  <w:vMerge w:val="continue"/>
                  <w:shd w:val="clear" w:color="auto" w:fill="auto"/>
                  <w:vAlign w:val="center"/>
                </w:tcPr>
                <w:p w14:paraId="7CBB5169">
                  <w:pPr>
                    <w:jc w:val="center"/>
                    <w:outlineLvl w:val="9"/>
                    <w:rPr>
                      <w:color w:val="000000" w:themeColor="text1"/>
                      <w:szCs w:val="21"/>
                      <w14:textFill>
                        <w14:solidFill>
                          <w14:schemeClr w14:val="tx1"/>
                        </w14:solidFill>
                      </w14:textFill>
                    </w:rPr>
                  </w:pPr>
                </w:p>
              </w:tc>
            </w:tr>
            <w:tr w14:paraId="13225340">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5098AD8D">
                  <w:pPr>
                    <w:jc w:val="center"/>
                    <w:outlineLvl w:val="9"/>
                    <w:rPr>
                      <w:color w:val="000000" w:themeColor="text1"/>
                      <w:szCs w:val="21"/>
                      <w14:textFill>
                        <w14:solidFill>
                          <w14:schemeClr w14:val="tx1"/>
                        </w14:solidFill>
                      </w14:textFill>
                    </w:rPr>
                  </w:pPr>
                </w:p>
              </w:tc>
              <w:tc>
                <w:tcPr>
                  <w:tcW w:w="410" w:type="pct"/>
                  <w:vMerge w:val="continue"/>
                  <w:vAlign w:val="center"/>
                </w:tcPr>
                <w:p w14:paraId="66D55305">
                  <w:pPr>
                    <w:jc w:val="center"/>
                    <w:outlineLvl w:val="9"/>
                    <w:rPr>
                      <w:color w:val="000000" w:themeColor="text1"/>
                      <w:szCs w:val="21"/>
                      <w14:textFill>
                        <w14:solidFill>
                          <w14:schemeClr w14:val="tx1"/>
                        </w14:solidFill>
                      </w14:textFill>
                    </w:rPr>
                  </w:pPr>
                </w:p>
              </w:tc>
              <w:tc>
                <w:tcPr>
                  <w:tcW w:w="880" w:type="pct"/>
                  <w:vMerge w:val="continue"/>
                  <w:shd w:val="clear" w:color="auto" w:fill="auto"/>
                  <w:vAlign w:val="center"/>
                </w:tcPr>
                <w:p w14:paraId="22BF5692">
                  <w:pPr>
                    <w:jc w:val="center"/>
                    <w:outlineLvl w:val="9"/>
                    <w:rPr>
                      <w:color w:val="000000" w:themeColor="text1"/>
                      <w:szCs w:val="21"/>
                      <w14:textFill>
                        <w14:solidFill>
                          <w14:schemeClr w14:val="tx1"/>
                        </w14:solidFill>
                      </w14:textFill>
                    </w:rPr>
                  </w:pPr>
                </w:p>
              </w:tc>
              <w:tc>
                <w:tcPr>
                  <w:tcW w:w="512" w:type="pct"/>
                  <w:vMerge w:val="continue"/>
                  <w:shd w:val="clear" w:color="auto" w:fill="auto"/>
                  <w:vAlign w:val="center"/>
                </w:tcPr>
                <w:p w14:paraId="7D72BA6A">
                  <w:pPr>
                    <w:jc w:val="center"/>
                    <w:outlineLvl w:val="9"/>
                    <w:rPr>
                      <w:color w:val="000000" w:themeColor="text1"/>
                      <w:szCs w:val="21"/>
                      <w14:textFill>
                        <w14:solidFill>
                          <w14:schemeClr w14:val="tx1"/>
                        </w14:solidFill>
                      </w14:textFill>
                    </w:rPr>
                  </w:pPr>
                </w:p>
              </w:tc>
              <w:tc>
                <w:tcPr>
                  <w:tcW w:w="761" w:type="pct"/>
                  <w:vMerge w:val="continue"/>
                  <w:vAlign w:val="center"/>
                </w:tcPr>
                <w:p w14:paraId="54475BCD">
                  <w:pPr>
                    <w:jc w:val="center"/>
                    <w:outlineLvl w:val="9"/>
                    <w:rPr>
                      <w:color w:val="000000" w:themeColor="text1"/>
                      <w:szCs w:val="21"/>
                      <w14:textFill>
                        <w14:solidFill>
                          <w14:schemeClr w14:val="tx1"/>
                        </w14:solidFill>
                      </w14:textFill>
                    </w:rPr>
                  </w:pPr>
                </w:p>
              </w:tc>
              <w:tc>
                <w:tcPr>
                  <w:tcW w:w="1222" w:type="pct"/>
                  <w:vMerge w:val="continue"/>
                  <w:shd w:val="clear" w:color="auto" w:fill="auto"/>
                  <w:vAlign w:val="center"/>
                </w:tcPr>
                <w:p w14:paraId="28EC43AD">
                  <w:pPr>
                    <w:jc w:val="center"/>
                    <w:rPr>
                      <w:color w:val="000000" w:themeColor="text1"/>
                      <w:szCs w:val="21"/>
                      <w14:textFill>
                        <w14:solidFill>
                          <w14:schemeClr w14:val="tx1"/>
                        </w14:solidFill>
                      </w14:textFill>
                    </w:rPr>
                  </w:pPr>
                </w:p>
              </w:tc>
              <w:tc>
                <w:tcPr>
                  <w:tcW w:w="629" w:type="pct"/>
                  <w:shd w:val="clear" w:color="auto" w:fill="auto"/>
                  <w:vAlign w:val="center"/>
                </w:tcPr>
                <w:p w14:paraId="433C9B0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30.0（监控点处任意一次）</w:t>
                  </w:r>
                </w:p>
              </w:tc>
              <w:tc>
                <w:tcPr>
                  <w:tcW w:w="351" w:type="pct"/>
                  <w:vMerge w:val="continue"/>
                  <w:shd w:val="clear" w:color="auto" w:fill="auto"/>
                  <w:vAlign w:val="center"/>
                </w:tcPr>
                <w:p w14:paraId="67BE01CA">
                  <w:pPr>
                    <w:jc w:val="center"/>
                    <w:outlineLvl w:val="9"/>
                    <w:rPr>
                      <w:color w:val="000000" w:themeColor="text1"/>
                      <w:szCs w:val="21"/>
                      <w14:textFill>
                        <w14:solidFill>
                          <w14:schemeClr w14:val="tx1"/>
                        </w14:solidFill>
                      </w14:textFill>
                    </w:rPr>
                  </w:pPr>
                </w:p>
              </w:tc>
            </w:tr>
            <w:tr w14:paraId="14B6200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restart"/>
                  <w:vAlign w:val="center"/>
                </w:tcPr>
                <w:p w14:paraId="18D5CB46">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410" w:type="pct"/>
                  <w:vMerge w:val="restart"/>
                  <w:vAlign w:val="center"/>
                </w:tcPr>
                <w:p w14:paraId="6A488295">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2#二类器械车间</w:t>
                  </w:r>
                </w:p>
              </w:tc>
              <w:tc>
                <w:tcPr>
                  <w:tcW w:w="880" w:type="pct"/>
                  <w:shd w:val="clear" w:color="auto" w:fill="auto"/>
                  <w:vAlign w:val="center"/>
                </w:tcPr>
                <w:p w14:paraId="14DF353E">
                  <w:pPr>
                    <w:jc w:val="center"/>
                    <w:outlineLvl w:val="9"/>
                    <w:rPr>
                      <w:color w:val="000000" w:themeColor="text1"/>
                      <w:szCs w:val="21"/>
                      <w14:textFill>
                        <w14:solidFill>
                          <w14:schemeClr w14:val="tx1"/>
                        </w14:solidFill>
                      </w14:textFill>
                    </w:rPr>
                  </w:pPr>
                  <w:bookmarkStart w:id="150" w:name="_Toc715"/>
                  <w:r>
                    <w:rPr>
                      <w:rFonts w:hint="eastAsia"/>
                      <w:color w:val="000000" w:themeColor="text1"/>
                      <w:szCs w:val="21"/>
                      <w14:textFill>
                        <w14:solidFill>
                          <w14:schemeClr w14:val="tx1"/>
                        </w14:solidFill>
                      </w14:textFill>
                    </w:rPr>
                    <w:t>热敷理疗产品上料工序未收集的粉尘</w:t>
                  </w:r>
                  <w:bookmarkEnd w:id="150"/>
                </w:p>
              </w:tc>
              <w:tc>
                <w:tcPr>
                  <w:tcW w:w="512" w:type="pct"/>
                  <w:shd w:val="clear" w:color="auto" w:fill="auto"/>
                  <w:vAlign w:val="center"/>
                </w:tcPr>
                <w:p w14:paraId="79CF92C4">
                  <w:pPr>
                    <w:jc w:val="center"/>
                    <w:outlineLvl w:val="9"/>
                    <w:rPr>
                      <w:color w:val="000000" w:themeColor="text1"/>
                      <w:szCs w:val="21"/>
                      <w14:textFill>
                        <w14:solidFill>
                          <w14:schemeClr w14:val="tx1"/>
                        </w14:solidFill>
                      </w14:textFill>
                    </w:rPr>
                  </w:pPr>
                  <w:bookmarkStart w:id="151" w:name="_Toc18142"/>
                  <w:r>
                    <w:rPr>
                      <w:rFonts w:hint="eastAsia"/>
                      <w:color w:val="000000" w:themeColor="text1"/>
                      <w:szCs w:val="21"/>
                      <w14:textFill>
                        <w14:solidFill>
                          <w14:schemeClr w14:val="tx1"/>
                        </w14:solidFill>
                      </w14:textFill>
                    </w:rPr>
                    <w:t>颗粒物</w:t>
                  </w:r>
                  <w:bookmarkEnd w:id="151"/>
                </w:p>
              </w:tc>
              <w:tc>
                <w:tcPr>
                  <w:tcW w:w="761" w:type="pct"/>
                  <w:vMerge w:val="restart"/>
                  <w:vAlign w:val="center"/>
                </w:tcPr>
                <w:p w14:paraId="4956307F">
                  <w:pPr>
                    <w:jc w:val="center"/>
                    <w:rPr>
                      <w:rFonts w:hint="eastAsia" w:eastAsia="宋体"/>
                      <w:bCs/>
                      <w:color w:val="000000" w:themeColor="text1"/>
                      <w:szCs w:val="21"/>
                      <w:lang w:val="en-GB" w:eastAsia="zh-CN"/>
                      <w14:textFill>
                        <w14:solidFill>
                          <w14:schemeClr w14:val="tx1"/>
                        </w14:solidFill>
                      </w14:textFill>
                    </w:rPr>
                  </w:pPr>
                  <w:r>
                    <w:rPr>
                      <w:rFonts w:hint="eastAsia"/>
                      <w:color w:val="000000" w:themeColor="text1"/>
                      <w:szCs w:val="21"/>
                      <w:lang w:eastAsia="zh-CN"/>
                      <w14:textFill>
                        <w14:solidFill>
                          <w14:schemeClr w14:val="tx1"/>
                        </w14:solidFill>
                      </w14:textFill>
                    </w:rPr>
                    <w:t>车间产生的废气经循环净风（采用三级过滤器+活性炭吸附装置）净化后循环利用，不外排</w:t>
                  </w:r>
                </w:p>
              </w:tc>
              <w:tc>
                <w:tcPr>
                  <w:tcW w:w="1222" w:type="pct"/>
                  <w:shd w:val="clear" w:color="auto" w:fill="auto"/>
                  <w:vAlign w:val="center"/>
                </w:tcPr>
                <w:p w14:paraId="6B6681F7">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c>
                <w:tcPr>
                  <w:tcW w:w="629" w:type="pct"/>
                  <w:shd w:val="clear" w:color="auto" w:fill="auto"/>
                  <w:vAlign w:val="center"/>
                </w:tcPr>
                <w:p w14:paraId="43BEDD9E">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351" w:type="pct"/>
                  <w:shd w:val="clear" w:color="auto" w:fill="auto"/>
                  <w:vAlign w:val="center"/>
                </w:tcPr>
                <w:p w14:paraId="73BAE93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0BA74C9A">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005AE7F7">
                  <w:pPr>
                    <w:pStyle w:val="49"/>
                    <w:rPr>
                      <w:color w:val="000000" w:themeColor="text1"/>
                      <w:szCs w:val="21"/>
                      <w14:textFill>
                        <w14:solidFill>
                          <w14:schemeClr w14:val="tx1"/>
                        </w14:solidFill>
                      </w14:textFill>
                    </w:rPr>
                  </w:pPr>
                </w:p>
              </w:tc>
              <w:tc>
                <w:tcPr>
                  <w:tcW w:w="410" w:type="pct"/>
                  <w:vMerge w:val="continue"/>
                  <w:vAlign w:val="center"/>
                </w:tcPr>
                <w:p w14:paraId="11BA8608">
                  <w:pPr>
                    <w:pStyle w:val="49"/>
                    <w:rPr>
                      <w:color w:val="000000" w:themeColor="text1"/>
                      <w:szCs w:val="21"/>
                      <w14:textFill>
                        <w14:solidFill>
                          <w14:schemeClr w14:val="tx1"/>
                        </w14:solidFill>
                      </w14:textFill>
                    </w:rPr>
                  </w:pPr>
                </w:p>
              </w:tc>
              <w:tc>
                <w:tcPr>
                  <w:tcW w:w="880" w:type="pct"/>
                  <w:vMerge w:val="restart"/>
                  <w:shd w:val="clear" w:color="auto" w:fill="auto"/>
                  <w:vAlign w:val="center"/>
                </w:tcPr>
                <w:p w14:paraId="70C10482">
                  <w:pPr>
                    <w:jc w:val="center"/>
                    <w:outlineLvl w:val="9"/>
                    <w:rPr>
                      <w:color w:val="000000" w:themeColor="text1"/>
                      <w:szCs w:val="21"/>
                      <w14:textFill>
                        <w14:solidFill>
                          <w14:schemeClr w14:val="tx1"/>
                        </w14:solidFill>
                      </w14:textFill>
                    </w:rPr>
                  </w:pPr>
                  <w:bookmarkStart w:id="152" w:name="_Toc865"/>
                  <w:r>
                    <w:rPr>
                      <w:rFonts w:hint="eastAsia"/>
                      <w:color w:val="000000" w:themeColor="text1"/>
                      <w:szCs w:val="21"/>
                      <w14:textFill>
                        <w14:solidFill>
                          <w14:schemeClr w14:val="tx1"/>
                        </w14:solidFill>
                      </w14:textFill>
                    </w:rPr>
                    <w:t>热敷理疗产品超声波点焊废气</w:t>
                  </w:r>
                  <w:bookmarkEnd w:id="152"/>
                </w:p>
              </w:tc>
              <w:tc>
                <w:tcPr>
                  <w:tcW w:w="512" w:type="pct"/>
                  <w:vMerge w:val="restart"/>
                  <w:shd w:val="clear" w:color="auto" w:fill="auto"/>
                  <w:vAlign w:val="center"/>
                </w:tcPr>
                <w:p w14:paraId="28172540">
                  <w:pPr>
                    <w:jc w:val="center"/>
                    <w:outlineLvl w:val="9"/>
                    <w:rPr>
                      <w:color w:val="000000" w:themeColor="text1"/>
                      <w:szCs w:val="21"/>
                      <w14:textFill>
                        <w14:solidFill>
                          <w14:schemeClr w14:val="tx1"/>
                        </w14:solidFill>
                      </w14:textFill>
                    </w:rPr>
                  </w:pPr>
                  <w:bookmarkStart w:id="153" w:name="_Toc17169"/>
                  <w:r>
                    <w:rPr>
                      <w:rFonts w:hint="eastAsia"/>
                      <w:color w:val="000000" w:themeColor="text1"/>
                      <w:szCs w:val="21"/>
                      <w14:textFill>
                        <w14:solidFill>
                          <w14:schemeClr w14:val="tx1"/>
                        </w14:solidFill>
                      </w14:textFill>
                    </w:rPr>
                    <w:t>非甲烷总烃</w:t>
                  </w:r>
                  <w:bookmarkEnd w:id="153"/>
                </w:p>
              </w:tc>
              <w:tc>
                <w:tcPr>
                  <w:tcW w:w="761" w:type="pct"/>
                  <w:vMerge w:val="continue"/>
                  <w:vAlign w:val="center"/>
                </w:tcPr>
                <w:p w14:paraId="1F9DD484">
                  <w:pPr>
                    <w:jc w:val="center"/>
                    <w:rPr>
                      <w:bCs/>
                      <w:color w:val="000000" w:themeColor="text1"/>
                      <w:szCs w:val="21"/>
                      <w:lang w:val="en-GB"/>
                      <w14:textFill>
                        <w14:solidFill>
                          <w14:schemeClr w14:val="tx1"/>
                        </w14:solidFill>
                      </w14:textFill>
                    </w:rPr>
                  </w:pPr>
                </w:p>
              </w:tc>
              <w:tc>
                <w:tcPr>
                  <w:tcW w:w="3219" w:type="dxa"/>
                  <w:shd w:val="clear" w:color="auto" w:fill="auto"/>
                  <w:vAlign w:val="center"/>
                </w:tcPr>
                <w:p w14:paraId="0248463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 16297-1996）</w:t>
                  </w:r>
                  <w:r>
                    <w:rPr>
                      <w:rFonts w:hint="eastAsia"/>
                      <w:color w:val="000000" w:themeColor="text1"/>
                      <w:szCs w:val="21"/>
                      <w14:textFill>
                        <w14:solidFill>
                          <w14:schemeClr w14:val="tx1"/>
                        </w14:solidFill>
                      </w14:textFill>
                    </w:rPr>
                    <w:t>表2无组织排放限值</w:t>
                  </w:r>
                </w:p>
              </w:tc>
              <w:tc>
                <w:tcPr>
                  <w:tcW w:w="1659" w:type="dxa"/>
                  <w:shd w:val="clear" w:color="auto" w:fill="auto"/>
                  <w:vAlign w:val="center"/>
                </w:tcPr>
                <w:p w14:paraId="4C544562">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.0</w:t>
                  </w:r>
                </w:p>
              </w:tc>
              <w:tc>
                <w:tcPr>
                  <w:tcW w:w="351" w:type="pct"/>
                  <w:vMerge w:val="restart"/>
                  <w:shd w:val="clear" w:color="auto" w:fill="auto"/>
                  <w:vAlign w:val="center"/>
                </w:tcPr>
                <w:p w14:paraId="7315D4E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321ED97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3B1378A6">
                  <w:pPr>
                    <w:pStyle w:val="50"/>
                    <w:rPr>
                      <w:color w:val="000000" w:themeColor="text1"/>
                      <w14:textFill>
                        <w14:solidFill>
                          <w14:schemeClr w14:val="tx1"/>
                        </w14:solidFill>
                      </w14:textFill>
                    </w:rPr>
                  </w:pPr>
                </w:p>
              </w:tc>
              <w:tc>
                <w:tcPr>
                  <w:tcW w:w="410" w:type="pct"/>
                  <w:vMerge w:val="continue"/>
                  <w:vAlign w:val="center"/>
                </w:tcPr>
                <w:p w14:paraId="45B5065E">
                  <w:pPr>
                    <w:pStyle w:val="50"/>
                    <w:rPr>
                      <w:color w:val="000000" w:themeColor="text1"/>
                      <w14:textFill>
                        <w14:solidFill>
                          <w14:schemeClr w14:val="tx1"/>
                        </w14:solidFill>
                      </w14:textFill>
                    </w:rPr>
                  </w:pPr>
                </w:p>
              </w:tc>
              <w:tc>
                <w:tcPr>
                  <w:tcW w:w="880" w:type="pct"/>
                  <w:vMerge w:val="continue"/>
                  <w:shd w:val="clear" w:color="auto" w:fill="auto"/>
                  <w:vAlign w:val="center"/>
                </w:tcPr>
                <w:p w14:paraId="45763DA0">
                  <w:pPr>
                    <w:pStyle w:val="50"/>
                    <w:rPr>
                      <w:color w:val="000000" w:themeColor="text1"/>
                      <w14:textFill>
                        <w14:solidFill>
                          <w14:schemeClr w14:val="tx1"/>
                        </w14:solidFill>
                      </w14:textFill>
                    </w:rPr>
                  </w:pPr>
                </w:p>
              </w:tc>
              <w:tc>
                <w:tcPr>
                  <w:tcW w:w="512" w:type="pct"/>
                  <w:vMerge w:val="continue"/>
                  <w:shd w:val="clear" w:color="auto" w:fill="auto"/>
                  <w:vAlign w:val="center"/>
                </w:tcPr>
                <w:p w14:paraId="1A3FCF07">
                  <w:pPr>
                    <w:pStyle w:val="50"/>
                    <w:rPr>
                      <w:color w:val="000000" w:themeColor="text1"/>
                      <w14:textFill>
                        <w14:solidFill>
                          <w14:schemeClr w14:val="tx1"/>
                        </w14:solidFill>
                      </w14:textFill>
                    </w:rPr>
                  </w:pPr>
                </w:p>
              </w:tc>
              <w:tc>
                <w:tcPr>
                  <w:tcW w:w="761" w:type="pct"/>
                  <w:vMerge w:val="continue"/>
                  <w:vAlign w:val="center"/>
                </w:tcPr>
                <w:p w14:paraId="3B862134">
                  <w:pPr>
                    <w:pStyle w:val="50"/>
                    <w:rPr>
                      <w:color w:val="000000" w:themeColor="text1"/>
                      <w14:textFill>
                        <w14:solidFill>
                          <w14:schemeClr w14:val="tx1"/>
                        </w14:solidFill>
                      </w14:textFill>
                    </w:rPr>
                  </w:pPr>
                </w:p>
              </w:tc>
              <w:tc>
                <w:tcPr>
                  <w:tcW w:w="3219" w:type="dxa"/>
                  <w:shd w:val="clear" w:color="auto" w:fill="auto"/>
                  <w:vAlign w:val="center"/>
                </w:tcPr>
                <w:p w14:paraId="4A9FB87C">
                  <w:pPr>
                    <w:pStyle w:val="50"/>
                    <w:rPr>
                      <w:color w:val="000000" w:themeColor="text1"/>
                      <w:szCs w:val="21"/>
                      <w14:textFill>
                        <w14:solidFill>
                          <w14:schemeClr w14:val="tx1"/>
                        </w14:solidFill>
                      </w14:textFill>
                    </w:rPr>
                  </w:pPr>
                  <w:r>
                    <w:rPr>
                      <w:color w:val="000000" w:themeColor="text1"/>
                      <w:szCs w:val="21"/>
                      <w14:textFill>
                        <w14:solidFill>
                          <w14:schemeClr w14:val="tx1"/>
                        </w14:solidFill>
                      </w14:textFill>
                    </w:rPr>
                    <w:t>《关于全省开展工业企业挥发性有机物专项治理工作中排放建议值的通知》（豫环攻坚办[2017]162号）</w:t>
                  </w:r>
                  <w:r>
                    <w:rPr>
                      <w:rFonts w:hint="eastAsia"/>
                      <w:color w:val="000000" w:themeColor="text1"/>
                      <w:szCs w:val="21"/>
                      <w14:textFill>
                        <w14:solidFill>
                          <w14:schemeClr w14:val="tx1"/>
                        </w14:solidFill>
                      </w14:textFill>
                    </w:rPr>
                    <w:t>附件2“其他企业”</w:t>
                  </w:r>
                </w:p>
              </w:tc>
              <w:tc>
                <w:tcPr>
                  <w:tcW w:w="1659" w:type="dxa"/>
                  <w:shd w:val="clear" w:color="auto" w:fill="auto"/>
                  <w:vAlign w:val="center"/>
                </w:tcPr>
                <w:p w14:paraId="6A539C2C">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351" w:type="pct"/>
                  <w:vMerge w:val="continue"/>
                  <w:shd w:val="clear" w:color="auto" w:fill="auto"/>
                  <w:vAlign w:val="center"/>
                </w:tcPr>
                <w:p w14:paraId="6560E9F6">
                  <w:pPr>
                    <w:pStyle w:val="50"/>
                    <w:rPr>
                      <w:color w:val="000000" w:themeColor="text1"/>
                      <w:szCs w:val="21"/>
                      <w14:textFill>
                        <w14:solidFill>
                          <w14:schemeClr w14:val="tx1"/>
                        </w14:solidFill>
                      </w14:textFill>
                    </w:rPr>
                  </w:pPr>
                </w:p>
              </w:tc>
            </w:tr>
            <w:tr w14:paraId="6D840BFE">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6F5BDA9B">
                  <w:pPr>
                    <w:pStyle w:val="50"/>
                    <w:rPr>
                      <w:color w:val="000000" w:themeColor="text1"/>
                      <w:szCs w:val="21"/>
                      <w14:textFill>
                        <w14:solidFill>
                          <w14:schemeClr w14:val="tx1"/>
                        </w14:solidFill>
                      </w14:textFill>
                    </w:rPr>
                  </w:pPr>
                </w:p>
              </w:tc>
              <w:tc>
                <w:tcPr>
                  <w:tcW w:w="410" w:type="pct"/>
                  <w:vMerge w:val="continue"/>
                  <w:vAlign w:val="center"/>
                </w:tcPr>
                <w:p w14:paraId="59096BAB">
                  <w:pPr>
                    <w:pStyle w:val="50"/>
                    <w:rPr>
                      <w:color w:val="000000" w:themeColor="text1"/>
                      <w:szCs w:val="21"/>
                      <w14:textFill>
                        <w14:solidFill>
                          <w14:schemeClr w14:val="tx1"/>
                        </w14:solidFill>
                      </w14:textFill>
                    </w:rPr>
                  </w:pPr>
                </w:p>
              </w:tc>
              <w:tc>
                <w:tcPr>
                  <w:tcW w:w="880" w:type="pct"/>
                  <w:vMerge w:val="continue"/>
                  <w:shd w:val="clear" w:color="auto" w:fill="auto"/>
                  <w:vAlign w:val="center"/>
                </w:tcPr>
                <w:p w14:paraId="7DBC1A67">
                  <w:pPr>
                    <w:pStyle w:val="50"/>
                    <w:rPr>
                      <w:color w:val="000000" w:themeColor="text1"/>
                      <w:szCs w:val="21"/>
                      <w14:textFill>
                        <w14:solidFill>
                          <w14:schemeClr w14:val="tx1"/>
                        </w14:solidFill>
                      </w14:textFill>
                    </w:rPr>
                  </w:pPr>
                </w:p>
              </w:tc>
              <w:tc>
                <w:tcPr>
                  <w:tcW w:w="512" w:type="pct"/>
                  <w:vMerge w:val="continue"/>
                  <w:shd w:val="clear" w:color="auto" w:fill="auto"/>
                  <w:vAlign w:val="center"/>
                </w:tcPr>
                <w:p w14:paraId="2E8D4EEF">
                  <w:pPr>
                    <w:pStyle w:val="50"/>
                    <w:rPr>
                      <w:color w:val="000000" w:themeColor="text1"/>
                      <w:szCs w:val="21"/>
                      <w14:textFill>
                        <w14:solidFill>
                          <w14:schemeClr w14:val="tx1"/>
                        </w14:solidFill>
                      </w14:textFill>
                    </w:rPr>
                  </w:pPr>
                </w:p>
              </w:tc>
              <w:tc>
                <w:tcPr>
                  <w:tcW w:w="761" w:type="pct"/>
                  <w:vMerge w:val="continue"/>
                  <w:vAlign w:val="center"/>
                </w:tcPr>
                <w:p w14:paraId="45B4C10B">
                  <w:pPr>
                    <w:pStyle w:val="50"/>
                    <w:rPr>
                      <w:color w:val="000000" w:themeColor="text1"/>
                      <w:szCs w:val="21"/>
                      <w14:textFill>
                        <w14:solidFill>
                          <w14:schemeClr w14:val="tx1"/>
                        </w14:solidFill>
                      </w14:textFill>
                    </w:rPr>
                  </w:pPr>
                </w:p>
              </w:tc>
              <w:tc>
                <w:tcPr>
                  <w:tcW w:w="3219" w:type="dxa"/>
                  <w:vMerge w:val="restart"/>
                  <w:shd w:val="clear" w:color="auto" w:fill="auto"/>
                  <w:vAlign w:val="center"/>
                </w:tcPr>
                <w:p w14:paraId="1A5B822B">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《挥发性有机物无组织排放控制标准》</w:t>
                  </w:r>
                  <w:r>
                    <w:rPr>
                      <w:color w:val="000000" w:themeColor="text1"/>
                      <w14:textFill>
                        <w14:solidFill>
                          <w14:schemeClr w14:val="tx1"/>
                        </w14:solidFill>
                      </w14:textFill>
                    </w:rPr>
                    <w:t>(GB37822-2019)</w:t>
                  </w:r>
                </w:p>
              </w:tc>
              <w:tc>
                <w:tcPr>
                  <w:tcW w:w="1659" w:type="dxa"/>
                  <w:shd w:val="clear" w:color="auto" w:fill="auto"/>
                  <w:vAlign w:val="center"/>
                </w:tcPr>
                <w:p w14:paraId="3BDF313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10.0（监控点处1小时平均）</w:t>
                  </w:r>
                </w:p>
              </w:tc>
              <w:tc>
                <w:tcPr>
                  <w:tcW w:w="351" w:type="pct"/>
                  <w:vMerge w:val="continue"/>
                  <w:shd w:val="clear" w:color="auto" w:fill="auto"/>
                  <w:vAlign w:val="center"/>
                </w:tcPr>
                <w:p w14:paraId="051EC766">
                  <w:pPr>
                    <w:pStyle w:val="50"/>
                    <w:rPr>
                      <w:color w:val="000000" w:themeColor="text1"/>
                      <w:szCs w:val="21"/>
                      <w14:textFill>
                        <w14:solidFill>
                          <w14:schemeClr w14:val="tx1"/>
                        </w14:solidFill>
                      </w14:textFill>
                    </w:rPr>
                  </w:pPr>
                </w:p>
              </w:tc>
            </w:tr>
            <w:tr w14:paraId="5B049D6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1661E814">
                  <w:pPr>
                    <w:pStyle w:val="50"/>
                    <w:rPr>
                      <w:color w:val="000000" w:themeColor="text1"/>
                      <w:szCs w:val="21"/>
                      <w14:textFill>
                        <w14:solidFill>
                          <w14:schemeClr w14:val="tx1"/>
                        </w14:solidFill>
                      </w14:textFill>
                    </w:rPr>
                  </w:pPr>
                </w:p>
              </w:tc>
              <w:tc>
                <w:tcPr>
                  <w:tcW w:w="410" w:type="pct"/>
                  <w:vMerge w:val="continue"/>
                  <w:vAlign w:val="center"/>
                </w:tcPr>
                <w:p w14:paraId="377CFF6D">
                  <w:pPr>
                    <w:pStyle w:val="50"/>
                    <w:rPr>
                      <w:color w:val="000000" w:themeColor="text1"/>
                      <w:szCs w:val="21"/>
                      <w14:textFill>
                        <w14:solidFill>
                          <w14:schemeClr w14:val="tx1"/>
                        </w14:solidFill>
                      </w14:textFill>
                    </w:rPr>
                  </w:pPr>
                </w:p>
              </w:tc>
              <w:tc>
                <w:tcPr>
                  <w:tcW w:w="880" w:type="pct"/>
                  <w:vMerge w:val="continue"/>
                  <w:shd w:val="clear" w:color="auto" w:fill="auto"/>
                  <w:vAlign w:val="center"/>
                </w:tcPr>
                <w:p w14:paraId="5F20BB86">
                  <w:pPr>
                    <w:pStyle w:val="50"/>
                    <w:rPr>
                      <w:color w:val="000000" w:themeColor="text1"/>
                      <w:szCs w:val="21"/>
                      <w14:textFill>
                        <w14:solidFill>
                          <w14:schemeClr w14:val="tx1"/>
                        </w14:solidFill>
                      </w14:textFill>
                    </w:rPr>
                  </w:pPr>
                </w:p>
              </w:tc>
              <w:tc>
                <w:tcPr>
                  <w:tcW w:w="512" w:type="pct"/>
                  <w:vMerge w:val="continue"/>
                  <w:shd w:val="clear" w:color="auto" w:fill="auto"/>
                  <w:vAlign w:val="center"/>
                </w:tcPr>
                <w:p w14:paraId="5EE3E47A">
                  <w:pPr>
                    <w:pStyle w:val="50"/>
                    <w:rPr>
                      <w:color w:val="000000" w:themeColor="text1"/>
                      <w:szCs w:val="21"/>
                      <w14:textFill>
                        <w14:solidFill>
                          <w14:schemeClr w14:val="tx1"/>
                        </w14:solidFill>
                      </w14:textFill>
                    </w:rPr>
                  </w:pPr>
                </w:p>
              </w:tc>
              <w:tc>
                <w:tcPr>
                  <w:tcW w:w="761" w:type="pct"/>
                  <w:vMerge w:val="continue"/>
                  <w:vAlign w:val="center"/>
                </w:tcPr>
                <w:p w14:paraId="2F5BEDB3">
                  <w:pPr>
                    <w:pStyle w:val="50"/>
                    <w:rPr>
                      <w:color w:val="000000" w:themeColor="text1"/>
                      <w:szCs w:val="21"/>
                      <w14:textFill>
                        <w14:solidFill>
                          <w14:schemeClr w14:val="tx1"/>
                        </w14:solidFill>
                      </w14:textFill>
                    </w:rPr>
                  </w:pPr>
                </w:p>
              </w:tc>
              <w:tc>
                <w:tcPr>
                  <w:tcW w:w="3219" w:type="dxa"/>
                  <w:vMerge w:val="continue"/>
                  <w:shd w:val="clear" w:color="auto" w:fill="auto"/>
                  <w:vAlign w:val="center"/>
                </w:tcPr>
                <w:p w14:paraId="13FFAF29">
                  <w:pPr>
                    <w:jc w:val="center"/>
                    <w:rPr>
                      <w:color w:val="000000" w:themeColor="text1"/>
                      <w:szCs w:val="21"/>
                      <w14:textFill>
                        <w14:solidFill>
                          <w14:schemeClr w14:val="tx1"/>
                        </w14:solidFill>
                      </w14:textFill>
                    </w:rPr>
                  </w:pPr>
                </w:p>
              </w:tc>
              <w:tc>
                <w:tcPr>
                  <w:tcW w:w="1659" w:type="dxa"/>
                  <w:shd w:val="clear" w:color="auto" w:fill="auto"/>
                  <w:vAlign w:val="center"/>
                </w:tcPr>
                <w:p w14:paraId="6554BC6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30.0（监控点处任意一次）</w:t>
                  </w:r>
                </w:p>
              </w:tc>
              <w:tc>
                <w:tcPr>
                  <w:tcW w:w="351" w:type="pct"/>
                  <w:vMerge w:val="continue"/>
                  <w:shd w:val="clear" w:color="auto" w:fill="auto"/>
                  <w:vAlign w:val="center"/>
                </w:tcPr>
                <w:p w14:paraId="11C85474">
                  <w:pPr>
                    <w:pStyle w:val="50"/>
                    <w:rPr>
                      <w:color w:val="000000" w:themeColor="text1"/>
                      <w:szCs w:val="21"/>
                      <w14:textFill>
                        <w14:solidFill>
                          <w14:schemeClr w14:val="tx1"/>
                        </w14:solidFill>
                      </w14:textFill>
                    </w:rPr>
                  </w:pPr>
                </w:p>
              </w:tc>
            </w:tr>
            <w:tr w14:paraId="6A3342A8">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restart"/>
                  <w:vAlign w:val="center"/>
                </w:tcPr>
                <w:p w14:paraId="4796693D">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p>
              </w:tc>
              <w:tc>
                <w:tcPr>
                  <w:tcW w:w="410" w:type="pct"/>
                  <w:vMerge w:val="restart"/>
                  <w:vAlign w:val="center"/>
                </w:tcPr>
                <w:p w14:paraId="7FFB13D1">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污水处理站及酒糟暂存</w:t>
                  </w:r>
                </w:p>
              </w:tc>
              <w:tc>
                <w:tcPr>
                  <w:tcW w:w="880" w:type="pct"/>
                  <w:vMerge w:val="restart"/>
                  <w:shd w:val="clear" w:color="auto" w:fill="auto"/>
                  <w:vAlign w:val="center"/>
                </w:tcPr>
                <w:p w14:paraId="541676F6">
                  <w:pPr>
                    <w:jc w:val="center"/>
                    <w:outlineLvl w:val="9"/>
                    <w:rPr>
                      <w:color w:val="000000" w:themeColor="text1"/>
                      <w:szCs w:val="21"/>
                      <w14:textFill>
                        <w14:solidFill>
                          <w14:schemeClr w14:val="tx1"/>
                        </w14:solidFill>
                      </w14:textFill>
                    </w:rPr>
                  </w:pPr>
                  <w:bookmarkStart w:id="154" w:name="_Toc13830"/>
                  <w:r>
                    <w:rPr>
                      <w:rFonts w:hint="eastAsia"/>
                      <w:color w:val="000000" w:themeColor="text1"/>
                      <w:szCs w:val="21"/>
                      <w14:textFill>
                        <w14:solidFill>
                          <w14:schemeClr w14:val="tx1"/>
                        </w14:solidFill>
                      </w14:textFill>
                    </w:rPr>
                    <w:t>污水处理站及酒糟暂存恶臭气体</w:t>
                  </w:r>
                  <w:bookmarkEnd w:id="154"/>
                </w:p>
              </w:tc>
              <w:tc>
                <w:tcPr>
                  <w:tcW w:w="512" w:type="pct"/>
                  <w:shd w:val="clear" w:color="auto" w:fill="auto"/>
                  <w:vAlign w:val="center"/>
                </w:tcPr>
                <w:p w14:paraId="47B789B7">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761" w:type="pct"/>
                  <w:vMerge w:val="restart"/>
                  <w:vAlign w:val="center"/>
                </w:tcPr>
                <w:p w14:paraId="765D28FB">
                  <w:pPr>
                    <w:jc w:val="center"/>
                    <w:rPr>
                      <w:bCs/>
                      <w:color w:val="000000" w:themeColor="text1"/>
                      <w:szCs w:val="21"/>
                      <w:lang w:val="en-GB"/>
                      <w14:textFill>
                        <w14:solidFill>
                          <w14:schemeClr w14:val="tx1"/>
                        </w14:solidFill>
                      </w14:textFill>
                    </w:rPr>
                  </w:pPr>
                  <w:r>
                    <w:rPr>
                      <w:rFonts w:hint="eastAsia"/>
                      <w:color w:val="000000" w:themeColor="text1"/>
                      <w:szCs w:val="21"/>
                      <w14:textFill>
                        <w14:solidFill>
                          <w14:schemeClr w14:val="tx1"/>
                        </w14:solidFill>
                      </w14:textFill>
                    </w:rPr>
                    <w:t>污水处理站加盖密闭，定期喷洒除臭剂等</w:t>
                  </w:r>
                </w:p>
              </w:tc>
              <w:tc>
                <w:tcPr>
                  <w:tcW w:w="1222" w:type="pct"/>
                  <w:shd w:val="clear" w:color="auto" w:fill="auto"/>
                  <w:vAlign w:val="center"/>
                </w:tcPr>
                <w:p w14:paraId="1A8EC6B4">
                  <w:pPr>
                    <w:jc w:val="center"/>
                    <w:rPr>
                      <w:color w:val="000000" w:themeColor="text1"/>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《恶臭污染物排放标准》（</w:t>
                  </w:r>
                  <w:r>
                    <w:rPr>
                      <w:color w:val="000000" w:themeColor="text1"/>
                      <w:kern w:val="0"/>
                      <w:szCs w:val="21"/>
                      <w14:textFill>
                        <w14:solidFill>
                          <w14:schemeClr w14:val="tx1"/>
                        </w14:solidFill>
                      </w14:textFill>
                    </w:rPr>
                    <w:t>GB14554-93</w:t>
                  </w:r>
                  <w:r>
                    <w:rPr>
                      <w:rFonts w:hint="eastAsia" w:ascii="宋体" w:hAnsi="宋体" w:cs="宋体"/>
                      <w:color w:val="000000" w:themeColor="text1"/>
                      <w:kern w:val="0"/>
                      <w:szCs w:val="21"/>
                      <w14:textFill>
                        <w14:solidFill>
                          <w14:schemeClr w14:val="tx1"/>
                        </w14:solidFill>
                      </w14:textFill>
                    </w:rPr>
                    <w:t>）表1中二级标准</w:t>
                  </w:r>
                </w:p>
              </w:tc>
              <w:tc>
                <w:tcPr>
                  <w:tcW w:w="629" w:type="pct"/>
                  <w:vAlign w:val="center"/>
                </w:tcPr>
                <w:p w14:paraId="05C0DB88">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p>
              </w:tc>
              <w:tc>
                <w:tcPr>
                  <w:tcW w:w="927" w:type="dxa"/>
                  <w:shd w:val="clear" w:color="auto" w:fill="auto"/>
                  <w:vAlign w:val="center"/>
                </w:tcPr>
                <w:p w14:paraId="7A672D4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0.0004</w:t>
                  </w:r>
                </w:p>
              </w:tc>
            </w:tr>
            <w:tr w14:paraId="60D86932">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0" w:type="pct"/>
                  <w:vMerge w:val="continue"/>
                  <w:vAlign w:val="center"/>
                </w:tcPr>
                <w:p w14:paraId="56944870">
                  <w:pPr>
                    <w:pStyle w:val="49"/>
                    <w:rPr>
                      <w:color w:val="000000" w:themeColor="text1"/>
                      <w:szCs w:val="21"/>
                      <w14:textFill>
                        <w14:solidFill>
                          <w14:schemeClr w14:val="tx1"/>
                        </w14:solidFill>
                      </w14:textFill>
                    </w:rPr>
                  </w:pPr>
                </w:p>
              </w:tc>
              <w:tc>
                <w:tcPr>
                  <w:tcW w:w="410" w:type="pct"/>
                  <w:vMerge w:val="continue"/>
                  <w:vAlign w:val="center"/>
                </w:tcPr>
                <w:p w14:paraId="138D002C">
                  <w:pPr>
                    <w:pStyle w:val="49"/>
                    <w:rPr>
                      <w:color w:val="000000" w:themeColor="text1"/>
                      <w:szCs w:val="21"/>
                      <w14:textFill>
                        <w14:solidFill>
                          <w14:schemeClr w14:val="tx1"/>
                        </w14:solidFill>
                      </w14:textFill>
                    </w:rPr>
                  </w:pPr>
                </w:p>
              </w:tc>
              <w:tc>
                <w:tcPr>
                  <w:tcW w:w="880" w:type="pct"/>
                  <w:vMerge w:val="continue"/>
                  <w:shd w:val="clear" w:color="auto" w:fill="auto"/>
                  <w:vAlign w:val="center"/>
                </w:tcPr>
                <w:p w14:paraId="52706734">
                  <w:pPr>
                    <w:jc w:val="center"/>
                    <w:outlineLvl w:val="9"/>
                    <w:rPr>
                      <w:color w:val="000000" w:themeColor="text1"/>
                      <w:szCs w:val="21"/>
                      <w14:textFill>
                        <w14:solidFill>
                          <w14:schemeClr w14:val="tx1"/>
                        </w14:solidFill>
                      </w14:textFill>
                    </w:rPr>
                  </w:pPr>
                </w:p>
              </w:tc>
              <w:tc>
                <w:tcPr>
                  <w:tcW w:w="512" w:type="pct"/>
                  <w:shd w:val="clear" w:color="auto" w:fill="auto"/>
                  <w:vAlign w:val="center"/>
                </w:tcPr>
                <w:p w14:paraId="1F28AC15">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761" w:type="pct"/>
                  <w:vMerge w:val="continue"/>
                  <w:vAlign w:val="center"/>
                </w:tcPr>
                <w:p w14:paraId="240773B6">
                  <w:pPr>
                    <w:jc w:val="center"/>
                    <w:rPr>
                      <w:bCs/>
                      <w:color w:val="000000" w:themeColor="text1"/>
                      <w:szCs w:val="21"/>
                      <w:lang w:val="en-GB"/>
                      <w14:textFill>
                        <w14:solidFill>
                          <w14:schemeClr w14:val="tx1"/>
                        </w14:solidFill>
                      </w14:textFill>
                    </w:rPr>
                  </w:pPr>
                </w:p>
              </w:tc>
              <w:tc>
                <w:tcPr>
                  <w:tcW w:w="1222" w:type="pct"/>
                  <w:shd w:val="clear" w:color="auto" w:fill="auto"/>
                  <w:vAlign w:val="center"/>
                </w:tcPr>
                <w:p w14:paraId="39CA22EE">
                  <w:pPr>
                    <w:jc w:val="center"/>
                    <w:rPr>
                      <w:color w:val="000000" w:themeColor="text1"/>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《恶臭污染物排放标准》（</w:t>
                  </w:r>
                  <w:r>
                    <w:rPr>
                      <w:color w:val="000000" w:themeColor="text1"/>
                      <w:kern w:val="0"/>
                      <w:szCs w:val="21"/>
                      <w14:textFill>
                        <w14:solidFill>
                          <w14:schemeClr w14:val="tx1"/>
                        </w14:solidFill>
                      </w14:textFill>
                    </w:rPr>
                    <w:t>GB14554-93</w:t>
                  </w:r>
                  <w:r>
                    <w:rPr>
                      <w:rFonts w:hint="eastAsia" w:ascii="宋体" w:hAnsi="宋体" w:cs="宋体"/>
                      <w:color w:val="000000" w:themeColor="text1"/>
                      <w:kern w:val="0"/>
                      <w:szCs w:val="21"/>
                      <w14:textFill>
                        <w14:solidFill>
                          <w14:schemeClr w14:val="tx1"/>
                        </w14:solidFill>
                      </w14:textFill>
                    </w:rPr>
                    <w:t>）表1中二级标准</w:t>
                  </w:r>
                </w:p>
              </w:tc>
              <w:tc>
                <w:tcPr>
                  <w:tcW w:w="629" w:type="pct"/>
                  <w:vAlign w:val="center"/>
                </w:tcPr>
                <w:p w14:paraId="09F783A6">
                  <w:pPr>
                    <w:pStyle w:val="5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0.06</w:t>
                  </w:r>
                </w:p>
              </w:tc>
              <w:tc>
                <w:tcPr>
                  <w:tcW w:w="927" w:type="dxa"/>
                  <w:shd w:val="clear" w:color="auto" w:fill="auto"/>
                  <w:vAlign w:val="center"/>
                </w:tcPr>
                <w:p w14:paraId="38AF7FF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0.00001</w:t>
                  </w:r>
                </w:p>
              </w:tc>
            </w:tr>
            <w:tr w14:paraId="489F008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1" w:type="pct"/>
                  <w:gridSpan w:val="3"/>
                  <w:vMerge w:val="restart"/>
                  <w:tcBorders>
                    <w:right w:val="single" w:color="auto" w:sz="6" w:space="0"/>
                  </w:tcBorders>
                  <w:vAlign w:val="center"/>
                </w:tcPr>
                <w:p w14:paraId="6FC1130A">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无组织排放合计</w:t>
                  </w:r>
                </w:p>
              </w:tc>
              <w:tc>
                <w:tcPr>
                  <w:tcW w:w="3126" w:type="pct"/>
                  <w:gridSpan w:val="4"/>
                  <w:tcBorders>
                    <w:left w:val="single" w:color="auto" w:sz="6" w:space="0"/>
                  </w:tcBorders>
                  <w:vAlign w:val="center"/>
                </w:tcPr>
                <w:p w14:paraId="2BBD2DFE">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351" w:type="pct"/>
                  <w:shd w:val="clear" w:color="auto" w:fill="auto"/>
                  <w:vAlign w:val="center"/>
                </w:tcPr>
                <w:p w14:paraId="1C418C9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0.0912</w:t>
                  </w:r>
                </w:p>
              </w:tc>
            </w:tr>
            <w:tr w14:paraId="21E6444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1" w:type="pct"/>
                  <w:gridSpan w:val="3"/>
                  <w:vMerge w:val="continue"/>
                  <w:tcBorders>
                    <w:right w:val="single" w:color="auto" w:sz="6" w:space="0"/>
                  </w:tcBorders>
                  <w:vAlign w:val="center"/>
                </w:tcPr>
                <w:p w14:paraId="00BC2B2C">
                  <w:pPr>
                    <w:pStyle w:val="49"/>
                    <w:rPr>
                      <w:color w:val="000000" w:themeColor="text1"/>
                      <w:szCs w:val="21"/>
                      <w14:textFill>
                        <w14:solidFill>
                          <w14:schemeClr w14:val="tx1"/>
                        </w14:solidFill>
                      </w14:textFill>
                    </w:rPr>
                  </w:pPr>
                </w:p>
              </w:tc>
              <w:tc>
                <w:tcPr>
                  <w:tcW w:w="3126" w:type="pct"/>
                  <w:gridSpan w:val="4"/>
                  <w:tcBorders>
                    <w:left w:val="single" w:color="auto" w:sz="6" w:space="0"/>
                  </w:tcBorders>
                  <w:vAlign w:val="center"/>
                </w:tcPr>
                <w:p w14:paraId="5F875240">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351" w:type="pct"/>
                  <w:shd w:val="clear" w:color="auto" w:fill="auto"/>
                  <w:vAlign w:val="center"/>
                </w:tcPr>
                <w:p w14:paraId="6A3D8AC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0.069</w:t>
                  </w:r>
                </w:p>
              </w:tc>
            </w:tr>
            <w:tr w14:paraId="0B1786C1">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1" w:type="pct"/>
                  <w:gridSpan w:val="3"/>
                  <w:vMerge w:val="continue"/>
                  <w:tcBorders>
                    <w:right w:val="single" w:color="auto" w:sz="6" w:space="0"/>
                  </w:tcBorders>
                  <w:vAlign w:val="center"/>
                </w:tcPr>
                <w:p w14:paraId="4E5742E8">
                  <w:pPr>
                    <w:pStyle w:val="49"/>
                    <w:rPr>
                      <w:color w:val="000000" w:themeColor="text1"/>
                      <w:szCs w:val="21"/>
                      <w14:textFill>
                        <w14:solidFill>
                          <w14:schemeClr w14:val="tx1"/>
                        </w14:solidFill>
                      </w14:textFill>
                    </w:rPr>
                  </w:pPr>
                </w:p>
              </w:tc>
              <w:tc>
                <w:tcPr>
                  <w:tcW w:w="3126" w:type="pct"/>
                  <w:gridSpan w:val="4"/>
                  <w:tcBorders>
                    <w:left w:val="single" w:color="auto" w:sz="6" w:space="0"/>
                  </w:tcBorders>
                  <w:vAlign w:val="center"/>
                </w:tcPr>
                <w:p w14:paraId="5D2CF405">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二氧化碳</w:t>
                  </w:r>
                </w:p>
              </w:tc>
              <w:tc>
                <w:tcPr>
                  <w:tcW w:w="351" w:type="pct"/>
                  <w:shd w:val="clear" w:color="auto" w:fill="auto"/>
                  <w:vAlign w:val="center"/>
                </w:tcPr>
                <w:p w14:paraId="7CA5215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67.687</w:t>
                  </w:r>
                </w:p>
              </w:tc>
            </w:tr>
            <w:tr w14:paraId="6AA31E2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1" w:type="pct"/>
                  <w:gridSpan w:val="3"/>
                  <w:vMerge w:val="continue"/>
                  <w:tcBorders>
                    <w:right w:val="single" w:color="auto" w:sz="6" w:space="0"/>
                  </w:tcBorders>
                  <w:vAlign w:val="center"/>
                </w:tcPr>
                <w:p w14:paraId="4A1B1470">
                  <w:pPr>
                    <w:pStyle w:val="49"/>
                    <w:rPr>
                      <w:color w:val="000000" w:themeColor="text1"/>
                      <w:szCs w:val="21"/>
                      <w14:textFill>
                        <w14:solidFill>
                          <w14:schemeClr w14:val="tx1"/>
                        </w14:solidFill>
                      </w14:textFill>
                    </w:rPr>
                  </w:pPr>
                </w:p>
              </w:tc>
              <w:tc>
                <w:tcPr>
                  <w:tcW w:w="3126" w:type="pct"/>
                  <w:gridSpan w:val="4"/>
                  <w:tcBorders>
                    <w:left w:val="single" w:color="auto" w:sz="6" w:space="0"/>
                  </w:tcBorders>
                  <w:shd w:val="clear" w:color="auto" w:fill="auto"/>
                  <w:vAlign w:val="center"/>
                </w:tcPr>
                <w:p w14:paraId="77EAD8FC">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927" w:type="dxa"/>
                  <w:shd w:val="clear" w:color="auto" w:fill="auto"/>
                  <w:vAlign w:val="center"/>
                </w:tcPr>
                <w:p w14:paraId="25AEF69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0.0004</w:t>
                  </w:r>
                </w:p>
              </w:tc>
            </w:tr>
            <w:tr w14:paraId="7EA0759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521" w:type="pct"/>
                  <w:gridSpan w:val="3"/>
                  <w:vMerge w:val="continue"/>
                  <w:tcBorders>
                    <w:right w:val="single" w:color="auto" w:sz="6" w:space="0"/>
                  </w:tcBorders>
                  <w:vAlign w:val="center"/>
                </w:tcPr>
                <w:p w14:paraId="2A608086">
                  <w:pPr>
                    <w:pStyle w:val="49"/>
                    <w:rPr>
                      <w:color w:val="000000" w:themeColor="text1"/>
                      <w:szCs w:val="21"/>
                      <w14:textFill>
                        <w14:solidFill>
                          <w14:schemeClr w14:val="tx1"/>
                        </w14:solidFill>
                      </w14:textFill>
                    </w:rPr>
                  </w:pPr>
                </w:p>
              </w:tc>
              <w:tc>
                <w:tcPr>
                  <w:tcW w:w="3126" w:type="pct"/>
                  <w:gridSpan w:val="4"/>
                  <w:tcBorders>
                    <w:left w:val="single" w:color="auto" w:sz="6" w:space="0"/>
                  </w:tcBorders>
                  <w:shd w:val="clear" w:color="auto" w:fill="auto"/>
                  <w:vAlign w:val="center"/>
                </w:tcPr>
                <w:p w14:paraId="5C38BDC5">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927" w:type="dxa"/>
                  <w:shd w:val="clear" w:color="auto" w:fill="auto"/>
                  <w:vAlign w:val="center"/>
                </w:tcPr>
                <w:p w14:paraId="5329A01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0.00001</w:t>
                  </w:r>
                </w:p>
              </w:tc>
            </w:tr>
          </w:tbl>
          <w:p w14:paraId="775D5EF6">
            <w:pPr>
              <w:widowControl/>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 xml:space="preserve">5  </w:t>
            </w:r>
            <w:r>
              <w:rPr>
                <w:b/>
                <w:color w:val="000000" w:themeColor="text1"/>
                <w:sz w:val="24"/>
                <w14:textFill>
                  <w14:solidFill>
                    <w14:schemeClr w14:val="tx1"/>
                  </w14:solidFill>
                </w14:textFill>
              </w:rPr>
              <w:t>工程大气污染物年排放量核算表</w:t>
            </w:r>
          </w:p>
          <w:tbl>
            <w:tblPr>
              <w:tblStyle w:val="25"/>
              <w:tblW w:w="4989"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fixed"/>
              <w:tblCellMar>
                <w:top w:w="0" w:type="dxa"/>
                <w:left w:w="108" w:type="dxa"/>
                <w:bottom w:w="0" w:type="dxa"/>
                <w:right w:w="108" w:type="dxa"/>
              </w:tblCellMar>
            </w:tblPr>
            <w:tblGrid>
              <w:gridCol w:w="1343"/>
              <w:gridCol w:w="6387"/>
              <w:gridCol w:w="5676"/>
            </w:tblGrid>
            <w:tr w14:paraId="58AA3CC6">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1" w:type="pct"/>
                  <w:vAlign w:val="center"/>
                </w:tcPr>
                <w:p w14:paraId="224089A3">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2381" w:type="pct"/>
                  <w:vAlign w:val="center"/>
                </w:tcPr>
                <w:p w14:paraId="5BD9969F">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w:t>
                  </w:r>
                </w:p>
              </w:tc>
              <w:tc>
                <w:tcPr>
                  <w:tcW w:w="2116" w:type="pct"/>
                  <w:vAlign w:val="center"/>
                </w:tcPr>
                <w:p w14:paraId="3DF0F3DD">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年排放量（t/a）</w:t>
                  </w:r>
                </w:p>
              </w:tc>
            </w:tr>
            <w:tr w14:paraId="07DDAE39">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1" w:type="pct"/>
                  <w:vAlign w:val="center"/>
                </w:tcPr>
                <w:p w14:paraId="585FDF6B">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2381" w:type="pct"/>
                  <w:shd w:val="clear" w:color="auto" w:fill="auto"/>
                  <w:vAlign w:val="center"/>
                </w:tcPr>
                <w:p w14:paraId="07901958">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3905" w:type="dxa"/>
                  <w:vAlign w:val="center"/>
                </w:tcPr>
                <w:p w14:paraId="365931C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0.1062</w:t>
                  </w:r>
                </w:p>
              </w:tc>
            </w:tr>
            <w:tr w14:paraId="352A9BA5">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1" w:type="pct"/>
                  <w:shd w:val="clear" w:color="auto" w:fill="auto"/>
                  <w:vAlign w:val="center"/>
                </w:tcPr>
                <w:p w14:paraId="08F5CEE7">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c>
                <w:tcPr>
                  <w:tcW w:w="2381" w:type="pct"/>
                  <w:shd w:val="clear" w:color="auto" w:fill="auto"/>
                  <w:vAlign w:val="center"/>
                </w:tcPr>
                <w:p w14:paraId="713FB996">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3905" w:type="dxa"/>
                  <w:shd w:val="clear" w:color="auto" w:fill="auto"/>
                  <w:vAlign w:val="center"/>
                </w:tcPr>
                <w:p w14:paraId="30B091F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0.071</w:t>
                  </w:r>
                </w:p>
              </w:tc>
            </w:tr>
            <w:tr w14:paraId="01B55B74">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1" w:type="pct"/>
                  <w:shd w:val="clear" w:color="auto" w:fill="auto"/>
                  <w:vAlign w:val="center"/>
                </w:tcPr>
                <w:p w14:paraId="1103779A">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c>
                <w:tcPr>
                  <w:tcW w:w="2381" w:type="pct"/>
                  <w:shd w:val="clear" w:color="auto" w:fill="auto"/>
                  <w:vAlign w:val="center"/>
                </w:tcPr>
                <w:p w14:paraId="2A228763">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3910" w:type="dxa"/>
                  <w:shd w:val="clear" w:color="auto" w:fill="auto"/>
                  <w:vAlign w:val="center"/>
                </w:tcPr>
                <w:p w14:paraId="2290D73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0.006</w:t>
                  </w:r>
                </w:p>
              </w:tc>
            </w:tr>
            <w:tr w14:paraId="1477021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1" w:type="pct"/>
                  <w:shd w:val="clear" w:color="auto" w:fill="auto"/>
                  <w:vAlign w:val="center"/>
                </w:tcPr>
                <w:p w14:paraId="3994BAEE">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c>
                <w:tcPr>
                  <w:tcW w:w="2381" w:type="pct"/>
                  <w:shd w:val="clear" w:color="auto" w:fill="auto"/>
                  <w:vAlign w:val="center"/>
                </w:tcPr>
                <w:p w14:paraId="733126F8">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NOx</w:t>
                  </w:r>
                </w:p>
              </w:tc>
              <w:tc>
                <w:tcPr>
                  <w:tcW w:w="3910" w:type="dxa"/>
                  <w:shd w:val="clear" w:color="auto" w:fill="auto"/>
                  <w:vAlign w:val="center"/>
                </w:tcPr>
                <w:p w14:paraId="08F932A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0.049</w:t>
                  </w:r>
                </w:p>
              </w:tc>
            </w:tr>
            <w:tr w14:paraId="15F63BCC">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1" w:type="pct"/>
                  <w:shd w:val="clear" w:color="auto" w:fill="auto"/>
                  <w:vAlign w:val="center"/>
                </w:tcPr>
                <w:p w14:paraId="7BD4E876">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2381" w:type="pct"/>
                  <w:shd w:val="clear" w:color="auto" w:fill="auto"/>
                  <w:vAlign w:val="center"/>
                </w:tcPr>
                <w:p w14:paraId="2B13B057">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3910" w:type="dxa"/>
                  <w:shd w:val="clear" w:color="auto" w:fill="auto"/>
                  <w:vAlign w:val="center"/>
                </w:tcPr>
                <w:p w14:paraId="60E480D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0.0034</w:t>
                  </w:r>
                </w:p>
              </w:tc>
            </w:tr>
            <w:tr w14:paraId="71B7D30F">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501" w:type="pct"/>
                  <w:vAlign w:val="center"/>
                </w:tcPr>
                <w:p w14:paraId="397A6F0E">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c>
                <w:tcPr>
                  <w:tcW w:w="2381" w:type="pct"/>
                  <w:shd w:val="clear" w:color="auto" w:fill="auto"/>
                  <w:vAlign w:val="center"/>
                </w:tcPr>
                <w:p w14:paraId="62BC33B2">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3910" w:type="dxa"/>
                  <w:shd w:val="clear" w:color="auto" w:fill="auto"/>
                  <w:vAlign w:val="center"/>
                </w:tcPr>
                <w:p w14:paraId="3FB2F43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0.00012</w:t>
                  </w:r>
                </w:p>
              </w:tc>
            </w:tr>
          </w:tbl>
          <w:p w14:paraId="1ED3335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1.3</w:t>
            </w:r>
            <w:r>
              <w:rPr>
                <w:color w:val="000000" w:themeColor="text1"/>
                <w:sz w:val="24"/>
                <w14:textFill>
                  <w14:solidFill>
                    <w14:schemeClr w14:val="tx1"/>
                  </w14:solidFill>
                </w14:textFill>
              </w:rPr>
              <w:t>项目有组织排放口详细参数</w:t>
            </w:r>
          </w:p>
          <w:p w14:paraId="7E1A6DDC">
            <w:pPr>
              <w:widowControl/>
              <w:adjustRightInd w:val="0"/>
              <w:snapToGrid w:val="0"/>
              <w:spacing w:line="360" w:lineRule="auto"/>
              <w:ind w:firstLine="482"/>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 xml:space="preserve">6  </w:t>
            </w:r>
            <w:r>
              <w:rPr>
                <w:b/>
                <w:color w:val="000000" w:themeColor="text1"/>
                <w:sz w:val="24"/>
                <w14:textFill>
                  <w14:solidFill>
                    <w14:schemeClr w14:val="tx1"/>
                  </w14:solidFill>
                </w14:textFill>
              </w:rPr>
              <w:t>项目有组织排放口参数一览表</w:t>
            </w:r>
          </w:p>
          <w:tbl>
            <w:tblPr>
              <w:tblStyle w:val="25"/>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59"/>
              <w:gridCol w:w="1213"/>
              <w:gridCol w:w="778"/>
              <w:gridCol w:w="778"/>
              <w:gridCol w:w="1240"/>
              <w:gridCol w:w="1525"/>
              <w:gridCol w:w="1337"/>
              <w:gridCol w:w="1361"/>
              <w:gridCol w:w="1101"/>
              <w:gridCol w:w="1113"/>
              <w:gridCol w:w="737"/>
            </w:tblGrid>
            <w:tr w14:paraId="710E66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39" w:type="pct"/>
                  <w:vMerge w:val="restart"/>
                  <w:vAlign w:val="center"/>
                </w:tcPr>
                <w:p w14:paraId="2810366D">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工序</w:t>
                  </w:r>
                </w:p>
              </w:tc>
              <w:tc>
                <w:tcPr>
                  <w:tcW w:w="451" w:type="pct"/>
                  <w:vMerge w:val="restart"/>
                  <w:vAlign w:val="center"/>
                </w:tcPr>
                <w:p w14:paraId="255F6AE5">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编号</w:t>
                  </w:r>
                </w:p>
              </w:tc>
              <w:tc>
                <w:tcPr>
                  <w:tcW w:w="289" w:type="pct"/>
                  <w:vMerge w:val="restart"/>
                  <w:vAlign w:val="center"/>
                </w:tcPr>
                <w:p w14:paraId="69E5D2DA">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排放口名称</w:t>
                  </w:r>
                </w:p>
              </w:tc>
              <w:tc>
                <w:tcPr>
                  <w:tcW w:w="289" w:type="pct"/>
                  <w:vMerge w:val="restart"/>
                  <w:vAlign w:val="center"/>
                </w:tcPr>
                <w:p w14:paraId="25D6EADD">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排放口类型</w:t>
                  </w:r>
                </w:p>
              </w:tc>
              <w:tc>
                <w:tcPr>
                  <w:tcW w:w="461" w:type="pct"/>
                  <w:vMerge w:val="restart"/>
                  <w:vAlign w:val="center"/>
                </w:tcPr>
                <w:p w14:paraId="15480655">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排气筒温度（℃）</w:t>
                  </w:r>
                </w:p>
              </w:tc>
              <w:tc>
                <w:tcPr>
                  <w:tcW w:w="1064" w:type="pct"/>
                  <w:gridSpan w:val="2"/>
                  <w:vAlign w:val="center"/>
                </w:tcPr>
                <w:p w14:paraId="6D489846">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排气筒底部中心坐标</w:t>
                  </w:r>
                </w:p>
              </w:tc>
              <w:tc>
                <w:tcPr>
                  <w:tcW w:w="506" w:type="pct"/>
                  <w:vMerge w:val="restart"/>
                  <w:vAlign w:val="center"/>
                </w:tcPr>
                <w:p w14:paraId="7195A9BB">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排气筒高度（m）</w:t>
                  </w:r>
                </w:p>
              </w:tc>
              <w:tc>
                <w:tcPr>
                  <w:tcW w:w="409" w:type="pct"/>
                  <w:vMerge w:val="restart"/>
                  <w:vAlign w:val="center"/>
                </w:tcPr>
                <w:p w14:paraId="67238023">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排气筒出口内径/m</w:t>
                  </w:r>
                </w:p>
              </w:tc>
              <w:tc>
                <w:tcPr>
                  <w:tcW w:w="414" w:type="pct"/>
                  <w:vMerge w:val="restart"/>
                  <w:vAlign w:val="center"/>
                </w:tcPr>
                <w:p w14:paraId="202682E8">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年排放小时数/h</w:t>
                  </w:r>
                </w:p>
              </w:tc>
              <w:tc>
                <w:tcPr>
                  <w:tcW w:w="274" w:type="pct"/>
                  <w:vMerge w:val="restart"/>
                  <w:vAlign w:val="center"/>
                </w:tcPr>
                <w:p w14:paraId="2BE3BDF8">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排放工况</w:t>
                  </w:r>
                </w:p>
              </w:tc>
            </w:tr>
            <w:tr w14:paraId="317A0D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39" w:type="pct"/>
                  <w:vMerge w:val="continue"/>
                  <w:vAlign w:val="center"/>
                </w:tcPr>
                <w:p w14:paraId="3A3C1B12">
                  <w:pPr>
                    <w:tabs>
                      <w:tab w:val="left" w:pos="1081"/>
                    </w:tabs>
                    <w:adjustRightInd w:val="0"/>
                    <w:snapToGrid w:val="0"/>
                    <w:jc w:val="center"/>
                    <w:rPr>
                      <w:color w:val="000000" w:themeColor="text1"/>
                      <w:szCs w:val="21"/>
                      <w14:textFill>
                        <w14:solidFill>
                          <w14:schemeClr w14:val="tx1"/>
                        </w14:solidFill>
                      </w14:textFill>
                    </w:rPr>
                  </w:pPr>
                </w:p>
              </w:tc>
              <w:tc>
                <w:tcPr>
                  <w:tcW w:w="451" w:type="pct"/>
                  <w:vMerge w:val="continue"/>
                  <w:vAlign w:val="center"/>
                </w:tcPr>
                <w:p w14:paraId="666155CE">
                  <w:pPr>
                    <w:tabs>
                      <w:tab w:val="left" w:pos="1081"/>
                    </w:tabs>
                    <w:adjustRightInd w:val="0"/>
                    <w:snapToGrid w:val="0"/>
                    <w:jc w:val="center"/>
                    <w:rPr>
                      <w:color w:val="000000" w:themeColor="text1"/>
                      <w:szCs w:val="21"/>
                      <w14:textFill>
                        <w14:solidFill>
                          <w14:schemeClr w14:val="tx1"/>
                        </w14:solidFill>
                      </w14:textFill>
                    </w:rPr>
                  </w:pPr>
                </w:p>
              </w:tc>
              <w:tc>
                <w:tcPr>
                  <w:tcW w:w="289" w:type="pct"/>
                  <w:vMerge w:val="continue"/>
                  <w:vAlign w:val="center"/>
                </w:tcPr>
                <w:p w14:paraId="2D923010">
                  <w:pPr>
                    <w:tabs>
                      <w:tab w:val="left" w:pos="1081"/>
                    </w:tabs>
                    <w:adjustRightInd w:val="0"/>
                    <w:snapToGrid w:val="0"/>
                    <w:jc w:val="center"/>
                    <w:rPr>
                      <w:color w:val="000000" w:themeColor="text1"/>
                      <w:szCs w:val="21"/>
                      <w14:textFill>
                        <w14:solidFill>
                          <w14:schemeClr w14:val="tx1"/>
                        </w14:solidFill>
                      </w14:textFill>
                    </w:rPr>
                  </w:pPr>
                </w:p>
              </w:tc>
              <w:tc>
                <w:tcPr>
                  <w:tcW w:w="289" w:type="pct"/>
                  <w:vMerge w:val="continue"/>
                  <w:vAlign w:val="center"/>
                </w:tcPr>
                <w:p w14:paraId="211000A7">
                  <w:pPr>
                    <w:tabs>
                      <w:tab w:val="left" w:pos="1081"/>
                    </w:tabs>
                    <w:adjustRightInd w:val="0"/>
                    <w:snapToGrid w:val="0"/>
                    <w:jc w:val="center"/>
                    <w:rPr>
                      <w:color w:val="000000" w:themeColor="text1"/>
                      <w:szCs w:val="21"/>
                      <w14:textFill>
                        <w14:solidFill>
                          <w14:schemeClr w14:val="tx1"/>
                        </w14:solidFill>
                      </w14:textFill>
                    </w:rPr>
                  </w:pPr>
                </w:p>
              </w:tc>
              <w:tc>
                <w:tcPr>
                  <w:tcW w:w="461" w:type="pct"/>
                  <w:vMerge w:val="continue"/>
                  <w:vAlign w:val="center"/>
                </w:tcPr>
                <w:p w14:paraId="67364C8D">
                  <w:pPr>
                    <w:tabs>
                      <w:tab w:val="left" w:pos="1081"/>
                    </w:tabs>
                    <w:adjustRightInd w:val="0"/>
                    <w:snapToGrid w:val="0"/>
                    <w:jc w:val="center"/>
                    <w:rPr>
                      <w:color w:val="000000" w:themeColor="text1"/>
                      <w:szCs w:val="21"/>
                      <w14:textFill>
                        <w14:solidFill>
                          <w14:schemeClr w14:val="tx1"/>
                        </w14:solidFill>
                      </w14:textFill>
                    </w:rPr>
                  </w:pPr>
                </w:p>
              </w:tc>
              <w:tc>
                <w:tcPr>
                  <w:tcW w:w="567" w:type="pct"/>
                  <w:vAlign w:val="center"/>
                </w:tcPr>
                <w:p w14:paraId="73FD20CA">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X</w:t>
                  </w:r>
                </w:p>
              </w:tc>
              <w:tc>
                <w:tcPr>
                  <w:tcW w:w="497" w:type="pct"/>
                  <w:vAlign w:val="center"/>
                </w:tcPr>
                <w:p w14:paraId="78872E5F">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Y</w:t>
                  </w:r>
                </w:p>
              </w:tc>
              <w:tc>
                <w:tcPr>
                  <w:tcW w:w="506" w:type="pct"/>
                  <w:vMerge w:val="continue"/>
                  <w:vAlign w:val="center"/>
                </w:tcPr>
                <w:p w14:paraId="79690105">
                  <w:pPr>
                    <w:tabs>
                      <w:tab w:val="left" w:pos="1081"/>
                    </w:tabs>
                    <w:adjustRightInd w:val="0"/>
                    <w:snapToGrid w:val="0"/>
                    <w:jc w:val="center"/>
                    <w:rPr>
                      <w:color w:val="000000" w:themeColor="text1"/>
                      <w:szCs w:val="21"/>
                      <w14:textFill>
                        <w14:solidFill>
                          <w14:schemeClr w14:val="tx1"/>
                        </w14:solidFill>
                      </w14:textFill>
                    </w:rPr>
                  </w:pPr>
                </w:p>
              </w:tc>
              <w:tc>
                <w:tcPr>
                  <w:tcW w:w="409" w:type="pct"/>
                  <w:vMerge w:val="continue"/>
                  <w:vAlign w:val="center"/>
                </w:tcPr>
                <w:p w14:paraId="042ED450">
                  <w:pPr>
                    <w:tabs>
                      <w:tab w:val="left" w:pos="1081"/>
                    </w:tabs>
                    <w:adjustRightInd w:val="0"/>
                    <w:snapToGrid w:val="0"/>
                    <w:jc w:val="center"/>
                    <w:rPr>
                      <w:color w:val="000000" w:themeColor="text1"/>
                      <w:szCs w:val="21"/>
                      <w14:textFill>
                        <w14:solidFill>
                          <w14:schemeClr w14:val="tx1"/>
                        </w14:solidFill>
                      </w14:textFill>
                    </w:rPr>
                  </w:pPr>
                </w:p>
              </w:tc>
              <w:tc>
                <w:tcPr>
                  <w:tcW w:w="414" w:type="pct"/>
                  <w:vMerge w:val="continue"/>
                  <w:vAlign w:val="center"/>
                </w:tcPr>
                <w:p w14:paraId="7179EA4E">
                  <w:pPr>
                    <w:tabs>
                      <w:tab w:val="left" w:pos="1081"/>
                    </w:tabs>
                    <w:adjustRightInd w:val="0"/>
                    <w:snapToGrid w:val="0"/>
                    <w:jc w:val="center"/>
                    <w:rPr>
                      <w:color w:val="000000" w:themeColor="text1"/>
                      <w:szCs w:val="21"/>
                      <w14:textFill>
                        <w14:solidFill>
                          <w14:schemeClr w14:val="tx1"/>
                        </w14:solidFill>
                      </w14:textFill>
                    </w:rPr>
                  </w:pPr>
                </w:p>
              </w:tc>
              <w:tc>
                <w:tcPr>
                  <w:tcW w:w="274" w:type="pct"/>
                  <w:vMerge w:val="continue"/>
                  <w:vAlign w:val="center"/>
                </w:tcPr>
                <w:p w14:paraId="2F38C8BD">
                  <w:pPr>
                    <w:tabs>
                      <w:tab w:val="left" w:pos="1081"/>
                    </w:tabs>
                    <w:adjustRightInd w:val="0"/>
                    <w:snapToGrid w:val="0"/>
                    <w:jc w:val="center"/>
                    <w:rPr>
                      <w:color w:val="000000" w:themeColor="text1"/>
                      <w:szCs w:val="21"/>
                      <w14:textFill>
                        <w14:solidFill>
                          <w14:schemeClr w14:val="tx1"/>
                        </w14:solidFill>
                      </w14:textFill>
                    </w:rPr>
                  </w:pPr>
                </w:p>
              </w:tc>
            </w:tr>
            <w:tr w14:paraId="1CBF6E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39" w:type="pct"/>
                  <w:vAlign w:val="center"/>
                </w:tcPr>
                <w:p w14:paraId="3FB90936">
                  <w:pPr>
                    <w:jc w:val="center"/>
                    <w:outlineLvl w:val="9"/>
                    <w:rPr>
                      <w:color w:val="000000" w:themeColor="text1"/>
                      <w:szCs w:val="21"/>
                      <w14:textFill>
                        <w14:solidFill>
                          <w14:schemeClr w14:val="tx1"/>
                        </w14:solidFill>
                      </w14:textFill>
                    </w:rPr>
                  </w:pPr>
                  <w:bookmarkStart w:id="155" w:name="_Toc20998"/>
                  <w:r>
                    <w:rPr>
                      <w:rFonts w:hint="eastAsia"/>
                      <w:color w:val="000000" w:themeColor="text1"/>
                      <w:szCs w:val="21"/>
                      <w14:textFill>
                        <w14:solidFill>
                          <w14:schemeClr w14:val="tx1"/>
                        </w14:solidFill>
                      </w14:textFill>
                    </w:rPr>
                    <w:t>原料投料、粉碎工序和袋泡茶生产过程</w:t>
                  </w:r>
                  <w:bookmarkEnd w:id="155"/>
                </w:p>
              </w:tc>
              <w:tc>
                <w:tcPr>
                  <w:tcW w:w="451" w:type="pct"/>
                  <w:shd w:val="clear" w:color="auto" w:fill="auto"/>
                  <w:vAlign w:val="center"/>
                </w:tcPr>
                <w:p w14:paraId="400EDFCE">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DA001</w:t>
                  </w:r>
                </w:p>
              </w:tc>
              <w:tc>
                <w:tcPr>
                  <w:tcW w:w="289" w:type="pct"/>
                  <w:shd w:val="clear" w:color="auto" w:fill="auto"/>
                  <w:vAlign w:val="center"/>
                </w:tcPr>
                <w:p w14:paraId="1AE7B978">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1#排气口</w:t>
                  </w:r>
                </w:p>
              </w:tc>
              <w:tc>
                <w:tcPr>
                  <w:tcW w:w="289" w:type="pct"/>
                  <w:shd w:val="clear" w:color="auto" w:fill="auto"/>
                  <w:vAlign w:val="center"/>
                </w:tcPr>
                <w:p w14:paraId="6BB3279F">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c>
                <w:tcPr>
                  <w:tcW w:w="461" w:type="pct"/>
                  <w:vAlign w:val="center"/>
                </w:tcPr>
                <w:p w14:paraId="7F4F895F">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567" w:type="pct"/>
                  <w:vAlign w:val="center"/>
                </w:tcPr>
                <w:p w14:paraId="7152CB0E">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112.20971236</w:t>
                  </w:r>
                </w:p>
              </w:tc>
              <w:tc>
                <w:tcPr>
                  <w:tcW w:w="497" w:type="pct"/>
                  <w:vAlign w:val="center"/>
                </w:tcPr>
                <w:p w14:paraId="44ECE9B2">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33.06163659</w:t>
                  </w:r>
                </w:p>
              </w:tc>
              <w:tc>
                <w:tcPr>
                  <w:tcW w:w="506" w:type="pct"/>
                  <w:shd w:val="clear" w:color="auto" w:fill="auto"/>
                  <w:vAlign w:val="center"/>
                </w:tcPr>
                <w:p w14:paraId="7C6AF292">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c>
                <w:tcPr>
                  <w:tcW w:w="409" w:type="pct"/>
                  <w:vAlign w:val="center"/>
                </w:tcPr>
                <w:p w14:paraId="34660549">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0.30</w:t>
                  </w:r>
                </w:p>
              </w:tc>
              <w:tc>
                <w:tcPr>
                  <w:tcW w:w="414" w:type="pct"/>
                  <w:vAlign w:val="center"/>
                </w:tcPr>
                <w:p w14:paraId="292EDF3C">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1000</w:t>
                  </w:r>
                </w:p>
              </w:tc>
              <w:tc>
                <w:tcPr>
                  <w:tcW w:w="274" w:type="pct"/>
                  <w:shd w:val="clear" w:color="auto" w:fill="auto"/>
                  <w:vAlign w:val="center"/>
                </w:tcPr>
                <w:p w14:paraId="3F174B2B">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正常</w:t>
                  </w:r>
                </w:p>
              </w:tc>
            </w:tr>
            <w:tr w14:paraId="0FE571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39" w:type="pct"/>
                  <w:vAlign w:val="center"/>
                </w:tcPr>
                <w:p w14:paraId="75CFC870">
                  <w:pPr>
                    <w:jc w:val="center"/>
                    <w:outlineLvl w:val="9"/>
                    <w:rPr>
                      <w:color w:val="000000" w:themeColor="text1"/>
                      <w:szCs w:val="21"/>
                      <w14:textFill>
                        <w14:solidFill>
                          <w14:schemeClr w14:val="tx1"/>
                        </w14:solidFill>
                      </w14:textFill>
                    </w:rPr>
                  </w:pPr>
                  <w:bookmarkStart w:id="156" w:name="_Toc16028"/>
                  <w:r>
                    <w:rPr>
                      <w:rFonts w:hint="eastAsia"/>
                      <w:color w:val="000000" w:themeColor="text1"/>
                      <w:szCs w:val="21"/>
                      <w14:textFill>
                        <w14:solidFill>
                          <w14:schemeClr w14:val="tx1"/>
                        </w14:solidFill>
                      </w14:textFill>
                    </w:rPr>
                    <w:t>1t/h蒸汽发生器天然气燃烧</w:t>
                  </w:r>
                  <w:bookmarkEnd w:id="156"/>
                </w:p>
              </w:tc>
              <w:tc>
                <w:tcPr>
                  <w:tcW w:w="451" w:type="pct"/>
                  <w:shd w:val="clear" w:color="auto" w:fill="auto"/>
                  <w:vAlign w:val="center"/>
                </w:tcPr>
                <w:p w14:paraId="62C9F759">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2</w:t>
                  </w:r>
                </w:p>
              </w:tc>
              <w:tc>
                <w:tcPr>
                  <w:tcW w:w="289" w:type="pct"/>
                  <w:shd w:val="clear" w:color="auto" w:fill="auto"/>
                  <w:vAlign w:val="center"/>
                </w:tcPr>
                <w:p w14:paraId="7FF78E4F">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#排气口</w:t>
                  </w:r>
                </w:p>
              </w:tc>
              <w:tc>
                <w:tcPr>
                  <w:tcW w:w="289" w:type="pct"/>
                  <w:shd w:val="clear" w:color="auto" w:fill="auto"/>
                  <w:vAlign w:val="center"/>
                </w:tcPr>
                <w:p w14:paraId="74E5892E">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c>
                <w:tcPr>
                  <w:tcW w:w="461" w:type="pct"/>
                  <w:vAlign w:val="center"/>
                </w:tcPr>
                <w:p w14:paraId="6D982026">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w:t>
                  </w:r>
                </w:p>
              </w:tc>
              <w:tc>
                <w:tcPr>
                  <w:tcW w:w="567" w:type="pct"/>
                  <w:vAlign w:val="center"/>
                </w:tcPr>
                <w:p w14:paraId="07007775">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112.20938845</w:t>
                  </w:r>
                </w:p>
              </w:tc>
              <w:tc>
                <w:tcPr>
                  <w:tcW w:w="497" w:type="pct"/>
                  <w:vAlign w:val="center"/>
                </w:tcPr>
                <w:p w14:paraId="2B8D6DAF">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33.06162808</w:t>
                  </w:r>
                </w:p>
              </w:tc>
              <w:tc>
                <w:tcPr>
                  <w:tcW w:w="506" w:type="pct"/>
                  <w:shd w:val="clear" w:color="auto" w:fill="auto"/>
                  <w:vAlign w:val="center"/>
                </w:tcPr>
                <w:p w14:paraId="120E6532">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409" w:type="pct"/>
                  <w:vAlign w:val="center"/>
                </w:tcPr>
                <w:p w14:paraId="12E4013D">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0.15</w:t>
                  </w:r>
                </w:p>
              </w:tc>
              <w:tc>
                <w:tcPr>
                  <w:tcW w:w="414" w:type="pct"/>
                  <w:vAlign w:val="center"/>
                </w:tcPr>
                <w:p w14:paraId="0D9B7F8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1368</w:t>
                  </w:r>
                </w:p>
              </w:tc>
              <w:tc>
                <w:tcPr>
                  <w:tcW w:w="274" w:type="pct"/>
                  <w:shd w:val="clear" w:color="auto" w:fill="auto"/>
                  <w:vAlign w:val="center"/>
                </w:tcPr>
                <w:p w14:paraId="0D64DCEF">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正常</w:t>
                  </w:r>
                </w:p>
              </w:tc>
            </w:tr>
            <w:tr w14:paraId="58236F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39" w:type="pct"/>
                  <w:vAlign w:val="center"/>
                </w:tcPr>
                <w:p w14:paraId="1728D66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0.3t/h蒸汽发生器天然气燃烧</w:t>
                  </w:r>
                </w:p>
              </w:tc>
              <w:tc>
                <w:tcPr>
                  <w:tcW w:w="451" w:type="pct"/>
                  <w:shd w:val="clear" w:color="auto" w:fill="auto"/>
                  <w:vAlign w:val="center"/>
                </w:tcPr>
                <w:p w14:paraId="2CC5E1D5">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3</w:t>
                  </w:r>
                </w:p>
              </w:tc>
              <w:tc>
                <w:tcPr>
                  <w:tcW w:w="289" w:type="pct"/>
                  <w:shd w:val="clear" w:color="auto" w:fill="auto"/>
                  <w:vAlign w:val="center"/>
                </w:tcPr>
                <w:p w14:paraId="7AA7CC01">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#排气口</w:t>
                  </w:r>
                </w:p>
              </w:tc>
              <w:tc>
                <w:tcPr>
                  <w:tcW w:w="289" w:type="pct"/>
                  <w:shd w:val="clear" w:color="auto" w:fill="auto"/>
                  <w:vAlign w:val="center"/>
                </w:tcPr>
                <w:p w14:paraId="4352A294">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c>
                <w:tcPr>
                  <w:tcW w:w="461" w:type="pct"/>
                  <w:vAlign w:val="center"/>
                </w:tcPr>
                <w:p w14:paraId="388B2992">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0</w:t>
                  </w:r>
                  <w:r>
                    <w:rPr>
                      <w:color w:val="000000" w:themeColor="text1"/>
                      <w:szCs w:val="21"/>
                      <w14:textFill>
                        <w14:solidFill>
                          <w14:schemeClr w14:val="tx1"/>
                        </w14:solidFill>
                      </w14:textFill>
                    </w:rPr>
                    <w:t>0</w:t>
                  </w:r>
                </w:p>
              </w:tc>
              <w:tc>
                <w:tcPr>
                  <w:tcW w:w="567" w:type="pct"/>
                  <w:vAlign w:val="center"/>
                </w:tcPr>
                <w:p w14:paraId="295B9FD7">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112.20940455</w:t>
                  </w:r>
                </w:p>
              </w:tc>
              <w:tc>
                <w:tcPr>
                  <w:tcW w:w="497" w:type="pct"/>
                  <w:vAlign w:val="center"/>
                </w:tcPr>
                <w:p w14:paraId="27398D74">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33.06201721</w:t>
                  </w:r>
                </w:p>
              </w:tc>
              <w:tc>
                <w:tcPr>
                  <w:tcW w:w="506" w:type="pct"/>
                  <w:vAlign w:val="center"/>
                </w:tcPr>
                <w:p w14:paraId="4E3731D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409" w:type="pct"/>
                  <w:vAlign w:val="center"/>
                </w:tcPr>
                <w:p w14:paraId="47037BD1">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w:t>
                  </w:r>
                </w:p>
              </w:tc>
              <w:tc>
                <w:tcPr>
                  <w:tcW w:w="414" w:type="pct"/>
                  <w:vAlign w:val="center"/>
                </w:tcPr>
                <w:p w14:paraId="3FCBEE43">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912</w:t>
                  </w:r>
                </w:p>
              </w:tc>
              <w:tc>
                <w:tcPr>
                  <w:tcW w:w="274" w:type="pct"/>
                  <w:shd w:val="clear" w:color="auto" w:fill="auto"/>
                  <w:vAlign w:val="center"/>
                </w:tcPr>
                <w:p w14:paraId="1B7AF8F3">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正常</w:t>
                  </w:r>
                </w:p>
              </w:tc>
            </w:tr>
            <w:tr w14:paraId="02FCC7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39" w:type="pct"/>
                  <w:vAlign w:val="center"/>
                </w:tcPr>
                <w:p w14:paraId="6A4941E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0.5t/h蒸汽发生器天然气燃烧</w:t>
                  </w:r>
                </w:p>
              </w:tc>
              <w:tc>
                <w:tcPr>
                  <w:tcW w:w="451" w:type="pct"/>
                  <w:shd w:val="clear" w:color="auto" w:fill="auto"/>
                  <w:vAlign w:val="center"/>
                </w:tcPr>
                <w:p w14:paraId="12FEEF31">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4</w:t>
                  </w:r>
                </w:p>
              </w:tc>
              <w:tc>
                <w:tcPr>
                  <w:tcW w:w="289" w:type="pct"/>
                  <w:shd w:val="clear" w:color="auto" w:fill="auto"/>
                  <w:vAlign w:val="center"/>
                </w:tcPr>
                <w:p w14:paraId="6E9DA4C8">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#排气口</w:t>
                  </w:r>
                </w:p>
              </w:tc>
              <w:tc>
                <w:tcPr>
                  <w:tcW w:w="289" w:type="pct"/>
                  <w:shd w:val="clear" w:color="auto" w:fill="auto"/>
                  <w:vAlign w:val="center"/>
                </w:tcPr>
                <w:p w14:paraId="0D5B320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c>
                <w:tcPr>
                  <w:tcW w:w="461" w:type="pct"/>
                  <w:vAlign w:val="center"/>
                </w:tcPr>
                <w:p w14:paraId="51CF1B13">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0</w:t>
                  </w:r>
                  <w:r>
                    <w:rPr>
                      <w:color w:val="000000" w:themeColor="text1"/>
                      <w:szCs w:val="21"/>
                      <w14:textFill>
                        <w14:solidFill>
                          <w14:schemeClr w14:val="tx1"/>
                        </w14:solidFill>
                      </w14:textFill>
                    </w:rPr>
                    <w:t>0</w:t>
                  </w:r>
                </w:p>
              </w:tc>
              <w:tc>
                <w:tcPr>
                  <w:tcW w:w="567" w:type="pct"/>
                  <w:vAlign w:val="center"/>
                </w:tcPr>
                <w:p w14:paraId="545BC991">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112.20963475</w:t>
                  </w:r>
                </w:p>
              </w:tc>
              <w:tc>
                <w:tcPr>
                  <w:tcW w:w="497" w:type="pct"/>
                  <w:vAlign w:val="center"/>
                </w:tcPr>
                <w:p w14:paraId="098A68D9">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33.06181217</w:t>
                  </w:r>
                </w:p>
              </w:tc>
              <w:tc>
                <w:tcPr>
                  <w:tcW w:w="506" w:type="pct"/>
                  <w:vAlign w:val="center"/>
                </w:tcPr>
                <w:p w14:paraId="24FCF14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409" w:type="pct"/>
                  <w:vAlign w:val="center"/>
                </w:tcPr>
                <w:p w14:paraId="12B335A3">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w:t>
                  </w:r>
                </w:p>
              </w:tc>
              <w:tc>
                <w:tcPr>
                  <w:tcW w:w="414" w:type="pct"/>
                  <w:vAlign w:val="center"/>
                </w:tcPr>
                <w:p w14:paraId="7E65C694">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912</w:t>
                  </w:r>
                </w:p>
              </w:tc>
              <w:tc>
                <w:tcPr>
                  <w:tcW w:w="274" w:type="pct"/>
                  <w:shd w:val="clear" w:color="auto" w:fill="auto"/>
                  <w:vAlign w:val="center"/>
                </w:tcPr>
                <w:p w14:paraId="293A08EF">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正常</w:t>
                  </w:r>
                </w:p>
              </w:tc>
            </w:tr>
            <w:tr w14:paraId="003634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39" w:type="pct"/>
                  <w:vAlign w:val="center"/>
                </w:tcPr>
                <w:p w14:paraId="37A1297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治疗凝胶生产线乳化工序</w:t>
                  </w:r>
                </w:p>
              </w:tc>
              <w:tc>
                <w:tcPr>
                  <w:tcW w:w="451" w:type="pct"/>
                  <w:shd w:val="clear" w:color="auto" w:fill="auto"/>
                  <w:vAlign w:val="center"/>
                </w:tcPr>
                <w:p w14:paraId="0DDDF8B1">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5</w:t>
                  </w:r>
                </w:p>
              </w:tc>
              <w:tc>
                <w:tcPr>
                  <w:tcW w:w="289" w:type="pct"/>
                  <w:shd w:val="clear" w:color="auto" w:fill="auto"/>
                  <w:vAlign w:val="center"/>
                </w:tcPr>
                <w:p w14:paraId="794714BE">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#排气口</w:t>
                  </w:r>
                </w:p>
              </w:tc>
              <w:tc>
                <w:tcPr>
                  <w:tcW w:w="289" w:type="pct"/>
                  <w:shd w:val="clear" w:color="auto" w:fill="auto"/>
                  <w:vAlign w:val="center"/>
                </w:tcPr>
                <w:p w14:paraId="222EBAB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c>
                <w:tcPr>
                  <w:tcW w:w="461" w:type="pct"/>
                  <w:vAlign w:val="center"/>
                </w:tcPr>
                <w:p w14:paraId="69E452F5">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567" w:type="pct"/>
                  <w:vAlign w:val="center"/>
                </w:tcPr>
                <w:p w14:paraId="5D53CD88">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112.20882632</w:t>
                  </w:r>
                </w:p>
              </w:tc>
              <w:tc>
                <w:tcPr>
                  <w:tcW w:w="497" w:type="pct"/>
                  <w:vAlign w:val="center"/>
                </w:tcPr>
                <w:p w14:paraId="5A0B7581">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33.06172566</w:t>
                  </w:r>
                </w:p>
              </w:tc>
              <w:tc>
                <w:tcPr>
                  <w:tcW w:w="506" w:type="pct"/>
                  <w:vAlign w:val="center"/>
                </w:tcPr>
                <w:p w14:paraId="2D3D9EDC">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p>
              </w:tc>
              <w:tc>
                <w:tcPr>
                  <w:tcW w:w="409" w:type="pct"/>
                  <w:vAlign w:val="center"/>
                </w:tcPr>
                <w:p w14:paraId="16CD59F5">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0.15</w:t>
                  </w:r>
                </w:p>
              </w:tc>
              <w:tc>
                <w:tcPr>
                  <w:tcW w:w="414" w:type="pct"/>
                  <w:vAlign w:val="center"/>
                </w:tcPr>
                <w:p w14:paraId="6FCC5AE1">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1000</w:t>
                  </w:r>
                </w:p>
              </w:tc>
              <w:tc>
                <w:tcPr>
                  <w:tcW w:w="274" w:type="pct"/>
                  <w:shd w:val="clear" w:color="auto" w:fill="auto"/>
                  <w:vAlign w:val="center"/>
                </w:tcPr>
                <w:p w14:paraId="1323C3E4">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正常</w:t>
                  </w:r>
                </w:p>
              </w:tc>
            </w:tr>
            <w:tr w14:paraId="3ABEFE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39" w:type="pct"/>
                  <w:vAlign w:val="center"/>
                </w:tcPr>
                <w:p w14:paraId="5A7EFA9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热敷理疗产品上料工序</w:t>
                  </w:r>
                </w:p>
              </w:tc>
              <w:tc>
                <w:tcPr>
                  <w:tcW w:w="451" w:type="pct"/>
                  <w:shd w:val="clear" w:color="auto" w:fill="auto"/>
                  <w:vAlign w:val="center"/>
                </w:tcPr>
                <w:p w14:paraId="6610BE7E">
                  <w:pPr>
                    <w:pStyle w:val="49"/>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DA006</w:t>
                  </w:r>
                </w:p>
              </w:tc>
              <w:tc>
                <w:tcPr>
                  <w:tcW w:w="289" w:type="pct"/>
                  <w:shd w:val="clear" w:color="auto" w:fill="auto"/>
                  <w:vAlign w:val="center"/>
                </w:tcPr>
                <w:p w14:paraId="401183AC">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#排气口</w:t>
                  </w:r>
                </w:p>
              </w:tc>
              <w:tc>
                <w:tcPr>
                  <w:tcW w:w="289" w:type="pct"/>
                  <w:shd w:val="clear" w:color="auto" w:fill="auto"/>
                  <w:vAlign w:val="center"/>
                </w:tcPr>
                <w:p w14:paraId="2714A5C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c>
                <w:tcPr>
                  <w:tcW w:w="461" w:type="pct"/>
                  <w:vAlign w:val="center"/>
                </w:tcPr>
                <w:p w14:paraId="6C3700F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567" w:type="pct"/>
                  <w:vAlign w:val="center"/>
                </w:tcPr>
                <w:p w14:paraId="582569A5">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112.20882632</w:t>
                  </w:r>
                </w:p>
              </w:tc>
              <w:tc>
                <w:tcPr>
                  <w:tcW w:w="497" w:type="pct"/>
                  <w:vAlign w:val="center"/>
                </w:tcPr>
                <w:p w14:paraId="03F8AFEC">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33.06172566</w:t>
                  </w:r>
                </w:p>
              </w:tc>
              <w:tc>
                <w:tcPr>
                  <w:tcW w:w="506" w:type="pct"/>
                  <w:vAlign w:val="center"/>
                </w:tcPr>
                <w:p w14:paraId="3D230F75">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p>
              </w:tc>
              <w:tc>
                <w:tcPr>
                  <w:tcW w:w="1086" w:type="dxa"/>
                  <w:vAlign w:val="center"/>
                </w:tcPr>
                <w:p w14:paraId="04D616A4">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0.15</w:t>
                  </w:r>
                </w:p>
              </w:tc>
              <w:tc>
                <w:tcPr>
                  <w:tcW w:w="1099" w:type="dxa"/>
                  <w:vAlign w:val="center"/>
                </w:tcPr>
                <w:p w14:paraId="6075D59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456</w:t>
                  </w:r>
                </w:p>
              </w:tc>
              <w:tc>
                <w:tcPr>
                  <w:tcW w:w="728" w:type="dxa"/>
                  <w:shd w:val="clear" w:color="auto" w:fill="auto"/>
                  <w:vAlign w:val="center"/>
                </w:tcPr>
                <w:p w14:paraId="7279D7C8">
                  <w:pPr>
                    <w:tabs>
                      <w:tab w:val="left" w:pos="1081"/>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正常</w:t>
                  </w:r>
                </w:p>
              </w:tc>
            </w:tr>
            <w:tr w14:paraId="41851D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39" w:type="pct"/>
                  <w:vAlign w:val="center"/>
                </w:tcPr>
                <w:p w14:paraId="03C1E5B1">
                  <w:pPr>
                    <w:jc w:val="center"/>
                    <w:rPr>
                      <w:color w:val="000000" w:themeColor="text1"/>
                      <w:szCs w:val="21"/>
                      <w14:textFill>
                        <w14:solidFill>
                          <w14:schemeClr w14:val="tx1"/>
                        </w14:solidFill>
                      </w14:textFill>
                    </w:rPr>
                  </w:pPr>
                  <w:r>
                    <w:rPr>
                      <w:color w:val="000000" w:themeColor="text1"/>
                      <w:kern w:val="52"/>
                      <w14:textFill>
                        <w14:solidFill>
                          <w14:schemeClr w14:val="tx1"/>
                        </w14:solidFill>
                      </w14:textFill>
                    </w:rPr>
                    <w:t>污水处理站</w:t>
                  </w:r>
                  <w:r>
                    <w:rPr>
                      <w:rFonts w:hint="eastAsia"/>
                      <w:color w:val="000000" w:themeColor="text1"/>
                      <w:kern w:val="52"/>
                      <w14:textFill>
                        <w14:solidFill>
                          <w14:schemeClr w14:val="tx1"/>
                        </w14:solidFill>
                      </w14:textFill>
                    </w:rPr>
                    <w:t>及酒糟暂存</w:t>
                  </w:r>
                </w:p>
              </w:tc>
              <w:tc>
                <w:tcPr>
                  <w:tcW w:w="451" w:type="pct"/>
                  <w:shd w:val="clear" w:color="auto" w:fill="auto"/>
                  <w:vAlign w:val="center"/>
                </w:tcPr>
                <w:p w14:paraId="35F65892">
                  <w:pPr>
                    <w:pStyle w:val="49"/>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DA007</w:t>
                  </w:r>
                </w:p>
              </w:tc>
              <w:tc>
                <w:tcPr>
                  <w:tcW w:w="289" w:type="pct"/>
                  <w:shd w:val="clear" w:color="auto" w:fill="auto"/>
                  <w:vAlign w:val="center"/>
                </w:tcPr>
                <w:p w14:paraId="078C7E3C">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7</w:t>
                  </w:r>
                  <w:r>
                    <w:rPr>
                      <w:color w:val="000000" w:themeColor="text1"/>
                      <w:szCs w:val="21"/>
                      <w14:textFill>
                        <w14:solidFill>
                          <w14:schemeClr w14:val="tx1"/>
                        </w14:solidFill>
                      </w14:textFill>
                    </w:rPr>
                    <w:t>#排气口</w:t>
                  </w:r>
                </w:p>
              </w:tc>
              <w:tc>
                <w:tcPr>
                  <w:tcW w:w="289" w:type="pct"/>
                  <w:shd w:val="clear" w:color="auto" w:fill="auto"/>
                  <w:vAlign w:val="center"/>
                </w:tcPr>
                <w:p w14:paraId="1773113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c>
                <w:tcPr>
                  <w:tcW w:w="461" w:type="pct"/>
                  <w:vAlign w:val="center"/>
                </w:tcPr>
                <w:p w14:paraId="79C379B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20</w:t>
                  </w:r>
                </w:p>
              </w:tc>
              <w:tc>
                <w:tcPr>
                  <w:tcW w:w="567" w:type="pct"/>
                  <w:vAlign w:val="center"/>
                </w:tcPr>
                <w:p w14:paraId="67394B60">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112.20845691</w:t>
                  </w:r>
                </w:p>
              </w:tc>
              <w:tc>
                <w:tcPr>
                  <w:tcW w:w="497" w:type="pct"/>
                  <w:vAlign w:val="center"/>
                </w:tcPr>
                <w:p w14:paraId="35C08DF4">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33.06163400</w:t>
                  </w:r>
                </w:p>
              </w:tc>
              <w:tc>
                <w:tcPr>
                  <w:tcW w:w="506" w:type="pct"/>
                  <w:vAlign w:val="center"/>
                </w:tcPr>
                <w:p w14:paraId="52152E51">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w:t>
                  </w:r>
                </w:p>
              </w:tc>
              <w:tc>
                <w:tcPr>
                  <w:tcW w:w="409" w:type="pct"/>
                  <w:vAlign w:val="center"/>
                </w:tcPr>
                <w:p w14:paraId="6251ED57">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0.15</w:t>
                  </w:r>
                </w:p>
              </w:tc>
              <w:tc>
                <w:tcPr>
                  <w:tcW w:w="414" w:type="pct"/>
                  <w:vAlign w:val="center"/>
                </w:tcPr>
                <w:p w14:paraId="378CF2A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5472</w:t>
                  </w:r>
                </w:p>
              </w:tc>
              <w:tc>
                <w:tcPr>
                  <w:tcW w:w="274" w:type="pct"/>
                  <w:shd w:val="clear" w:color="auto" w:fill="auto"/>
                  <w:vAlign w:val="center"/>
                </w:tcPr>
                <w:p w14:paraId="56CFFA88">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0.15</w:t>
                  </w:r>
                </w:p>
              </w:tc>
            </w:tr>
          </w:tbl>
          <w:p w14:paraId="64F81ECE">
            <w:pPr>
              <w:adjustRightInd w:val="0"/>
              <w:snapToGrid w:val="0"/>
              <w:spacing w:line="360" w:lineRule="auto"/>
              <w:rPr>
                <w:b/>
                <w:bCs/>
                <w:color w:val="000000" w:themeColor="text1"/>
                <w:spacing w:val="-10"/>
                <w:sz w:val="24"/>
                <w14:textFill>
                  <w14:solidFill>
                    <w14:schemeClr w14:val="tx1"/>
                  </w14:solidFill>
                </w14:textFill>
              </w:rPr>
            </w:pPr>
          </w:p>
        </w:tc>
      </w:tr>
    </w:tbl>
    <w:p w14:paraId="498222E5">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8"/>
        <w:gridCol w:w="9474"/>
      </w:tblGrid>
      <w:tr w14:paraId="1A8B7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0" w:type="pct"/>
            <w:shd w:val="clear" w:color="auto" w:fill="auto"/>
            <w:vAlign w:val="center"/>
          </w:tcPr>
          <w:p w14:paraId="341726BA">
            <w:pPr>
              <w:adjustRightInd w:val="0"/>
              <w:snapToGrid w:val="0"/>
              <w:jc w:val="center"/>
              <w:rPr>
                <w:bCs/>
                <w:color w:val="000000" w:themeColor="text1"/>
                <w:sz w:val="24"/>
                <w14:textFill>
                  <w14:solidFill>
                    <w14:schemeClr w14:val="tx1"/>
                  </w14:solidFill>
                </w14:textFill>
              </w:rPr>
            </w:pPr>
          </w:p>
        </w:tc>
        <w:tc>
          <w:tcPr>
            <w:tcW w:w="4759" w:type="pct"/>
            <w:shd w:val="clear" w:color="auto" w:fill="auto"/>
          </w:tcPr>
          <w:p w14:paraId="2C1D7B0C">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1.4</w:t>
            </w:r>
            <w:r>
              <w:rPr>
                <w:bCs/>
                <w:color w:val="000000" w:themeColor="text1"/>
                <w:sz w:val="24"/>
                <w14:textFill>
                  <w14:solidFill>
                    <w14:schemeClr w14:val="tx1"/>
                  </w14:solidFill>
                </w14:textFill>
              </w:rPr>
              <w:t>废气监测计划</w:t>
            </w:r>
          </w:p>
          <w:p w14:paraId="7A7FCB12">
            <w:pPr>
              <w:widowControl/>
              <w:adjustRightInd w:val="0"/>
              <w:snapToGrid w:val="0"/>
              <w:spacing w:line="360" w:lineRule="auto"/>
              <w:ind w:firstLine="482"/>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根据《排污许可证申请与核发技术规范 酒、饮料制造工业》（</w:t>
            </w:r>
            <w:r>
              <w:rPr>
                <w:bCs/>
                <w:color w:val="000000" w:themeColor="text1"/>
                <w:sz w:val="24"/>
                <w14:textFill>
                  <w14:solidFill>
                    <w14:schemeClr w14:val="tx1"/>
                  </w14:solidFill>
                </w14:textFill>
              </w:rPr>
              <w:t>HJ1028-2019</w:t>
            </w:r>
            <w:r>
              <w:rPr>
                <w:rFonts w:hint="eastAsia"/>
                <w:bCs/>
                <w:color w:val="000000" w:themeColor="text1"/>
                <w:sz w:val="24"/>
                <w14:textFill>
                  <w14:solidFill>
                    <w14:schemeClr w14:val="tx1"/>
                  </w14:solidFill>
                </w14:textFill>
              </w:rPr>
              <w:t>）、《排污许可证申请与核发技术规范 锅炉》（</w:t>
            </w:r>
            <w:r>
              <w:rPr>
                <w:bCs/>
                <w:color w:val="000000" w:themeColor="text1"/>
                <w:sz w:val="24"/>
                <w14:textFill>
                  <w14:solidFill>
                    <w14:schemeClr w14:val="tx1"/>
                  </w14:solidFill>
                </w14:textFill>
              </w:rPr>
              <w:t>HJ953-2018</w:t>
            </w:r>
            <w:r>
              <w:rPr>
                <w:rFonts w:hint="eastAsia"/>
                <w:bCs/>
                <w:color w:val="000000" w:themeColor="text1"/>
                <w:sz w:val="24"/>
                <w14:textFill>
                  <w14:solidFill>
                    <w14:schemeClr w14:val="tx1"/>
                  </w14:solidFill>
                </w14:textFill>
              </w:rPr>
              <w:t>）以及《排污单位自行监测技术指南 火力发电及锅炉》（</w:t>
            </w:r>
            <w:r>
              <w:rPr>
                <w:bCs/>
                <w:color w:val="000000" w:themeColor="text1"/>
                <w:sz w:val="24"/>
                <w14:textFill>
                  <w14:solidFill>
                    <w14:schemeClr w14:val="tx1"/>
                  </w14:solidFill>
                </w14:textFill>
              </w:rPr>
              <w:t>HJ820-2017</w:t>
            </w:r>
            <w:r>
              <w:rPr>
                <w:rFonts w:hint="eastAsia"/>
                <w:bCs/>
                <w:color w:val="000000" w:themeColor="text1"/>
                <w:sz w:val="24"/>
                <w14:textFill>
                  <w14:solidFill>
                    <w14:schemeClr w14:val="tx1"/>
                  </w14:solidFill>
                </w14:textFill>
              </w:rPr>
              <w:t>），并结合本项目废气产排污情况，项目运营期废气环境监测的内容及频次详见下表：</w:t>
            </w:r>
          </w:p>
          <w:p w14:paraId="2A8E8098">
            <w:pPr>
              <w:widowControl/>
              <w:adjustRightInd w:val="0"/>
              <w:snapToGrid w:val="0"/>
              <w:spacing w:line="360" w:lineRule="auto"/>
              <w:ind w:firstLine="482"/>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 xml:space="preserve">7  </w:t>
            </w:r>
            <w:r>
              <w:rPr>
                <w:b/>
                <w:color w:val="000000" w:themeColor="text1"/>
                <w:sz w:val="24"/>
                <w14:textFill>
                  <w14:solidFill>
                    <w14:schemeClr w14:val="tx1"/>
                  </w14:solidFill>
                </w14:textFill>
              </w:rPr>
              <w:t>项目废气监测计划一览表</w:t>
            </w:r>
          </w:p>
          <w:tbl>
            <w:tblPr>
              <w:tblStyle w:val="25"/>
              <w:tblW w:w="4975"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671"/>
              <w:gridCol w:w="679"/>
              <w:gridCol w:w="1541"/>
              <w:gridCol w:w="1217"/>
              <w:gridCol w:w="1255"/>
              <w:gridCol w:w="3834"/>
            </w:tblGrid>
            <w:tr w14:paraId="71805D3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4" w:type="pct"/>
                  <w:gridSpan w:val="2"/>
                  <w:tcBorders>
                    <w:right w:val="single" w:color="auto" w:sz="4" w:space="0"/>
                  </w:tcBorders>
                  <w:vAlign w:val="center"/>
                </w:tcPr>
                <w:p w14:paraId="562C72E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837" w:type="pct"/>
                  <w:tcBorders>
                    <w:left w:val="single" w:color="auto" w:sz="4" w:space="0"/>
                    <w:bottom w:val="single" w:color="auto" w:sz="4" w:space="0"/>
                  </w:tcBorders>
                  <w:vAlign w:val="center"/>
                </w:tcPr>
                <w:p w14:paraId="32307A4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监测点位</w:t>
                  </w:r>
                </w:p>
              </w:tc>
              <w:tc>
                <w:tcPr>
                  <w:tcW w:w="661" w:type="pct"/>
                  <w:vAlign w:val="center"/>
                </w:tcPr>
                <w:p w14:paraId="22E773B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监测因子</w:t>
                  </w:r>
                </w:p>
              </w:tc>
              <w:tc>
                <w:tcPr>
                  <w:tcW w:w="682" w:type="pct"/>
                  <w:vAlign w:val="center"/>
                </w:tcPr>
                <w:p w14:paraId="71C76B9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监测频次</w:t>
                  </w:r>
                </w:p>
              </w:tc>
              <w:tc>
                <w:tcPr>
                  <w:tcW w:w="2083" w:type="pct"/>
                  <w:vAlign w:val="center"/>
                </w:tcPr>
                <w:p w14:paraId="76FEC58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执行标准</w:t>
                  </w:r>
                </w:p>
              </w:tc>
            </w:tr>
            <w:tr w14:paraId="594E473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restart"/>
                  <w:tcBorders>
                    <w:right w:val="single" w:color="auto" w:sz="4" w:space="0"/>
                  </w:tcBorders>
                  <w:vAlign w:val="center"/>
                </w:tcPr>
                <w:p w14:paraId="0A7EDAC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废气</w:t>
                  </w:r>
                </w:p>
              </w:tc>
              <w:tc>
                <w:tcPr>
                  <w:tcW w:w="369" w:type="pct"/>
                  <w:vMerge w:val="restart"/>
                  <w:tcBorders>
                    <w:left w:val="single" w:color="auto" w:sz="4" w:space="0"/>
                    <w:right w:val="single" w:color="auto" w:sz="4" w:space="0"/>
                  </w:tcBorders>
                  <w:vAlign w:val="center"/>
                </w:tcPr>
                <w:p w14:paraId="7924A94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有组织</w:t>
                  </w:r>
                </w:p>
              </w:tc>
              <w:tc>
                <w:tcPr>
                  <w:tcW w:w="837" w:type="pct"/>
                  <w:vMerge w:val="restart"/>
                  <w:tcBorders>
                    <w:top w:val="single" w:color="auto" w:sz="4" w:space="0"/>
                    <w:left w:val="single" w:color="auto" w:sz="4" w:space="0"/>
                  </w:tcBorders>
                  <w:vAlign w:val="center"/>
                </w:tcPr>
                <w:p w14:paraId="380A8F75">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1</w:t>
                  </w:r>
                </w:p>
              </w:tc>
              <w:tc>
                <w:tcPr>
                  <w:tcW w:w="661" w:type="pct"/>
                  <w:vMerge w:val="restart"/>
                  <w:shd w:val="clear" w:color="auto" w:fill="auto"/>
                  <w:vAlign w:val="center"/>
                </w:tcPr>
                <w:p w14:paraId="6CAAAC7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682" w:type="pct"/>
                  <w:vMerge w:val="restart"/>
                  <w:shd w:val="clear" w:color="auto" w:fill="auto"/>
                  <w:vAlign w:val="center"/>
                </w:tcPr>
                <w:p w14:paraId="5F390727">
                  <w:pPr>
                    <w:tabs>
                      <w:tab w:val="left" w:pos="436"/>
                    </w:tabs>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2083" w:type="pct"/>
                  <w:shd w:val="clear" w:color="auto" w:fill="auto"/>
                  <w:vAlign w:val="center"/>
                </w:tcPr>
                <w:p w14:paraId="696B3549">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r>
            <w:tr w14:paraId="75A5CB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737F5CEF">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10CD2A9C">
                  <w:pPr>
                    <w:jc w:val="center"/>
                    <w:rPr>
                      <w:color w:val="000000" w:themeColor="text1"/>
                      <w:szCs w:val="21"/>
                      <w14:textFill>
                        <w14:solidFill>
                          <w14:schemeClr w14:val="tx1"/>
                        </w14:solidFill>
                      </w14:textFill>
                    </w:rPr>
                  </w:pPr>
                </w:p>
              </w:tc>
              <w:tc>
                <w:tcPr>
                  <w:tcW w:w="837" w:type="pct"/>
                  <w:vMerge w:val="continue"/>
                  <w:tcBorders>
                    <w:left w:val="single" w:color="auto" w:sz="4" w:space="0"/>
                  </w:tcBorders>
                  <w:vAlign w:val="center"/>
                </w:tcPr>
                <w:p w14:paraId="0F2B4236">
                  <w:pPr>
                    <w:pStyle w:val="49"/>
                    <w:rPr>
                      <w:color w:val="000000" w:themeColor="text1"/>
                      <w:szCs w:val="21"/>
                      <w14:textFill>
                        <w14:solidFill>
                          <w14:schemeClr w14:val="tx1"/>
                        </w14:solidFill>
                      </w14:textFill>
                    </w:rPr>
                  </w:pPr>
                </w:p>
              </w:tc>
              <w:tc>
                <w:tcPr>
                  <w:tcW w:w="661" w:type="pct"/>
                  <w:vMerge w:val="continue"/>
                  <w:vAlign w:val="center"/>
                </w:tcPr>
                <w:p w14:paraId="7AFC3691">
                  <w:pPr>
                    <w:pStyle w:val="49"/>
                    <w:rPr>
                      <w:color w:val="000000" w:themeColor="text1"/>
                      <w:szCs w:val="21"/>
                      <w14:textFill>
                        <w14:solidFill>
                          <w14:schemeClr w14:val="tx1"/>
                        </w14:solidFill>
                      </w14:textFill>
                    </w:rPr>
                  </w:pPr>
                </w:p>
              </w:tc>
              <w:tc>
                <w:tcPr>
                  <w:tcW w:w="682" w:type="pct"/>
                  <w:vMerge w:val="continue"/>
                  <w:vAlign w:val="center"/>
                </w:tcPr>
                <w:p w14:paraId="10192CE2">
                  <w:pPr>
                    <w:jc w:val="center"/>
                    <w:rPr>
                      <w:color w:val="000000" w:themeColor="text1"/>
                      <w:szCs w:val="21"/>
                      <w14:textFill>
                        <w14:solidFill>
                          <w14:schemeClr w14:val="tx1"/>
                        </w14:solidFill>
                      </w14:textFill>
                    </w:rPr>
                  </w:pPr>
                </w:p>
              </w:tc>
              <w:tc>
                <w:tcPr>
                  <w:tcW w:w="2083" w:type="pct"/>
                  <w:shd w:val="clear" w:color="auto" w:fill="auto"/>
                  <w:vAlign w:val="center"/>
                </w:tcPr>
                <w:p w14:paraId="5DFEBDB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年修订版）附录2中其他工序PM排放限值</w:t>
                  </w:r>
                </w:p>
              </w:tc>
            </w:tr>
            <w:tr w14:paraId="615095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034B8C1A">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22649FBB">
                  <w:pPr>
                    <w:jc w:val="center"/>
                    <w:rPr>
                      <w:color w:val="000000" w:themeColor="text1"/>
                      <w:szCs w:val="21"/>
                      <w14:textFill>
                        <w14:solidFill>
                          <w14:schemeClr w14:val="tx1"/>
                        </w14:solidFill>
                      </w14:textFill>
                    </w:rPr>
                  </w:pPr>
                </w:p>
              </w:tc>
              <w:tc>
                <w:tcPr>
                  <w:tcW w:w="837" w:type="pct"/>
                  <w:vMerge w:val="restart"/>
                  <w:tcBorders>
                    <w:top w:val="single" w:color="auto" w:sz="4" w:space="0"/>
                    <w:left w:val="single" w:color="auto" w:sz="4" w:space="0"/>
                  </w:tcBorders>
                  <w:vAlign w:val="center"/>
                </w:tcPr>
                <w:p w14:paraId="3C230A80">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2</w:t>
                  </w:r>
                </w:p>
              </w:tc>
              <w:tc>
                <w:tcPr>
                  <w:tcW w:w="661" w:type="pct"/>
                  <w:vMerge w:val="restart"/>
                  <w:shd w:val="clear" w:color="auto" w:fill="auto"/>
                  <w:vAlign w:val="center"/>
                </w:tcPr>
                <w:p w14:paraId="34AF656D">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82" w:type="pct"/>
                  <w:vMerge w:val="restart"/>
                  <w:shd w:val="clear" w:color="auto" w:fill="auto"/>
                  <w:vAlign w:val="center"/>
                </w:tcPr>
                <w:p w14:paraId="5AA58BAF">
                  <w:pPr>
                    <w:jc w:val="center"/>
                    <w:rPr>
                      <w:b/>
                      <w:color w:val="000000" w:themeColor="text1"/>
                      <w:szCs w:val="21"/>
                      <w14:textFill>
                        <w14:solidFill>
                          <w14:schemeClr w14:val="tx1"/>
                        </w14:solidFill>
                      </w14:textFill>
                    </w:rPr>
                  </w:pPr>
                  <w:r>
                    <w:rPr>
                      <w:color w:val="000000" w:themeColor="text1"/>
                      <w:szCs w:val="21"/>
                      <w14:textFill>
                        <w14:solidFill>
                          <w14:schemeClr w14:val="tx1"/>
                        </w14:solidFill>
                      </w14:textFill>
                    </w:rPr>
                    <w:t>1次/年</w:t>
                  </w:r>
                </w:p>
              </w:tc>
              <w:tc>
                <w:tcPr>
                  <w:tcW w:w="2083" w:type="pct"/>
                  <w:shd w:val="clear" w:color="auto" w:fill="auto"/>
                  <w:vAlign w:val="center"/>
                </w:tcPr>
                <w:p w14:paraId="0B03021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2894FF1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2144D997">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23E06C6C">
                  <w:pPr>
                    <w:jc w:val="center"/>
                    <w:rPr>
                      <w:color w:val="000000" w:themeColor="text1"/>
                      <w:szCs w:val="21"/>
                      <w14:textFill>
                        <w14:solidFill>
                          <w14:schemeClr w14:val="tx1"/>
                        </w14:solidFill>
                      </w14:textFill>
                    </w:rPr>
                  </w:pPr>
                </w:p>
              </w:tc>
              <w:tc>
                <w:tcPr>
                  <w:tcW w:w="837" w:type="pct"/>
                  <w:vMerge w:val="continue"/>
                  <w:tcBorders>
                    <w:left w:val="single" w:color="auto" w:sz="4" w:space="0"/>
                  </w:tcBorders>
                  <w:vAlign w:val="center"/>
                </w:tcPr>
                <w:p w14:paraId="569E6BD0">
                  <w:pPr>
                    <w:pStyle w:val="49"/>
                    <w:rPr>
                      <w:color w:val="000000" w:themeColor="text1"/>
                      <w:szCs w:val="21"/>
                      <w14:textFill>
                        <w14:solidFill>
                          <w14:schemeClr w14:val="tx1"/>
                        </w14:solidFill>
                      </w14:textFill>
                    </w:rPr>
                  </w:pPr>
                </w:p>
              </w:tc>
              <w:tc>
                <w:tcPr>
                  <w:tcW w:w="661" w:type="pct"/>
                  <w:vMerge w:val="continue"/>
                  <w:vAlign w:val="center"/>
                </w:tcPr>
                <w:p w14:paraId="6A3B2A1A">
                  <w:pPr>
                    <w:pStyle w:val="49"/>
                    <w:rPr>
                      <w:color w:val="000000" w:themeColor="text1"/>
                      <w:szCs w:val="21"/>
                      <w14:textFill>
                        <w14:solidFill>
                          <w14:schemeClr w14:val="tx1"/>
                        </w14:solidFill>
                      </w14:textFill>
                    </w:rPr>
                  </w:pPr>
                </w:p>
              </w:tc>
              <w:tc>
                <w:tcPr>
                  <w:tcW w:w="682" w:type="pct"/>
                  <w:vMerge w:val="continue"/>
                  <w:vAlign w:val="center"/>
                </w:tcPr>
                <w:p w14:paraId="7A6101D4">
                  <w:pPr>
                    <w:jc w:val="center"/>
                    <w:rPr>
                      <w:color w:val="000000" w:themeColor="text1"/>
                      <w:szCs w:val="21"/>
                      <w14:textFill>
                        <w14:solidFill>
                          <w14:schemeClr w14:val="tx1"/>
                        </w14:solidFill>
                      </w14:textFill>
                    </w:rPr>
                  </w:pPr>
                </w:p>
              </w:tc>
              <w:tc>
                <w:tcPr>
                  <w:tcW w:w="2083" w:type="pct"/>
                  <w:shd w:val="clear" w:color="auto" w:fill="auto"/>
                  <w:vAlign w:val="center"/>
                </w:tcPr>
                <w:p w14:paraId="0A82FE3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757372B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00526921">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0941B527">
                  <w:pPr>
                    <w:jc w:val="center"/>
                    <w:rPr>
                      <w:color w:val="000000" w:themeColor="text1"/>
                      <w:szCs w:val="21"/>
                      <w14:textFill>
                        <w14:solidFill>
                          <w14:schemeClr w14:val="tx1"/>
                        </w14:solidFill>
                      </w14:textFill>
                    </w:rPr>
                  </w:pPr>
                </w:p>
              </w:tc>
              <w:tc>
                <w:tcPr>
                  <w:tcW w:w="837" w:type="pct"/>
                  <w:vMerge w:val="continue"/>
                  <w:tcBorders>
                    <w:left w:val="single" w:color="auto" w:sz="4" w:space="0"/>
                  </w:tcBorders>
                  <w:vAlign w:val="center"/>
                </w:tcPr>
                <w:p w14:paraId="19F15775">
                  <w:pPr>
                    <w:jc w:val="center"/>
                    <w:rPr>
                      <w:color w:val="000000" w:themeColor="text1"/>
                      <w:szCs w:val="21"/>
                      <w14:textFill>
                        <w14:solidFill>
                          <w14:schemeClr w14:val="tx1"/>
                        </w14:solidFill>
                      </w14:textFill>
                    </w:rPr>
                  </w:pPr>
                </w:p>
              </w:tc>
              <w:tc>
                <w:tcPr>
                  <w:tcW w:w="661" w:type="pct"/>
                  <w:vMerge w:val="restart"/>
                  <w:shd w:val="clear" w:color="auto" w:fill="auto"/>
                  <w:vAlign w:val="center"/>
                </w:tcPr>
                <w:p w14:paraId="674537DF">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682" w:type="pct"/>
                  <w:vMerge w:val="restart"/>
                  <w:shd w:val="clear" w:color="auto" w:fill="auto"/>
                  <w:vAlign w:val="center"/>
                </w:tcPr>
                <w:p w14:paraId="4992F4C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1次/年</w:t>
                  </w:r>
                </w:p>
              </w:tc>
              <w:tc>
                <w:tcPr>
                  <w:tcW w:w="2083" w:type="pct"/>
                  <w:shd w:val="clear" w:color="auto" w:fill="auto"/>
                  <w:vAlign w:val="center"/>
                </w:tcPr>
                <w:p w14:paraId="490EB74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61AD1A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051F8A2E">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5E375B6C">
                  <w:pPr>
                    <w:jc w:val="center"/>
                    <w:rPr>
                      <w:color w:val="000000" w:themeColor="text1"/>
                      <w:szCs w:val="21"/>
                      <w14:textFill>
                        <w14:solidFill>
                          <w14:schemeClr w14:val="tx1"/>
                        </w14:solidFill>
                      </w14:textFill>
                    </w:rPr>
                  </w:pPr>
                </w:p>
              </w:tc>
              <w:tc>
                <w:tcPr>
                  <w:tcW w:w="837" w:type="pct"/>
                  <w:vMerge w:val="continue"/>
                  <w:tcBorders>
                    <w:left w:val="single" w:color="auto" w:sz="4" w:space="0"/>
                  </w:tcBorders>
                  <w:vAlign w:val="center"/>
                </w:tcPr>
                <w:p w14:paraId="128DAADD">
                  <w:pPr>
                    <w:jc w:val="center"/>
                    <w:rPr>
                      <w:color w:val="000000" w:themeColor="text1"/>
                      <w:szCs w:val="21"/>
                      <w14:textFill>
                        <w14:solidFill>
                          <w14:schemeClr w14:val="tx1"/>
                        </w14:solidFill>
                      </w14:textFill>
                    </w:rPr>
                  </w:pPr>
                </w:p>
              </w:tc>
              <w:tc>
                <w:tcPr>
                  <w:tcW w:w="661" w:type="pct"/>
                  <w:vMerge w:val="continue"/>
                  <w:vAlign w:val="center"/>
                </w:tcPr>
                <w:p w14:paraId="618798B0">
                  <w:pPr>
                    <w:jc w:val="center"/>
                    <w:rPr>
                      <w:color w:val="000000" w:themeColor="text1"/>
                      <w:szCs w:val="21"/>
                      <w14:textFill>
                        <w14:solidFill>
                          <w14:schemeClr w14:val="tx1"/>
                        </w14:solidFill>
                      </w14:textFill>
                    </w:rPr>
                  </w:pPr>
                </w:p>
              </w:tc>
              <w:tc>
                <w:tcPr>
                  <w:tcW w:w="682" w:type="pct"/>
                  <w:vMerge w:val="continue"/>
                  <w:vAlign w:val="center"/>
                </w:tcPr>
                <w:p w14:paraId="7110CD9A">
                  <w:pPr>
                    <w:tabs>
                      <w:tab w:val="left" w:pos="436"/>
                    </w:tabs>
                    <w:jc w:val="center"/>
                    <w:rPr>
                      <w:color w:val="000000" w:themeColor="text1"/>
                      <w:szCs w:val="21"/>
                      <w14:textFill>
                        <w14:solidFill>
                          <w14:schemeClr w14:val="tx1"/>
                        </w14:solidFill>
                      </w14:textFill>
                    </w:rPr>
                  </w:pPr>
                </w:p>
              </w:tc>
              <w:tc>
                <w:tcPr>
                  <w:tcW w:w="2083" w:type="pct"/>
                  <w:shd w:val="clear" w:color="auto" w:fill="auto"/>
                  <w:vAlign w:val="center"/>
                </w:tcPr>
                <w:p w14:paraId="1BD0B9F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4FAF8E9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269DBE5C">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12D37D31">
                  <w:pPr>
                    <w:jc w:val="center"/>
                    <w:rPr>
                      <w:color w:val="000000" w:themeColor="text1"/>
                      <w:szCs w:val="21"/>
                      <w14:textFill>
                        <w14:solidFill>
                          <w14:schemeClr w14:val="tx1"/>
                        </w14:solidFill>
                      </w14:textFill>
                    </w:rPr>
                  </w:pPr>
                </w:p>
              </w:tc>
              <w:tc>
                <w:tcPr>
                  <w:tcW w:w="837" w:type="pct"/>
                  <w:vMerge w:val="continue"/>
                  <w:tcBorders>
                    <w:left w:val="single" w:color="auto" w:sz="4" w:space="0"/>
                  </w:tcBorders>
                  <w:vAlign w:val="center"/>
                </w:tcPr>
                <w:p w14:paraId="6AB18A05">
                  <w:pPr>
                    <w:jc w:val="center"/>
                    <w:rPr>
                      <w:color w:val="000000" w:themeColor="text1"/>
                      <w:szCs w:val="21"/>
                      <w14:textFill>
                        <w14:solidFill>
                          <w14:schemeClr w14:val="tx1"/>
                        </w14:solidFill>
                      </w14:textFill>
                    </w:rPr>
                  </w:pPr>
                </w:p>
              </w:tc>
              <w:tc>
                <w:tcPr>
                  <w:tcW w:w="661" w:type="pct"/>
                  <w:vMerge w:val="restart"/>
                  <w:shd w:val="clear" w:color="auto" w:fill="auto"/>
                  <w:vAlign w:val="center"/>
                </w:tcPr>
                <w:p w14:paraId="660CDFEE">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p>
              </w:tc>
              <w:tc>
                <w:tcPr>
                  <w:tcW w:w="682" w:type="pct"/>
                  <w:vMerge w:val="restart"/>
                  <w:shd w:val="clear" w:color="auto" w:fill="auto"/>
                  <w:vAlign w:val="center"/>
                </w:tcPr>
                <w:p w14:paraId="55EA16F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次</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月</w:t>
                  </w:r>
                </w:p>
              </w:tc>
              <w:tc>
                <w:tcPr>
                  <w:tcW w:w="2083" w:type="pct"/>
                  <w:shd w:val="clear" w:color="auto" w:fill="auto"/>
                  <w:vAlign w:val="center"/>
                </w:tcPr>
                <w:p w14:paraId="384F6BB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1602DB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0A337215">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7C9D2F79">
                  <w:pPr>
                    <w:jc w:val="center"/>
                    <w:rPr>
                      <w:color w:val="000000" w:themeColor="text1"/>
                      <w:szCs w:val="21"/>
                      <w14:textFill>
                        <w14:solidFill>
                          <w14:schemeClr w14:val="tx1"/>
                        </w14:solidFill>
                      </w14:textFill>
                    </w:rPr>
                  </w:pPr>
                </w:p>
              </w:tc>
              <w:tc>
                <w:tcPr>
                  <w:tcW w:w="837" w:type="pct"/>
                  <w:vMerge w:val="continue"/>
                  <w:tcBorders>
                    <w:left w:val="single" w:color="auto" w:sz="4" w:space="0"/>
                  </w:tcBorders>
                  <w:vAlign w:val="center"/>
                </w:tcPr>
                <w:p w14:paraId="5026617B">
                  <w:pPr>
                    <w:jc w:val="center"/>
                    <w:rPr>
                      <w:color w:val="000000" w:themeColor="text1"/>
                      <w:szCs w:val="21"/>
                      <w14:textFill>
                        <w14:solidFill>
                          <w14:schemeClr w14:val="tx1"/>
                        </w14:solidFill>
                      </w14:textFill>
                    </w:rPr>
                  </w:pPr>
                </w:p>
              </w:tc>
              <w:tc>
                <w:tcPr>
                  <w:tcW w:w="661" w:type="pct"/>
                  <w:vMerge w:val="continue"/>
                  <w:vAlign w:val="center"/>
                </w:tcPr>
                <w:p w14:paraId="3E39D28A">
                  <w:pPr>
                    <w:pStyle w:val="49"/>
                    <w:rPr>
                      <w:color w:val="000000" w:themeColor="text1"/>
                      <w:szCs w:val="21"/>
                      <w14:textFill>
                        <w14:solidFill>
                          <w14:schemeClr w14:val="tx1"/>
                        </w14:solidFill>
                      </w14:textFill>
                    </w:rPr>
                  </w:pPr>
                </w:p>
              </w:tc>
              <w:tc>
                <w:tcPr>
                  <w:tcW w:w="682" w:type="pct"/>
                  <w:vMerge w:val="continue"/>
                  <w:vAlign w:val="center"/>
                </w:tcPr>
                <w:p w14:paraId="6CB07B8A">
                  <w:pPr>
                    <w:jc w:val="center"/>
                    <w:rPr>
                      <w:color w:val="000000" w:themeColor="text1"/>
                      <w:szCs w:val="21"/>
                      <w14:textFill>
                        <w14:solidFill>
                          <w14:schemeClr w14:val="tx1"/>
                        </w14:solidFill>
                      </w14:textFill>
                    </w:rPr>
                  </w:pPr>
                </w:p>
              </w:tc>
              <w:tc>
                <w:tcPr>
                  <w:tcW w:w="2083" w:type="pct"/>
                  <w:shd w:val="clear" w:color="auto" w:fill="auto"/>
                  <w:vAlign w:val="center"/>
                </w:tcPr>
                <w:p w14:paraId="54E5DE1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293C37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5CADC563">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70BD7DAA">
                  <w:pPr>
                    <w:jc w:val="center"/>
                    <w:rPr>
                      <w:color w:val="000000" w:themeColor="text1"/>
                      <w:szCs w:val="21"/>
                      <w14:textFill>
                        <w14:solidFill>
                          <w14:schemeClr w14:val="tx1"/>
                        </w14:solidFill>
                      </w14:textFill>
                    </w:rPr>
                  </w:pPr>
                </w:p>
              </w:tc>
              <w:tc>
                <w:tcPr>
                  <w:tcW w:w="837" w:type="pct"/>
                  <w:vMerge w:val="restart"/>
                  <w:tcBorders>
                    <w:left w:val="single" w:color="auto" w:sz="4" w:space="0"/>
                  </w:tcBorders>
                  <w:vAlign w:val="center"/>
                </w:tcPr>
                <w:p w14:paraId="43C351E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3</w:t>
                  </w:r>
                </w:p>
              </w:tc>
              <w:tc>
                <w:tcPr>
                  <w:tcW w:w="661" w:type="pct"/>
                  <w:vMerge w:val="restart"/>
                  <w:vAlign w:val="center"/>
                </w:tcPr>
                <w:p w14:paraId="0CD0A113">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82" w:type="pct"/>
                  <w:vMerge w:val="restart"/>
                  <w:vAlign w:val="center"/>
                </w:tcPr>
                <w:p w14:paraId="03BE8C3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1次/年</w:t>
                  </w:r>
                </w:p>
              </w:tc>
              <w:tc>
                <w:tcPr>
                  <w:tcW w:w="2083" w:type="pct"/>
                  <w:shd w:val="clear" w:color="auto" w:fill="auto"/>
                  <w:vAlign w:val="center"/>
                </w:tcPr>
                <w:p w14:paraId="15DAB26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1CCBA9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53487787">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6E90A932">
                  <w:pPr>
                    <w:jc w:val="center"/>
                    <w:rPr>
                      <w:color w:val="000000" w:themeColor="text1"/>
                      <w:szCs w:val="21"/>
                      <w14:textFill>
                        <w14:solidFill>
                          <w14:schemeClr w14:val="tx1"/>
                        </w14:solidFill>
                      </w14:textFill>
                    </w:rPr>
                  </w:pPr>
                </w:p>
              </w:tc>
              <w:tc>
                <w:tcPr>
                  <w:tcW w:w="837" w:type="pct"/>
                  <w:vMerge w:val="continue"/>
                  <w:tcBorders>
                    <w:left w:val="single" w:color="auto" w:sz="4" w:space="0"/>
                  </w:tcBorders>
                  <w:vAlign w:val="center"/>
                </w:tcPr>
                <w:p w14:paraId="46E46407">
                  <w:pPr>
                    <w:jc w:val="center"/>
                    <w:rPr>
                      <w:color w:val="000000" w:themeColor="text1"/>
                      <w:szCs w:val="21"/>
                      <w14:textFill>
                        <w14:solidFill>
                          <w14:schemeClr w14:val="tx1"/>
                        </w14:solidFill>
                      </w14:textFill>
                    </w:rPr>
                  </w:pPr>
                </w:p>
              </w:tc>
              <w:tc>
                <w:tcPr>
                  <w:tcW w:w="661" w:type="pct"/>
                  <w:vMerge w:val="continue"/>
                  <w:vAlign w:val="center"/>
                </w:tcPr>
                <w:p w14:paraId="4E829478">
                  <w:pPr>
                    <w:pStyle w:val="49"/>
                    <w:rPr>
                      <w:color w:val="000000" w:themeColor="text1"/>
                      <w:szCs w:val="21"/>
                      <w14:textFill>
                        <w14:solidFill>
                          <w14:schemeClr w14:val="tx1"/>
                        </w14:solidFill>
                      </w14:textFill>
                    </w:rPr>
                  </w:pPr>
                </w:p>
              </w:tc>
              <w:tc>
                <w:tcPr>
                  <w:tcW w:w="682" w:type="pct"/>
                  <w:vMerge w:val="continue"/>
                  <w:tcBorders>
                    <w:bottom w:val="single" w:color="auto" w:sz="4" w:space="0"/>
                  </w:tcBorders>
                  <w:vAlign w:val="center"/>
                </w:tcPr>
                <w:p w14:paraId="03FD84A8">
                  <w:pPr>
                    <w:jc w:val="center"/>
                    <w:rPr>
                      <w:color w:val="000000" w:themeColor="text1"/>
                      <w:szCs w:val="21"/>
                      <w14:textFill>
                        <w14:solidFill>
                          <w14:schemeClr w14:val="tx1"/>
                        </w14:solidFill>
                      </w14:textFill>
                    </w:rPr>
                  </w:pPr>
                </w:p>
              </w:tc>
              <w:tc>
                <w:tcPr>
                  <w:tcW w:w="2083" w:type="pct"/>
                  <w:shd w:val="clear" w:color="auto" w:fill="auto"/>
                  <w:vAlign w:val="center"/>
                </w:tcPr>
                <w:p w14:paraId="104D40B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4980539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26D96E41">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763F7FB1">
                  <w:pPr>
                    <w:jc w:val="center"/>
                    <w:rPr>
                      <w:color w:val="000000" w:themeColor="text1"/>
                      <w:szCs w:val="21"/>
                      <w14:textFill>
                        <w14:solidFill>
                          <w14:schemeClr w14:val="tx1"/>
                        </w14:solidFill>
                      </w14:textFill>
                    </w:rPr>
                  </w:pPr>
                </w:p>
              </w:tc>
              <w:tc>
                <w:tcPr>
                  <w:tcW w:w="837" w:type="pct"/>
                  <w:vMerge w:val="continue"/>
                  <w:tcBorders>
                    <w:left w:val="single" w:color="auto" w:sz="4" w:space="0"/>
                  </w:tcBorders>
                  <w:vAlign w:val="center"/>
                </w:tcPr>
                <w:p w14:paraId="1197BAE5">
                  <w:pPr>
                    <w:jc w:val="center"/>
                    <w:rPr>
                      <w:color w:val="000000" w:themeColor="text1"/>
                      <w:szCs w:val="21"/>
                      <w14:textFill>
                        <w14:solidFill>
                          <w14:schemeClr w14:val="tx1"/>
                        </w14:solidFill>
                      </w14:textFill>
                    </w:rPr>
                  </w:pPr>
                </w:p>
              </w:tc>
              <w:tc>
                <w:tcPr>
                  <w:tcW w:w="661" w:type="pct"/>
                  <w:vMerge w:val="restart"/>
                  <w:vAlign w:val="center"/>
                </w:tcPr>
                <w:p w14:paraId="2210F362">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682" w:type="pct"/>
                  <w:vMerge w:val="restart"/>
                  <w:vAlign w:val="center"/>
                </w:tcPr>
                <w:p w14:paraId="43514A2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1次/年</w:t>
                  </w:r>
                </w:p>
              </w:tc>
              <w:tc>
                <w:tcPr>
                  <w:tcW w:w="2083" w:type="pct"/>
                  <w:shd w:val="clear" w:color="auto" w:fill="auto"/>
                  <w:vAlign w:val="center"/>
                </w:tcPr>
                <w:p w14:paraId="593190D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59608D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6473298B">
                  <w:pPr>
                    <w:spacing w:before="60" w:after="60"/>
                    <w:jc w:val="center"/>
                    <w:rPr>
                      <w:color w:val="000000" w:themeColor="text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2526A065">
                  <w:pPr>
                    <w:spacing w:before="60" w:after="60"/>
                    <w:jc w:val="center"/>
                    <w:rPr>
                      <w:color w:val="000000" w:themeColor="text1"/>
                      <w14:textFill>
                        <w14:solidFill>
                          <w14:schemeClr w14:val="tx1"/>
                        </w14:solidFill>
                      </w14:textFill>
                    </w:rPr>
                  </w:pPr>
                </w:p>
              </w:tc>
              <w:tc>
                <w:tcPr>
                  <w:tcW w:w="837" w:type="pct"/>
                  <w:vMerge w:val="continue"/>
                  <w:tcBorders>
                    <w:left w:val="single" w:color="auto" w:sz="4" w:space="0"/>
                  </w:tcBorders>
                  <w:vAlign w:val="center"/>
                </w:tcPr>
                <w:p w14:paraId="6E43245D">
                  <w:pPr>
                    <w:spacing w:before="60" w:after="60"/>
                    <w:jc w:val="center"/>
                    <w:rPr>
                      <w:color w:val="000000" w:themeColor="text1"/>
                      <w14:textFill>
                        <w14:solidFill>
                          <w14:schemeClr w14:val="tx1"/>
                        </w14:solidFill>
                      </w14:textFill>
                    </w:rPr>
                  </w:pPr>
                </w:p>
              </w:tc>
              <w:tc>
                <w:tcPr>
                  <w:tcW w:w="661" w:type="pct"/>
                  <w:vMerge w:val="continue"/>
                  <w:vAlign w:val="center"/>
                </w:tcPr>
                <w:p w14:paraId="535E7D12">
                  <w:pPr>
                    <w:spacing w:before="60" w:after="60"/>
                    <w:jc w:val="center"/>
                    <w:rPr>
                      <w:color w:val="000000" w:themeColor="text1"/>
                      <w14:textFill>
                        <w14:solidFill>
                          <w14:schemeClr w14:val="tx1"/>
                        </w14:solidFill>
                      </w14:textFill>
                    </w:rPr>
                  </w:pPr>
                </w:p>
              </w:tc>
              <w:tc>
                <w:tcPr>
                  <w:tcW w:w="682" w:type="pct"/>
                  <w:vMerge w:val="continue"/>
                  <w:tcBorders>
                    <w:bottom w:val="single" w:color="auto" w:sz="4" w:space="0"/>
                  </w:tcBorders>
                  <w:vAlign w:val="center"/>
                </w:tcPr>
                <w:p w14:paraId="316E49F4">
                  <w:pPr>
                    <w:spacing w:before="60" w:after="60"/>
                    <w:jc w:val="center"/>
                    <w:rPr>
                      <w:color w:val="000000" w:themeColor="text1"/>
                      <w14:textFill>
                        <w14:solidFill>
                          <w14:schemeClr w14:val="tx1"/>
                        </w14:solidFill>
                      </w14:textFill>
                    </w:rPr>
                  </w:pPr>
                </w:p>
              </w:tc>
              <w:tc>
                <w:tcPr>
                  <w:tcW w:w="2083" w:type="pct"/>
                  <w:shd w:val="clear" w:color="auto" w:fill="auto"/>
                  <w:vAlign w:val="center"/>
                </w:tcPr>
                <w:p w14:paraId="4537AA2E">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7E8E28C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4455C6BE">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14F4C344">
                  <w:pPr>
                    <w:jc w:val="center"/>
                    <w:rPr>
                      <w:color w:val="000000" w:themeColor="text1"/>
                      <w:szCs w:val="21"/>
                      <w14:textFill>
                        <w14:solidFill>
                          <w14:schemeClr w14:val="tx1"/>
                        </w14:solidFill>
                      </w14:textFill>
                    </w:rPr>
                  </w:pPr>
                </w:p>
              </w:tc>
              <w:tc>
                <w:tcPr>
                  <w:tcW w:w="837" w:type="pct"/>
                  <w:vMerge w:val="continue"/>
                  <w:tcBorders>
                    <w:left w:val="single" w:color="auto" w:sz="4" w:space="0"/>
                  </w:tcBorders>
                  <w:vAlign w:val="center"/>
                </w:tcPr>
                <w:p w14:paraId="3090EAC2">
                  <w:pPr>
                    <w:jc w:val="center"/>
                    <w:rPr>
                      <w:color w:val="000000" w:themeColor="text1"/>
                      <w:szCs w:val="21"/>
                      <w14:textFill>
                        <w14:solidFill>
                          <w14:schemeClr w14:val="tx1"/>
                        </w14:solidFill>
                      </w14:textFill>
                    </w:rPr>
                  </w:pPr>
                </w:p>
              </w:tc>
              <w:tc>
                <w:tcPr>
                  <w:tcW w:w="661" w:type="pct"/>
                  <w:vMerge w:val="restart"/>
                  <w:vAlign w:val="center"/>
                </w:tcPr>
                <w:p w14:paraId="58C1E238">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p>
              </w:tc>
              <w:tc>
                <w:tcPr>
                  <w:tcW w:w="682" w:type="pct"/>
                  <w:vMerge w:val="restart"/>
                  <w:vAlign w:val="center"/>
                </w:tcPr>
                <w:p w14:paraId="01D5082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次</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月</w:t>
                  </w:r>
                </w:p>
              </w:tc>
              <w:tc>
                <w:tcPr>
                  <w:tcW w:w="2083" w:type="pct"/>
                  <w:shd w:val="clear" w:color="auto" w:fill="auto"/>
                  <w:vAlign w:val="center"/>
                </w:tcPr>
                <w:p w14:paraId="71FD6B7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730F20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2E37E023">
                  <w:pPr>
                    <w:spacing w:before="60" w:after="60"/>
                    <w:jc w:val="center"/>
                    <w:rPr>
                      <w:color w:val="000000" w:themeColor="text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13527A52">
                  <w:pPr>
                    <w:spacing w:before="60" w:after="60"/>
                    <w:jc w:val="center"/>
                    <w:rPr>
                      <w:color w:val="000000" w:themeColor="text1"/>
                      <w14:textFill>
                        <w14:solidFill>
                          <w14:schemeClr w14:val="tx1"/>
                        </w14:solidFill>
                      </w14:textFill>
                    </w:rPr>
                  </w:pPr>
                </w:p>
              </w:tc>
              <w:tc>
                <w:tcPr>
                  <w:tcW w:w="837" w:type="pct"/>
                  <w:vMerge w:val="continue"/>
                  <w:tcBorders>
                    <w:left w:val="single" w:color="auto" w:sz="4" w:space="0"/>
                  </w:tcBorders>
                  <w:vAlign w:val="center"/>
                </w:tcPr>
                <w:p w14:paraId="20E63096">
                  <w:pPr>
                    <w:spacing w:before="60" w:after="60"/>
                    <w:jc w:val="center"/>
                    <w:rPr>
                      <w:color w:val="000000" w:themeColor="text1"/>
                      <w14:textFill>
                        <w14:solidFill>
                          <w14:schemeClr w14:val="tx1"/>
                        </w14:solidFill>
                      </w14:textFill>
                    </w:rPr>
                  </w:pPr>
                </w:p>
              </w:tc>
              <w:tc>
                <w:tcPr>
                  <w:tcW w:w="661" w:type="pct"/>
                  <w:vMerge w:val="continue"/>
                  <w:vAlign w:val="center"/>
                </w:tcPr>
                <w:p w14:paraId="19F154F1">
                  <w:pPr>
                    <w:spacing w:before="60" w:after="60"/>
                    <w:jc w:val="center"/>
                    <w:rPr>
                      <w:color w:val="000000" w:themeColor="text1"/>
                      <w14:textFill>
                        <w14:solidFill>
                          <w14:schemeClr w14:val="tx1"/>
                        </w14:solidFill>
                      </w14:textFill>
                    </w:rPr>
                  </w:pPr>
                </w:p>
              </w:tc>
              <w:tc>
                <w:tcPr>
                  <w:tcW w:w="682" w:type="pct"/>
                  <w:vMerge w:val="continue"/>
                  <w:tcBorders>
                    <w:bottom w:val="single" w:color="auto" w:sz="4" w:space="0"/>
                  </w:tcBorders>
                  <w:vAlign w:val="center"/>
                </w:tcPr>
                <w:p w14:paraId="162BF2B7">
                  <w:pPr>
                    <w:spacing w:before="60" w:after="60"/>
                    <w:jc w:val="center"/>
                    <w:rPr>
                      <w:color w:val="000000" w:themeColor="text1"/>
                      <w14:textFill>
                        <w14:solidFill>
                          <w14:schemeClr w14:val="tx1"/>
                        </w14:solidFill>
                      </w14:textFill>
                    </w:rPr>
                  </w:pPr>
                </w:p>
              </w:tc>
              <w:tc>
                <w:tcPr>
                  <w:tcW w:w="2083" w:type="pct"/>
                  <w:shd w:val="clear" w:color="auto" w:fill="auto"/>
                  <w:vAlign w:val="center"/>
                </w:tcPr>
                <w:p w14:paraId="66F3D15C">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17B28F8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6E04AE93">
                  <w:pPr>
                    <w:spacing w:before="60" w:after="60"/>
                    <w:jc w:val="center"/>
                    <w:rPr>
                      <w:color w:val="000000" w:themeColor="text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0924B65B">
                  <w:pPr>
                    <w:spacing w:before="60" w:after="60"/>
                    <w:jc w:val="center"/>
                    <w:rPr>
                      <w:color w:val="000000" w:themeColor="text1"/>
                      <w14:textFill>
                        <w14:solidFill>
                          <w14:schemeClr w14:val="tx1"/>
                        </w14:solidFill>
                      </w14:textFill>
                    </w:rPr>
                  </w:pPr>
                </w:p>
              </w:tc>
              <w:tc>
                <w:tcPr>
                  <w:tcW w:w="837" w:type="pct"/>
                  <w:vMerge w:val="restart"/>
                  <w:tcBorders>
                    <w:left w:val="single" w:color="auto" w:sz="4" w:space="0"/>
                  </w:tcBorders>
                  <w:vAlign w:val="center"/>
                </w:tcPr>
                <w:p w14:paraId="51928F6C">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4</w:t>
                  </w:r>
                </w:p>
              </w:tc>
              <w:tc>
                <w:tcPr>
                  <w:tcW w:w="661" w:type="pct"/>
                  <w:vMerge w:val="restart"/>
                  <w:vAlign w:val="center"/>
                </w:tcPr>
                <w:p w14:paraId="439CE982">
                  <w:pPr>
                    <w:pStyle w:val="49"/>
                    <w:rPr>
                      <w:color w:val="000000" w:themeColor="text1"/>
                      <w14:textFill>
                        <w14:solidFill>
                          <w14:schemeClr w14:val="tx1"/>
                        </w14:solidFill>
                      </w14:textFill>
                    </w:rPr>
                  </w:pPr>
                  <w:r>
                    <w:rPr>
                      <w:color w:val="000000" w:themeColor="text1"/>
                      <w:szCs w:val="21"/>
                      <w14:textFill>
                        <w14:solidFill>
                          <w14:schemeClr w14:val="tx1"/>
                        </w14:solidFill>
                      </w14:textFill>
                    </w:rPr>
                    <w:t>颗粒物</w:t>
                  </w:r>
                </w:p>
              </w:tc>
              <w:tc>
                <w:tcPr>
                  <w:tcW w:w="682" w:type="pct"/>
                  <w:vMerge w:val="restart"/>
                  <w:tcBorders>
                    <w:bottom w:val="single" w:color="auto" w:sz="4" w:space="0"/>
                  </w:tcBorders>
                  <w:vAlign w:val="center"/>
                </w:tcPr>
                <w:p w14:paraId="7D8AE9AA">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1次/年</w:t>
                  </w:r>
                </w:p>
              </w:tc>
              <w:tc>
                <w:tcPr>
                  <w:tcW w:w="2083" w:type="pct"/>
                  <w:shd w:val="clear" w:color="auto" w:fill="auto"/>
                  <w:vAlign w:val="center"/>
                </w:tcPr>
                <w:p w14:paraId="32F1422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6BEBB0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57C7AE3C">
                  <w:pPr>
                    <w:spacing w:before="60" w:after="60"/>
                    <w:jc w:val="center"/>
                    <w:rPr>
                      <w:color w:val="000000" w:themeColor="text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4CC4D530">
                  <w:pPr>
                    <w:spacing w:before="60" w:after="60"/>
                    <w:jc w:val="center"/>
                    <w:rPr>
                      <w:color w:val="000000" w:themeColor="text1"/>
                      <w14:textFill>
                        <w14:solidFill>
                          <w14:schemeClr w14:val="tx1"/>
                        </w14:solidFill>
                      </w14:textFill>
                    </w:rPr>
                  </w:pPr>
                </w:p>
              </w:tc>
              <w:tc>
                <w:tcPr>
                  <w:tcW w:w="837" w:type="pct"/>
                  <w:vMerge w:val="continue"/>
                  <w:tcBorders>
                    <w:left w:val="single" w:color="auto" w:sz="4" w:space="0"/>
                  </w:tcBorders>
                  <w:vAlign w:val="center"/>
                </w:tcPr>
                <w:p w14:paraId="22D27E28">
                  <w:pPr>
                    <w:jc w:val="center"/>
                    <w:rPr>
                      <w:color w:val="000000" w:themeColor="text1"/>
                      <w14:textFill>
                        <w14:solidFill>
                          <w14:schemeClr w14:val="tx1"/>
                        </w14:solidFill>
                      </w14:textFill>
                    </w:rPr>
                  </w:pPr>
                </w:p>
              </w:tc>
              <w:tc>
                <w:tcPr>
                  <w:tcW w:w="661" w:type="pct"/>
                  <w:vMerge w:val="continue"/>
                  <w:vAlign w:val="center"/>
                </w:tcPr>
                <w:p w14:paraId="3CD6FFE5">
                  <w:pPr>
                    <w:pStyle w:val="49"/>
                    <w:rPr>
                      <w:color w:val="000000" w:themeColor="text1"/>
                      <w14:textFill>
                        <w14:solidFill>
                          <w14:schemeClr w14:val="tx1"/>
                        </w14:solidFill>
                      </w14:textFill>
                    </w:rPr>
                  </w:pPr>
                </w:p>
              </w:tc>
              <w:tc>
                <w:tcPr>
                  <w:tcW w:w="682" w:type="pct"/>
                  <w:vMerge w:val="continue"/>
                  <w:tcBorders>
                    <w:bottom w:val="single" w:color="auto" w:sz="4" w:space="0"/>
                  </w:tcBorders>
                  <w:vAlign w:val="center"/>
                </w:tcPr>
                <w:p w14:paraId="619A1903">
                  <w:pPr>
                    <w:jc w:val="center"/>
                    <w:rPr>
                      <w:color w:val="000000" w:themeColor="text1"/>
                      <w14:textFill>
                        <w14:solidFill>
                          <w14:schemeClr w14:val="tx1"/>
                        </w14:solidFill>
                      </w14:textFill>
                    </w:rPr>
                  </w:pPr>
                </w:p>
              </w:tc>
              <w:tc>
                <w:tcPr>
                  <w:tcW w:w="2083" w:type="pct"/>
                  <w:shd w:val="clear" w:color="auto" w:fill="auto"/>
                  <w:vAlign w:val="center"/>
                </w:tcPr>
                <w:p w14:paraId="441F004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2F38689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516ADDCB">
                  <w:pPr>
                    <w:spacing w:before="60" w:after="60"/>
                    <w:jc w:val="center"/>
                    <w:rPr>
                      <w:color w:val="000000" w:themeColor="text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416D2AE6">
                  <w:pPr>
                    <w:spacing w:before="60" w:after="60"/>
                    <w:jc w:val="center"/>
                    <w:rPr>
                      <w:color w:val="000000" w:themeColor="text1"/>
                      <w14:textFill>
                        <w14:solidFill>
                          <w14:schemeClr w14:val="tx1"/>
                        </w14:solidFill>
                      </w14:textFill>
                    </w:rPr>
                  </w:pPr>
                </w:p>
              </w:tc>
              <w:tc>
                <w:tcPr>
                  <w:tcW w:w="837" w:type="pct"/>
                  <w:vMerge w:val="continue"/>
                  <w:tcBorders>
                    <w:left w:val="single" w:color="auto" w:sz="4" w:space="0"/>
                  </w:tcBorders>
                  <w:vAlign w:val="center"/>
                </w:tcPr>
                <w:p w14:paraId="6642E0F0">
                  <w:pPr>
                    <w:jc w:val="center"/>
                    <w:rPr>
                      <w:color w:val="000000" w:themeColor="text1"/>
                      <w14:textFill>
                        <w14:solidFill>
                          <w14:schemeClr w14:val="tx1"/>
                        </w14:solidFill>
                      </w14:textFill>
                    </w:rPr>
                  </w:pPr>
                </w:p>
              </w:tc>
              <w:tc>
                <w:tcPr>
                  <w:tcW w:w="661" w:type="pct"/>
                  <w:vMerge w:val="restart"/>
                  <w:vAlign w:val="center"/>
                </w:tcPr>
                <w:p w14:paraId="1679F91D">
                  <w:pPr>
                    <w:pStyle w:val="49"/>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682" w:type="pct"/>
                  <w:vMerge w:val="restart"/>
                  <w:tcBorders>
                    <w:bottom w:val="single" w:color="auto" w:sz="4" w:space="0"/>
                  </w:tcBorders>
                  <w:vAlign w:val="center"/>
                </w:tcPr>
                <w:p w14:paraId="2DA94A87">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1次/年</w:t>
                  </w:r>
                </w:p>
              </w:tc>
              <w:tc>
                <w:tcPr>
                  <w:tcW w:w="2083" w:type="pct"/>
                  <w:shd w:val="clear" w:color="auto" w:fill="auto"/>
                  <w:vAlign w:val="center"/>
                </w:tcPr>
                <w:p w14:paraId="2EFCE88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2B017C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23458A46">
                  <w:pPr>
                    <w:spacing w:before="60" w:after="60"/>
                    <w:jc w:val="center"/>
                    <w:rPr>
                      <w:color w:val="000000" w:themeColor="text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5793BC27">
                  <w:pPr>
                    <w:spacing w:before="60" w:after="60"/>
                    <w:jc w:val="center"/>
                    <w:rPr>
                      <w:color w:val="000000" w:themeColor="text1"/>
                      <w14:textFill>
                        <w14:solidFill>
                          <w14:schemeClr w14:val="tx1"/>
                        </w14:solidFill>
                      </w14:textFill>
                    </w:rPr>
                  </w:pPr>
                </w:p>
              </w:tc>
              <w:tc>
                <w:tcPr>
                  <w:tcW w:w="837" w:type="pct"/>
                  <w:vMerge w:val="continue"/>
                  <w:tcBorders>
                    <w:left w:val="single" w:color="auto" w:sz="4" w:space="0"/>
                  </w:tcBorders>
                  <w:vAlign w:val="center"/>
                </w:tcPr>
                <w:p w14:paraId="3B3D2049">
                  <w:pPr>
                    <w:spacing w:before="60" w:after="60"/>
                    <w:jc w:val="center"/>
                    <w:rPr>
                      <w:color w:val="000000" w:themeColor="text1"/>
                      <w14:textFill>
                        <w14:solidFill>
                          <w14:schemeClr w14:val="tx1"/>
                        </w14:solidFill>
                      </w14:textFill>
                    </w:rPr>
                  </w:pPr>
                </w:p>
              </w:tc>
              <w:tc>
                <w:tcPr>
                  <w:tcW w:w="661" w:type="pct"/>
                  <w:vMerge w:val="continue"/>
                  <w:vAlign w:val="center"/>
                </w:tcPr>
                <w:p w14:paraId="101D3327">
                  <w:pPr>
                    <w:spacing w:before="60" w:after="60"/>
                    <w:jc w:val="center"/>
                    <w:rPr>
                      <w:color w:val="000000" w:themeColor="text1"/>
                      <w14:textFill>
                        <w14:solidFill>
                          <w14:schemeClr w14:val="tx1"/>
                        </w14:solidFill>
                      </w14:textFill>
                    </w:rPr>
                  </w:pPr>
                </w:p>
              </w:tc>
              <w:tc>
                <w:tcPr>
                  <w:tcW w:w="682" w:type="pct"/>
                  <w:vMerge w:val="continue"/>
                  <w:tcBorders>
                    <w:bottom w:val="single" w:color="auto" w:sz="4" w:space="0"/>
                  </w:tcBorders>
                  <w:vAlign w:val="center"/>
                </w:tcPr>
                <w:p w14:paraId="134A456D">
                  <w:pPr>
                    <w:spacing w:before="60" w:after="60"/>
                    <w:jc w:val="center"/>
                    <w:rPr>
                      <w:color w:val="000000" w:themeColor="text1"/>
                      <w14:textFill>
                        <w14:solidFill>
                          <w14:schemeClr w14:val="tx1"/>
                        </w14:solidFill>
                      </w14:textFill>
                    </w:rPr>
                  </w:pPr>
                </w:p>
              </w:tc>
              <w:tc>
                <w:tcPr>
                  <w:tcW w:w="2083" w:type="pct"/>
                  <w:shd w:val="clear" w:color="auto" w:fill="auto"/>
                  <w:vAlign w:val="center"/>
                </w:tcPr>
                <w:p w14:paraId="5E62683A">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44DF744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595EEFE5">
                  <w:pPr>
                    <w:spacing w:before="60" w:after="60"/>
                    <w:jc w:val="center"/>
                    <w:rPr>
                      <w:color w:val="000000" w:themeColor="text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78CE4B72">
                  <w:pPr>
                    <w:spacing w:before="60" w:after="60"/>
                    <w:jc w:val="center"/>
                    <w:rPr>
                      <w:color w:val="000000" w:themeColor="text1"/>
                      <w14:textFill>
                        <w14:solidFill>
                          <w14:schemeClr w14:val="tx1"/>
                        </w14:solidFill>
                      </w14:textFill>
                    </w:rPr>
                  </w:pPr>
                </w:p>
              </w:tc>
              <w:tc>
                <w:tcPr>
                  <w:tcW w:w="837" w:type="pct"/>
                  <w:vMerge w:val="continue"/>
                  <w:tcBorders>
                    <w:left w:val="single" w:color="auto" w:sz="4" w:space="0"/>
                  </w:tcBorders>
                  <w:vAlign w:val="center"/>
                </w:tcPr>
                <w:p w14:paraId="0287D57B">
                  <w:pPr>
                    <w:jc w:val="center"/>
                    <w:rPr>
                      <w:color w:val="000000" w:themeColor="text1"/>
                      <w14:textFill>
                        <w14:solidFill>
                          <w14:schemeClr w14:val="tx1"/>
                        </w14:solidFill>
                      </w14:textFill>
                    </w:rPr>
                  </w:pPr>
                </w:p>
              </w:tc>
              <w:tc>
                <w:tcPr>
                  <w:tcW w:w="661" w:type="pct"/>
                  <w:vMerge w:val="restart"/>
                  <w:vAlign w:val="center"/>
                </w:tcPr>
                <w:p w14:paraId="4B2933DF">
                  <w:pPr>
                    <w:pStyle w:val="49"/>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p>
              </w:tc>
              <w:tc>
                <w:tcPr>
                  <w:tcW w:w="682" w:type="pct"/>
                  <w:vMerge w:val="restart"/>
                  <w:tcBorders>
                    <w:bottom w:val="single" w:color="auto" w:sz="4" w:space="0"/>
                  </w:tcBorders>
                  <w:vAlign w:val="center"/>
                </w:tcPr>
                <w:p w14:paraId="7BEDC7F8">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次</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月</w:t>
                  </w:r>
                </w:p>
              </w:tc>
              <w:tc>
                <w:tcPr>
                  <w:tcW w:w="2083" w:type="pct"/>
                  <w:shd w:val="clear" w:color="auto" w:fill="auto"/>
                  <w:vAlign w:val="center"/>
                </w:tcPr>
                <w:p w14:paraId="4B85B1A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7F586A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2CF25BE9">
                  <w:pPr>
                    <w:spacing w:before="60" w:after="60"/>
                    <w:jc w:val="center"/>
                    <w:rPr>
                      <w:color w:val="000000" w:themeColor="text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224B1C35">
                  <w:pPr>
                    <w:spacing w:before="60" w:after="60"/>
                    <w:jc w:val="center"/>
                    <w:rPr>
                      <w:color w:val="000000" w:themeColor="text1"/>
                      <w14:textFill>
                        <w14:solidFill>
                          <w14:schemeClr w14:val="tx1"/>
                        </w14:solidFill>
                      </w14:textFill>
                    </w:rPr>
                  </w:pPr>
                </w:p>
              </w:tc>
              <w:tc>
                <w:tcPr>
                  <w:tcW w:w="837" w:type="pct"/>
                  <w:vMerge w:val="continue"/>
                  <w:tcBorders>
                    <w:left w:val="single" w:color="auto" w:sz="4" w:space="0"/>
                  </w:tcBorders>
                  <w:vAlign w:val="center"/>
                </w:tcPr>
                <w:p w14:paraId="7781B0A7">
                  <w:pPr>
                    <w:spacing w:before="60" w:after="60"/>
                    <w:jc w:val="center"/>
                    <w:rPr>
                      <w:color w:val="000000" w:themeColor="text1"/>
                      <w14:textFill>
                        <w14:solidFill>
                          <w14:schemeClr w14:val="tx1"/>
                        </w14:solidFill>
                      </w14:textFill>
                    </w:rPr>
                  </w:pPr>
                </w:p>
              </w:tc>
              <w:tc>
                <w:tcPr>
                  <w:tcW w:w="661" w:type="pct"/>
                  <w:vMerge w:val="continue"/>
                  <w:vAlign w:val="center"/>
                </w:tcPr>
                <w:p w14:paraId="44B3261E">
                  <w:pPr>
                    <w:spacing w:before="60" w:after="60"/>
                    <w:jc w:val="center"/>
                    <w:rPr>
                      <w:color w:val="000000" w:themeColor="text1"/>
                      <w14:textFill>
                        <w14:solidFill>
                          <w14:schemeClr w14:val="tx1"/>
                        </w14:solidFill>
                      </w14:textFill>
                    </w:rPr>
                  </w:pPr>
                </w:p>
              </w:tc>
              <w:tc>
                <w:tcPr>
                  <w:tcW w:w="682" w:type="pct"/>
                  <w:vMerge w:val="continue"/>
                  <w:tcBorders>
                    <w:bottom w:val="single" w:color="auto" w:sz="4" w:space="0"/>
                  </w:tcBorders>
                  <w:vAlign w:val="center"/>
                </w:tcPr>
                <w:p w14:paraId="45109193">
                  <w:pPr>
                    <w:spacing w:before="60" w:after="60"/>
                    <w:jc w:val="center"/>
                    <w:rPr>
                      <w:color w:val="000000" w:themeColor="text1"/>
                      <w14:textFill>
                        <w14:solidFill>
                          <w14:schemeClr w14:val="tx1"/>
                        </w14:solidFill>
                      </w14:textFill>
                    </w:rPr>
                  </w:pPr>
                </w:p>
              </w:tc>
              <w:tc>
                <w:tcPr>
                  <w:tcW w:w="2083" w:type="pct"/>
                  <w:shd w:val="clear" w:color="auto" w:fill="auto"/>
                  <w:vAlign w:val="center"/>
                </w:tcPr>
                <w:p w14:paraId="0EA377A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516EE5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48" w:hRule="atLeast"/>
                <w:jc w:val="center"/>
              </w:trPr>
              <w:tc>
                <w:tcPr>
                  <w:tcW w:w="365" w:type="pct"/>
                  <w:vMerge w:val="continue"/>
                  <w:tcBorders>
                    <w:right w:val="single" w:color="auto" w:sz="4" w:space="0"/>
                  </w:tcBorders>
                  <w:vAlign w:val="center"/>
                </w:tcPr>
                <w:p w14:paraId="0EA6DF2A">
                  <w:pPr>
                    <w:spacing w:before="60" w:after="60"/>
                    <w:jc w:val="center"/>
                    <w:rPr>
                      <w:color w:val="000000" w:themeColor="text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66A7E620">
                  <w:pPr>
                    <w:spacing w:before="60" w:after="60"/>
                    <w:jc w:val="center"/>
                    <w:rPr>
                      <w:color w:val="000000" w:themeColor="text1"/>
                      <w14:textFill>
                        <w14:solidFill>
                          <w14:schemeClr w14:val="tx1"/>
                        </w14:solidFill>
                      </w14:textFill>
                    </w:rPr>
                  </w:pPr>
                </w:p>
              </w:tc>
              <w:tc>
                <w:tcPr>
                  <w:tcW w:w="837" w:type="pct"/>
                  <w:vMerge w:val="restart"/>
                  <w:tcBorders>
                    <w:left w:val="single" w:color="auto" w:sz="4" w:space="0"/>
                  </w:tcBorders>
                  <w:shd w:val="clear" w:color="auto" w:fill="auto"/>
                  <w:vAlign w:val="center"/>
                </w:tcPr>
                <w:p w14:paraId="3F623E3B">
                  <w:pPr>
                    <w:pStyle w:val="49"/>
                    <w:rPr>
                      <w:color w:val="000000" w:themeColor="text1"/>
                      <w14:textFill>
                        <w14:solidFill>
                          <w14:schemeClr w14:val="tx1"/>
                        </w14:solidFill>
                      </w14:textFill>
                    </w:rPr>
                  </w:pPr>
                  <w:r>
                    <w:rPr>
                      <w:rFonts w:hint="eastAsia"/>
                      <w:color w:val="000000" w:themeColor="text1"/>
                      <w14:textFill>
                        <w14:solidFill>
                          <w14:schemeClr w14:val="tx1"/>
                        </w14:solidFill>
                      </w14:textFill>
                    </w:rPr>
                    <w:t>DA005</w:t>
                  </w:r>
                </w:p>
              </w:tc>
              <w:tc>
                <w:tcPr>
                  <w:tcW w:w="661" w:type="pct"/>
                  <w:vMerge w:val="restart"/>
                  <w:shd w:val="clear" w:color="auto" w:fill="auto"/>
                  <w:vAlign w:val="center"/>
                </w:tcPr>
                <w:p w14:paraId="5D010D70">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682" w:type="pct"/>
                  <w:vMerge w:val="restart"/>
                  <w:shd w:val="clear" w:color="auto" w:fill="auto"/>
                  <w:vAlign w:val="center"/>
                </w:tcPr>
                <w:p w14:paraId="5893EB2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1次/年</w:t>
                  </w:r>
                </w:p>
              </w:tc>
              <w:tc>
                <w:tcPr>
                  <w:tcW w:w="2083" w:type="pct"/>
                  <w:shd w:val="clear" w:color="auto" w:fill="auto"/>
                  <w:vAlign w:val="center"/>
                </w:tcPr>
                <w:p w14:paraId="42BE0775">
                  <w:pPr>
                    <w:jc w:val="center"/>
                    <w:rPr>
                      <w:rFonts w:ascii="宋体" w:hAnsi="宋体"/>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r>
            <w:tr w14:paraId="75C39E0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48" w:hRule="atLeast"/>
                <w:jc w:val="center"/>
              </w:trPr>
              <w:tc>
                <w:tcPr>
                  <w:tcW w:w="365" w:type="pct"/>
                  <w:vMerge w:val="continue"/>
                  <w:tcBorders>
                    <w:right w:val="single" w:color="auto" w:sz="4" w:space="0"/>
                  </w:tcBorders>
                  <w:vAlign w:val="center"/>
                </w:tcPr>
                <w:p w14:paraId="6051BBB4">
                  <w:pPr>
                    <w:adjustRightInd w:val="0"/>
                    <w:snapToGrid w:val="0"/>
                    <w:jc w:val="center"/>
                    <w:rPr>
                      <w:color w:val="000000" w:themeColor="text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63945146">
                  <w:pPr>
                    <w:adjustRightInd w:val="0"/>
                    <w:snapToGrid w:val="0"/>
                    <w:jc w:val="center"/>
                    <w:rPr>
                      <w:color w:val="000000" w:themeColor="text1"/>
                      <w14:textFill>
                        <w14:solidFill>
                          <w14:schemeClr w14:val="tx1"/>
                        </w14:solidFill>
                      </w14:textFill>
                    </w:rPr>
                  </w:pPr>
                </w:p>
              </w:tc>
              <w:tc>
                <w:tcPr>
                  <w:tcW w:w="837" w:type="pct"/>
                  <w:vMerge w:val="continue"/>
                  <w:tcBorders>
                    <w:left w:val="single" w:color="auto" w:sz="4" w:space="0"/>
                  </w:tcBorders>
                  <w:vAlign w:val="center"/>
                </w:tcPr>
                <w:p w14:paraId="11E77985">
                  <w:pPr>
                    <w:adjustRightInd w:val="0"/>
                    <w:snapToGrid w:val="0"/>
                    <w:jc w:val="center"/>
                    <w:rPr>
                      <w:color w:val="000000" w:themeColor="text1"/>
                      <w14:textFill>
                        <w14:solidFill>
                          <w14:schemeClr w14:val="tx1"/>
                        </w14:solidFill>
                      </w14:textFill>
                    </w:rPr>
                  </w:pPr>
                </w:p>
              </w:tc>
              <w:tc>
                <w:tcPr>
                  <w:tcW w:w="661" w:type="pct"/>
                  <w:vMerge w:val="continue"/>
                  <w:vAlign w:val="center"/>
                </w:tcPr>
                <w:p w14:paraId="6CA1CF55">
                  <w:pPr>
                    <w:adjustRightInd w:val="0"/>
                    <w:snapToGrid w:val="0"/>
                    <w:jc w:val="center"/>
                    <w:rPr>
                      <w:color w:val="000000" w:themeColor="text1"/>
                      <w14:textFill>
                        <w14:solidFill>
                          <w14:schemeClr w14:val="tx1"/>
                        </w14:solidFill>
                      </w14:textFill>
                    </w:rPr>
                  </w:pPr>
                </w:p>
              </w:tc>
              <w:tc>
                <w:tcPr>
                  <w:tcW w:w="682" w:type="pct"/>
                  <w:vMerge w:val="continue"/>
                  <w:vAlign w:val="center"/>
                </w:tcPr>
                <w:p w14:paraId="1FB3EF3C">
                  <w:pPr>
                    <w:adjustRightInd w:val="0"/>
                    <w:snapToGrid w:val="0"/>
                    <w:jc w:val="center"/>
                    <w:rPr>
                      <w:color w:val="000000" w:themeColor="text1"/>
                      <w14:textFill>
                        <w14:solidFill>
                          <w14:schemeClr w14:val="tx1"/>
                        </w14:solidFill>
                      </w14:textFill>
                    </w:rPr>
                  </w:pPr>
                </w:p>
              </w:tc>
              <w:tc>
                <w:tcPr>
                  <w:tcW w:w="2083" w:type="pct"/>
                  <w:shd w:val="clear" w:color="auto" w:fill="auto"/>
                  <w:vAlign w:val="center"/>
                </w:tcPr>
                <w:p w14:paraId="5F9C3C00">
                  <w:pPr>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w:t>
                  </w:r>
                  <w:r>
                    <w:rPr>
                      <w:bCs/>
                      <w:color w:val="000000" w:themeColor="text1"/>
                      <w:kern w:val="0"/>
                      <w:szCs w:val="21"/>
                      <w14:textFill>
                        <w14:solidFill>
                          <w14:schemeClr w14:val="tx1"/>
                        </w14:solidFill>
                      </w14:textFill>
                    </w:rPr>
                    <w:t>VOC</w:t>
                  </w:r>
                  <w:r>
                    <w:rPr>
                      <w:rFonts w:hint="eastAsia"/>
                      <w:bCs/>
                      <w:color w:val="000000" w:themeColor="text1"/>
                      <w:kern w:val="0"/>
                      <w:szCs w:val="21"/>
                      <w14:textFill>
                        <w14:solidFill>
                          <w14:schemeClr w14:val="tx1"/>
                        </w14:solidFill>
                      </w14:textFill>
                    </w:rPr>
                    <w:t>s</w:t>
                  </w:r>
                  <w:r>
                    <w:rPr>
                      <w:color w:val="000000" w:themeColor="text1"/>
                      <w:szCs w:val="21"/>
                      <w14:textFill>
                        <w14:solidFill>
                          <w14:schemeClr w14:val="tx1"/>
                        </w14:solidFill>
                      </w14:textFill>
                    </w:rPr>
                    <w:t>排放限值</w:t>
                  </w:r>
                </w:p>
              </w:tc>
            </w:tr>
            <w:tr w14:paraId="0281A5D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148" w:hRule="atLeast"/>
                <w:jc w:val="center"/>
              </w:trPr>
              <w:tc>
                <w:tcPr>
                  <w:tcW w:w="365" w:type="pct"/>
                  <w:vMerge w:val="continue"/>
                  <w:tcBorders>
                    <w:right w:val="single" w:color="auto" w:sz="4" w:space="0"/>
                  </w:tcBorders>
                  <w:vAlign w:val="center"/>
                </w:tcPr>
                <w:p w14:paraId="13C02D17">
                  <w:pPr>
                    <w:adjustRightInd w:val="0"/>
                    <w:snapToGrid w:val="0"/>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098E38DF">
                  <w:pPr>
                    <w:adjustRightInd w:val="0"/>
                    <w:snapToGrid w:val="0"/>
                    <w:jc w:val="center"/>
                    <w:rPr>
                      <w:color w:val="000000" w:themeColor="text1"/>
                      <w:szCs w:val="21"/>
                      <w14:textFill>
                        <w14:solidFill>
                          <w14:schemeClr w14:val="tx1"/>
                        </w14:solidFill>
                      </w14:textFill>
                    </w:rPr>
                  </w:pPr>
                </w:p>
              </w:tc>
              <w:tc>
                <w:tcPr>
                  <w:tcW w:w="837" w:type="pct"/>
                  <w:vMerge w:val="continue"/>
                  <w:tcBorders>
                    <w:left w:val="single" w:color="auto" w:sz="4" w:space="0"/>
                  </w:tcBorders>
                  <w:vAlign w:val="center"/>
                </w:tcPr>
                <w:p w14:paraId="1EB32A53">
                  <w:pPr>
                    <w:adjustRightInd w:val="0"/>
                    <w:snapToGrid w:val="0"/>
                    <w:jc w:val="center"/>
                    <w:rPr>
                      <w:color w:val="000000" w:themeColor="text1"/>
                      <w:szCs w:val="21"/>
                      <w14:textFill>
                        <w14:solidFill>
                          <w14:schemeClr w14:val="tx1"/>
                        </w14:solidFill>
                      </w14:textFill>
                    </w:rPr>
                  </w:pPr>
                </w:p>
              </w:tc>
              <w:tc>
                <w:tcPr>
                  <w:tcW w:w="661" w:type="pct"/>
                  <w:vMerge w:val="continue"/>
                  <w:vAlign w:val="center"/>
                </w:tcPr>
                <w:p w14:paraId="177EEE11">
                  <w:pPr>
                    <w:adjustRightInd w:val="0"/>
                    <w:snapToGrid w:val="0"/>
                    <w:jc w:val="center"/>
                    <w:rPr>
                      <w:color w:val="000000" w:themeColor="text1"/>
                      <w:szCs w:val="21"/>
                      <w14:textFill>
                        <w14:solidFill>
                          <w14:schemeClr w14:val="tx1"/>
                        </w14:solidFill>
                      </w14:textFill>
                    </w:rPr>
                  </w:pPr>
                </w:p>
              </w:tc>
              <w:tc>
                <w:tcPr>
                  <w:tcW w:w="682" w:type="pct"/>
                  <w:vMerge w:val="continue"/>
                  <w:tcBorders>
                    <w:bottom w:val="single" w:color="auto" w:sz="4" w:space="0"/>
                  </w:tcBorders>
                  <w:vAlign w:val="center"/>
                </w:tcPr>
                <w:p w14:paraId="60C53884">
                  <w:pPr>
                    <w:adjustRightInd w:val="0"/>
                    <w:snapToGrid w:val="0"/>
                    <w:jc w:val="center"/>
                    <w:rPr>
                      <w:color w:val="000000" w:themeColor="text1"/>
                      <w:szCs w:val="21"/>
                      <w14:textFill>
                        <w14:solidFill>
                          <w14:schemeClr w14:val="tx1"/>
                        </w14:solidFill>
                      </w14:textFill>
                    </w:rPr>
                  </w:pPr>
                </w:p>
              </w:tc>
              <w:tc>
                <w:tcPr>
                  <w:tcW w:w="2083" w:type="pct"/>
                  <w:shd w:val="clear" w:color="auto" w:fill="auto"/>
                  <w:vAlign w:val="center"/>
                </w:tcPr>
                <w:p w14:paraId="42367927">
                  <w:pPr>
                    <w:jc w:val="center"/>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《关</w:t>
                  </w:r>
                  <w:r>
                    <w:rPr>
                      <w:color w:val="000000" w:themeColor="text1"/>
                      <w:szCs w:val="21"/>
                      <w14:textFill>
                        <w14:solidFill>
                          <w14:schemeClr w14:val="tx1"/>
                        </w14:solidFill>
                      </w14:textFill>
                    </w:rPr>
                    <w:t>于全省开展工业企业挥发性有机物专项治理工作中排放建议值的通知》（豫环攻坚办[2017]162号）</w:t>
                  </w:r>
                  <w:r>
                    <w:rPr>
                      <w:rFonts w:hint="eastAsia"/>
                      <w:color w:val="000000" w:themeColor="text1"/>
                      <w:szCs w:val="21"/>
                      <w14:textFill>
                        <w14:solidFill>
                          <w14:schemeClr w14:val="tx1"/>
                        </w14:solidFill>
                      </w14:textFill>
                    </w:rPr>
                    <w:t>中“其他行业”</w:t>
                  </w:r>
                </w:p>
              </w:tc>
            </w:tr>
            <w:tr w14:paraId="5EC3F22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5E23BDAD">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2F291EC7">
                  <w:pPr>
                    <w:jc w:val="center"/>
                    <w:rPr>
                      <w:color w:val="000000" w:themeColor="text1"/>
                      <w:szCs w:val="21"/>
                      <w14:textFill>
                        <w14:solidFill>
                          <w14:schemeClr w14:val="tx1"/>
                        </w14:solidFill>
                      </w14:textFill>
                    </w:rPr>
                  </w:pPr>
                </w:p>
              </w:tc>
              <w:tc>
                <w:tcPr>
                  <w:tcW w:w="837" w:type="pct"/>
                  <w:vMerge w:val="restart"/>
                  <w:vAlign w:val="center"/>
                </w:tcPr>
                <w:p w14:paraId="389D346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6</w:t>
                  </w:r>
                </w:p>
              </w:tc>
              <w:tc>
                <w:tcPr>
                  <w:tcW w:w="661" w:type="pct"/>
                  <w:vMerge w:val="restart"/>
                  <w:shd w:val="clear" w:color="auto" w:fill="auto"/>
                  <w:vAlign w:val="center"/>
                </w:tcPr>
                <w:p w14:paraId="36FFF9D7">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82" w:type="pct"/>
                  <w:vMerge w:val="restart"/>
                  <w:shd w:val="clear" w:color="auto" w:fill="auto"/>
                  <w:vAlign w:val="center"/>
                </w:tcPr>
                <w:p w14:paraId="42F3E281">
                  <w:pPr>
                    <w:jc w:val="center"/>
                    <w:rPr>
                      <w:b/>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2083" w:type="pct"/>
                  <w:tcBorders>
                    <w:top w:val="single" w:color="auto" w:sz="4" w:space="0"/>
                  </w:tcBorders>
                  <w:shd w:val="clear" w:color="auto" w:fill="auto"/>
                  <w:vAlign w:val="center"/>
                </w:tcPr>
                <w:p w14:paraId="353274B7">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r>
            <w:tr w14:paraId="1CC5975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0C1B2240">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5E93CE7E">
                  <w:pPr>
                    <w:jc w:val="center"/>
                    <w:rPr>
                      <w:color w:val="000000" w:themeColor="text1"/>
                      <w:szCs w:val="21"/>
                      <w14:textFill>
                        <w14:solidFill>
                          <w14:schemeClr w14:val="tx1"/>
                        </w14:solidFill>
                      </w14:textFill>
                    </w:rPr>
                  </w:pPr>
                </w:p>
              </w:tc>
              <w:tc>
                <w:tcPr>
                  <w:tcW w:w="837" w:type="pct"/>
                  <w:vMerge w:val="continue"/>
                  <w:vAlign w:val="center"/>
                </w:tcPr>
                <w:p w14:paraId="4CD081D4">
                  <w:pPr>
                    <w:jc w:val="center"/>
                    <w:rPr>
                      <w:color w:val="000000" w:themeColor="text1"/>
                      <w:szCs w:val="21"/>
                      <w14:textFill>
                        <w14:solidFill>
                          <w14:schemeClr w14:val="tx1"/>
                        </w14:solidFill>
                      </w14:textFill>
                    </w:rPr>
                  </w:pPr>
                </w:p>
              </w:tc>
              <w:tc>
                <w:tcPr>
                  <w:tcW w:w="661" w:type="pct"/>
                  <w:vMerge w:val="continue"/>
                  <w:shd w:val="clear" w:color="auto" w:fill="auto"/>
                  <w:vAlign w:val="center"/>
                </w:tcPr>
                <w:p w14:paraId="7E551A2F">
                  <w:pPr>
                    <w:pStyle w:val="49"/>
                    <w:rPr>
                      <w:color w:val="000000" w:themeColor="text1"/>
                      <w:szCs w:val="21"/>
                      <w14:textFill>
                        <w14:solidFill>
                          <w14:schemeClr w14:val="tx1"/>
                        </w14:solidFill>
                      </w14:textFill>
                    </w:rPr>
                  </w:pPr>
                </w:p>
              </w:tc>
              <w:tc>
                <w:tcPr>
                  <w:tcW w:w="682" w:type="pct"/>
                  <w:vMerge w:val="continue"/>
                  <w:shd w:val="clear" w:color="auto" w:fill="auto"/>
                  <w:vAlign w:val="center"/>
                </w:tcPr>
                <w:p w14:paraId="2F4B568E">
                  <w:pPr>
                    <w:jc w:val="center"/>
                    <w:rPr>
                      <w:color w:val="000000" w:themeColor="text1"/>
                      <w:szCs w:val="21"/>
                      <w14:textFill>
                        <w14:solidFill>
                          <w14:schemeClr w14:val="tx1"/>
                        </w14:solidFill>
                      </w14:textFill>
                    </w:rPr>
                  </w:pPr>
                </w:p>
              </w:tc>
              <w:tc>
                <w:tcPr>
                  <w:tcW w:w="2083" w:type="pct"/>
                  <w:tcBorders>
                    <w:top w:val="single" w:color="auto" w:sz="4" w:space="0"/>
                  </w:tcBorders>
                  <w:shd w:val="clear" w:color="auto" w:fill="auto"/>
                  <w:vAlign w:val="center"/>
                </w:tcPr>
                <w:p w14:paraId="5DE886C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年修订版）附录2中其他工序PM排放限值</w:t>
                  </w:r>
                </w:p>
              </w:tc>
            </w:tr>
            <w:tr w14:paraId="016DE79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6B9370BD">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70D614B9">
                  <w:pPr>
                    <w:jc w:val="center"/>
                    <w:rPr>
                      <w:color w:val="000000" w:themeColor="text1"/>
                      <w:szCs w:val="21"/>
                      <w14:textFill>
                        <w14:solidFill>
                          <w14:schemeClr w14:val="tx1"/>
                        </w14:solidFill>
                      </w14:textFill>
                    </w:rPr>
                  </w:pPr>
                </w:p>
              </w:tc>
              <w:tc>
                <w:tcPr>
                  <w:tcW w:w="837" w:type="pct"/>
                  <w:vMerge w:val="restart"/>
                  <w:vAlign w:val="center"/>
                </w:tcPr>
                <w:p w14:paraId="4AAFB5B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7</w:t>
                  </w:r>
                </w:p>
              </w:tc>
              <w:tc>
                <w:tcPr>
                  <w:tcW w:w="661" w:type="pct"/>
                  <w:shd w:val="clear" w:color="auto" w:fill="auto"/>
                  <w:vAlign w:val="center"/>
                </w:tcPr>
                <w:p w14:paraId="2ADD7333">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臭气浓度</w:t>
                  </w:r>
                </w:p>
              </w:tc>
              <w:tc>
                <w:tcPr>
                  <w:tcW w:w="682" w:type="pct"/>
                  <w:shd w:val="clear" w:color="auto" w:fill="auto"/>
                  <w:vAlign w:val="center"/>
                </w:tcPr>
                <w:p w14:paraId="498AD68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2083" w:type="pct"/>
                  <w:tcBorders>
                    <w:top w:val="single" w:color="auto" w:sz="4" w:space="0"/>
                  </w:tcBorders>
                  <w:shd w:val="clear" w:color="auto" w:fill="auto"/>
                  <w:vAlign w:val="center"/>
                </w:tcPr>
                <w:p w14:paraId="34A603EB">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 14554-93）中</w:t>
                  </w:r>
                  <w:r>
                    <w:rPr>
                      <w:rFonts w:hint="eastAsia"/>
                      <w:color w:val="000000" w:themeColor="text1"/>
                      <w:szCs w:val="21"/>
                      <w14:textFill>
                        <w14:solidFill>
                          <w14:schemeClr w14:val="tx1"/>
                        </w14:solidFill>
                      </w14:textFill>
                    </w:rPr>
                    <w:t>表2</w:t>
                  </w:r>
                  <w:r>
                    <w:rPr>
                      <w:color w:val="000000" w:themeColor="text1"/>
                      <w:szCs w:val="21"/>
                      <w14:textFill>
                        <w14:solidFill>
                          <w14:schemeClr w14:val="tx1"/>
                        </w14:solidFill>
                      </w14:textFill>
                    </w:rPr>
                    <w:t>标准</w:t>
                  </w:r>
                </w:p>
              </w:tc>
            </w:tr>
            <w:tr w14:paraId="66CD78C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49F8FE48">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31CC50FD">
                  <w:pPr>
                    <w:jc w:val="center"/>
                    <w:rPr>
                      <w:color w:val="000000" w:themeColor="text1"/>
                      <w:szCs w:val="21"/>
                      <w14:textFill>
                        <w14:solidFill>
                          <w14:schemeClr w14:val="tx1"/>
                        </w14:solidFill>
                      </w14:textFill>
                    </w:rPr>
                  </w:pPr>
                </w:p>
              </w:tc>
              <w:tc>
                <w:tcPr>
                  <w:tcW w:w="837" w:type="pct"/>
                  <w:vMerge w:val="continue"/>
                  <w:vAlign w:val="center"/>
                </w:tcPr>
                <w:p w14:paraId="57F447CA">
                  <w:pPr>
                    <w:jc w:val="center"/>
                    <w:rPr>
                      <w:color w:val="000000" w:themeColor="text1"/>
                      <w:szCs w:val="21"/>
                      <w14:textFill>
                        <w14:solidFill>
                          <w14:schemeClr w14:val="tx1"/>
                        </w14:solidFill>
                      </w14:textFill>
                    </w:rPr>
                  </w:pPr>
                </w:p>
              </w:tc>
              <w:tc>
                <w:tcPr>
                  <w:tcW w:w="661" w:type="pct"/>
                  <w:shd w:val="clear" w:color="auto" w:fill="auto"/>
                  <w:vAlign w:val="center"/>
                </w:tcPr>
                <w:p w14:paraId="5EA6AE7D">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682" w:type="pct"/>
                  <w:shd w:val="clear" w:color="auto" w:fill="auto"/>
                  <w:vAlign w:val="center"/>
                </w:tcPr>
                <w:p w14:paraId="5A89A03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2083" w:type="pct"/>
                  <w:tcBorders>
                    <w:top w:val="single" w:color="auto" w:sz="4" w:space="0"/>
                  </w:tcBorders>
                  <w:shd w:val="clear" w:color="auto" w:fill="auto"/>
                  <w:vAlign w:val="center"/>
                </w:tcPr>
                <w:p w14:paraId="5CCEEF4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 14554-93）中</w:t>
                  </w:r>
                  <w:r>
                    <w:rPr>
                      <w:rFonts w:hint="eastAsia"/>
                      <w:color w:val="000000" w:themeColor="text1"/>
                      <w:szCs w:val="21"/>
                      <w14:textFill>
                        <w14:solidFill>
                          <w14:schemeClr w14:val="tx1"/>
                        </w14:solidFill>
                      </w14:textFill>
                    </w:rPr>
                    <w:t>表2</w:t>
                  </w:r>
                  <w:r>
                    <w:rPr>
                      <w:color w:val="000000" w:themeColor="text1"/>
                      <w:szCs w:val="21"/>
                      <w14:textFill>
                        <w14:solidFill>
                          <w14:schemeClr w14:val="tx1"/>
                        </w14:solidFill>
                      </w14:textFill>
                    </w:rPr>
                    <w:t>标准</w:t>
                  </w:r>
                </w:p>
              </w:tc>
            </w:tr>
            <w:tr w14:paraId="701AF0F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33445ECA">
                  <w:pPr>
                    <w:jc w:val="center"/>
                    <w:rPr>
                      <w:color w:val="000000" w:themeColor="text1"/>
                      <w:szCs w:val="21"/>
                      <w14:textFill>
                        <w14:solidFill>
                          <w14:schemeClr w14:val="tx1"/>
                        </w14:solidFill>
                      </w14:textFill>
                    </w:rPr>
                  </w:pPr>
                </w:p>
              </w:tc>
              <w:tc>
                <w:tcPr>
                  <w:tcW w:w="369" w:type="pct"/>
                  <w:vMerge w:val="continue"/>
                  <w:tcBorders>
                    <w:left w:val="single" w:color="auto" w:sz="4" w:space="0"/>
                    <w:right w:val="single" w:color="auto" w:sz="4" w:space="0"/>
                  </w:tcBorders>
                  <w:vAlign w:val="center"/>
                </w:tcPr>
                <w:p w14:paraId="0982BB47">
                  <w:pPr>
                    <w:jc w:val="center"/>
                    <w:rPr>
                      <w:color w:val="000000" w:themeColor="text1"/>
                      <w:szCs w:val="21"/>
                      <w14:textFill>
                        <w14:solidFill>
                          <w14:schemeClr w14:val="tx1"/>
                        </w14:solidFill>
                      </w14:textFill>
                    </w:rPr>
                  </w:pPr>
                </w:p>
              </w:tc>
              <w:tc>
                <w:tcPr>
                  <w:tcW w:w="837" w:type="pct"/>
                  <w:vMerge w:val="continue"/>
                  <w:vAlign w:val="center"/>
                </w:tcPr>
                <w:p w14:paraId="0DA5B6D8">
                  <w:pPr>
                    <w:jc w:val="center"/>
                    <w:rPr>
                      <w:color w:val="000000" w:themeColor="text1"/>
                      <w:szCs w:val="21"/>
                      <w14:textFill>
                        <w14:solidFill>
                          <w14:schemeClr w14:val="tx1"/>
                        </w14:solidFill>
                      </w14:textFill>
                    </w:rPr>
                  </w:pPr>
                </w:p>
              </w:tc>
              <w:tc>
                <w:tcPr>
                  <w:tcW w:w="661" w:type="pct"/>
                  <w:shd w:val="clear" w:color="auto" w:fill="auto"/>
                  <w:vAlign w:val="center"/>
                </w:tcPr>
                <w:p w14:paraId="7DDBA7CE">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682" w:type="pct"/>
                  <w:shd w:val="clear" w:color="auto" w:fill="auto"/>
                  <w:vAlign w:val="center"/>
                </w:tcPr>
                <w:p w14:paraId="49493F8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2083" w:type="pct"/>
                  <w:tcBorders>
                    <w:top w:val="single" w:color="auto" w:sz="4" w:space="0"/>
                  </w:tcBorders>
                  <w:shd w:val="clear" w:color="auto" w:fill="auto"/>
                  <w:vAlign w:val="center"/>
                </w:tcPr>
                <w:p w14:paraId="4EF3AA6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 14554-93）中</w:t>
                  </w:r>
                  <w:r>
                    <w:rPr>
                      <w:rFonts w:hint="eastAsia"/>
                      <w:color w:val="000000" w:themeColor="text1"/>
                      <w:szCs w:val="21"/>
                      <w14:textFill>
                        <w14:solidFill>
                          <w14:schemeClr w14:val="tx1"/>
                        </w14:solidFill>
                      </w14:textFill>
                    </w:rPr>
                    <w:t>表2</w:t>
                  </w:r>
                  <w:r>
                    <w:rPr>
                      <w:color w:val="000000" w:themeColor="text1"/>
                      <w:szCs w:val="21"/>
                      <w14:textFill>
                        <w14:solidFill>
                          <w14:schemeClr w14:val="tx1"/>
                        </w14:solidFill>
                      </w14:textFill>
                    </w:rPr>
                    <w:t>标准</w:t>
                  </w:r>
                </w:p>
              </w:tc>
            </w:tr>
            <w:tr w14:paraId="386E502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3D4A4511">
                  <w:pPr>
                    <w:jc w:val="center"/>
                    <w:rPr>
                      <w:color w:val="000000" w:themeColor="text1"/>
                      <w:szCs w:val="21"/>
                      <w14:textFill>
                        <w14:solidFill>
                          <w14:schemeClr w14:val="tx1"/>
                        </w14:solidFill>
                      </w14:textFill>
                    </w:rPr>
                  </w:pPr>
                </w:p>
              </w:tc>
              <w:tc>
                <w:tcPr>
                  <w:tcW w:w="369" w:type="pct"/>
                  <w:vMerge w:val="restart"/>
                  <w:tcBorders>
                    <w:top w:val="single" w:color="auto" w:sz="4" w:space="0"/>
                    <w:left w:val="single" w:color="auto" w:sz="4" w:space="0"/>
                  </w:tcBorders>
                  <w:vAlign w:val="center"/>
                </w:tcPr>
                <w:p w14:paraId="084D158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无组织</w:t>
                  </w:r>
                </w:p>
              </w:tc>
              <w:tc>
                <w:tcPr>
                  <w:tcW w:w="837" w:type="pct"/>
                  <w:vMerge w:val="restart"/>
                  <w:vAlign w:val="center"/>
                </w:tcPr>
                <w:p w14:paraId="5AB443A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厂界</w:t>
                  </w:r>
                </w:p>
              </w:tc>
              <w:tc>
                <w:tcPr>
                  <w:tcW w:w="661" w:type="pct"/>
                  <w:vAlign w:val="center"/>
                </w:tcPr>
                <w:p w14:paraId="71E659C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82" w:type="pct"/>
                  <w:vAlign w:val="center"/>
                </w:tcPr>
                <w:p w14:paraId="2C1D383F">
                  <w:pPr>
                    <w:jc w:val="center"/>
                    <w:rPr>
                      <w:bCs/>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1次/</w:t>
                  </w:r>
                  <w:r>
                    <w:rPr>
                      <w:rFonts w:hint="eastAsia"/>
                      <w:color w:val="000000" w:themeColor="text1"/>
                      <w:kern w:val="0"/>
                      <w:szCs w:val="21"/>
                      <w14:textFill>
                        <w14:solidFill>
                          <w14:schemeClr w14:val="tx1"/>
                        </w14:solidFill>
                      </w14:textFill>
                    </w:rPr>
                    <w:t>半年</w:t>
                  </w:r>
                </w:p>
              </w:tc>
              <w:tc>
                <w:tcPr>
                  <w:tcW w:w="2083" w:type="pct"/>
                  <w:tcBorders>
                    <w:top w:val="single" w:color="auto" w:sz="4" w:space="0"/>
                    <w:bottom w:val="single" w:color="auto" w:sz="4" w:space="0"/>
                  </w:tcBorders>
                  <w:shd w:val="clear" w:color="auto" w:fill="auto"/>
                  <w:vAlign w:val="center"/>
                </w:tcPr>
                <w:p w14:paraId="40F5A3CC">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r>
            <w:tr w14:paraId="5C25D2F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57DEF11C">
                  <w:pPr>
                    <w:jc w:val="center"/>
                    <w:rPr>
                      <w:color w:val="000000" w:themeColor="text1"/>
                      <w:szCs w:val="21"/>
                      <w14:textFill>
                        <w14:solidFill>
                          <w14:schemeClr w14:val="tx1"/>
                        </w14:solidFill>
                      </w14:textFill>
                    </w:rPr>
                  </w:pPr>
                </w:p>
              </w:tc>
              <w:tc>
                <w:tcPr>
                  <w:tcW w:w="369" w:type="pct"/>
                  <w:vMerge w:val="continue"/>
                  <w:tcBorders>
                    <w:left w:val="single" w:color="auto" w:sz="4" w:space="0"/>
                  </w:tcBorders>
                  <w:vAlign w:val="center"/>
                </w:tcPr>
                <w:p w14:paraId="73C1A307">
                  <w:pPr>
                    <w:jc w:val="center"/>
                    <w:rPr>
                      <w:color w:val="000000" w:themeColor="text1"/>
                      <w:szCs w:val="21"/>
                      <w14:textFill>
                        <w14:solidFill>
                          <w14:schemeClr w14:val="tx1"/>
                        </w14:solidFill>
                      </w14:textFill>
                    </w:rPr>
                  </w:pPr>
                </w:p>
              </w:tc>
              <w:tc>
                <w:tcPr>
                  <w:tcW w:w="837" w:type="pct"/>
                  <w:vMerge w:val="continue"/>
                  <w:vAlign w:val="center"/>
                </w:tcPr>
                <w:p w14:paraId="77AF5865">
                  <w:pPr>
                    <w:jc w:val="center"/>
                    <w:rPr>
                      <w:color w:val="000000" w:themeColor="text1"/>
                      <w:szCs w:val="21"/>
                      <w14:textFill>
                        <w14:solidFill>
                          <w14:schemeClr w14:val="tx1"/>
                        </w14:solidFill>
                      </w14:textFill>
                    </w:rPr>
                  </w:pPr>
                </w:p>
              </w:tc>
              <w:tc>
                <w:tcPr>
                  <w:tcW w:w="661" w:type="pct"/>
                  <w:vMerge w:val="restart"/>
                  <w:shd w:val="clear" w:color="auto" w:fill="auto"/>
                  <w:vAlign w:val="center"/>
                </w:tcPr>
                <w:p w14:paraId="13213A00">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682" w:type="pct"/>
                  <w:vMerge w:val="restart"/>
                  <w:shd w:val="clear" w:color="auto" w:fill="auto"/>
                  <w:vAlign w:val="center"/>
                </w:tcPr>
                <w:p w14:paraId="6B9E210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2083" w:type="pct"/>
                  <w:tcBorders>
                    <w:top w:val="single" w:color="auto" w:sz="4" w:space="0"/>
                    <w:bottom w:val="single" w:color="auto" w:sz="4" w:space="0"/>
                  </w:tcBorders>
                  <w:shd w:val="clear" w:color="auto" w:fill="auto"/>
                  <w:vAlign w:val="center"/>
                </w:tcPr>
                <w:p w14:paraId="5F03A5D1">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r>
            <w:tr w14:paraId="255C5B4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074674CB">
                  <w:pPr>
                    <w:jc w:val="center"/>
                    <w:rPr>
                      <w:color w:val="000000" w:themeColor="text1"/>
                      <w:szCs w:val="21"/>
                      <w14:textFill>
                        <w14:solidFill>
                          <w14:schemeClr w14:val="tx1"/>
                        </w14:solidFill>
                      </w14:textFill>
                    </w:rPr>
                  </w:pPr>
                </w:p>
              </w:tc>
              <w:tc>
                <w:tcPr>
                  <w:tcW w:w="369" w:type="pct"/>
                  <w:vMerge w:val="continue"/>
                  <w:tcBorders>
                    <w:left w:val="single" w:color="auto" w:sz="4" w:space="0"/>
                  </w:tcBorders>
                  <w:vAlign w:val="center"/>
                </w:tcPr>
                <w:p w14:paraId="3EFBCE21">
                  <w:pPr>
                    <w:jc w:val="center"/>
                    <w:rPr>
                      <w:color w:val="000000" w:themeColor="text1"/>
                      <w:szCs w:val="21"/>
                      <w14:textFill>
                        <w14:solidFill>
                          <w14:schemeClr w14:val="tx1"/>
                        </w14:solidFill>
                      </w14:textFill>
                    </w:rPr>
                  </w:pPr>
                </w:p>
              </w:tc>
              <w:tc>
                <w:tcPr>
                  <w:tcW w:w="837" w:type="pct"/>
                  <w:vMerge w:val="continue"/>
                  <w:vAlign w:val="center"/>
                </w:tcPr>
                <w:p w14:paraId="69A5D3BC">
                  <w:pPr>
                    <w:jc w:val="center"/>
                    <w:rPr>
                      <w:color w:val="000000" w:themeColor="text1"/>
                      <w:szCs w:val="21"/>
                      <w14:textFill>
                        <w14:solidFill>
                          <w14:schemeClr w14:val="tx1"/>
                        </w14:solidFill>
                      </w14:textFill>
                    </w:rPr>
                  </w:pPr>
                </w:p>
              </w:tc>
              <w:tc>
                <w:tcPr>
                  <w:tcW w:w="661" w:type="pct"/>
                  <w:vMerge w:val="continue"/>
                  <w:shd w:val="clear" w:color="auto" w:fill="auto"/>
                  <w:vAlign w:val="center"/>
                </w:tcPr>
                <w:p w14:paraId="7747EFBB">
                  <w:pPr>
                    <w:pStyle w:val="49"/>
                    <w:rPr>
                      <w:color w:val="000000" w:themeColor="text1"/>
                      <w:szCs w:val="21"/>
                      <w14:textFill>
                        <w14:solidFill>
                          <w14:schemeClr w14:val="tx1"/>
                        </w14:solidFill>
                      </w14:textFill>
                    </w:rPr>
                  </w:pPr>
                </w:p>
              </w:tc>
              <w:tc>
                <w:tcPr>
                  <w:tcW w:w="682" w:type="pct"/>
                  <w:vMerge w:val="continue"/>
                  <w:shd w:val="clear" w:color="auto" w:fill="auto"/>
                  <w:vAlign w:val="center"/>
                </w:tcPr>
                <w:p w14:paraId="2FA44000">
                  <w:pPr>
                    <w:jc w:val="center"/>
                    <w:rPr>
                      <w:color w:val="000000" w:themeColor="text1"/>
                      <w:szCs w:val="21"/>
                      <w14:textFill>
                        <w14:solidFill>
                          <w14:schemeClr w14:val="tx1"/>
                        </w14:solidFill>
                      </w14:textFill>
                    </w:rPr>
                  </w:pPr>
                </w:p>
              </w:tc>
              <w:tc>
                <w:tcPr>
                  <w:tcW w:w="2083" w:type="pct"/>
                  <w:tcBorders>
                    <w:top w:val="single" w:color="auto" w:sz="4" w:space="0"/>
                    <w:bottom w:val="single" w:color="auto" w:sz="4" w:space="0"/>
                  </w:tcBorders>
                  <w:shd w:val="clear" w:color="auto" w:fill="auto"/>
                  <w:vAlign w:val="center"/>
                </w:tcPr>
                <w:p w14:paraId="4EFC4F63">
                  <w:pPr>
                    <w:jc w:val="center"/>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《关</w:t>
                  </w:r>
                  <w:r>
                    <w:rPr>
                      <w:color w:val="000000" w:themeColor="text1"/>
                      <w:szCs w:val="21"/>
                      <w14:textFill>
                        <w14:solidFill>
                          <w14:schemeClr w14:val="tx1"/>
                        </w14:solidFill>
                      </w14:textFill>
                    </w:rPr>
                    <w:t>于全省开展工业企业挥发性有机物专项治理工作中排放建议值的通知》（豫环攻坚办[2017]162号）</w:t>
                  </w:r>
                  <w:r>
                    <w:rPr>
                      <w:rFonts w:hint="eastAsia"/>
                      <w:color w:val="000000" w:themeColor="text1"/>
                      <w:szCs w:val="21"/>
                      <w14:textFill>
                        <w14:solidFill>
                          <w14:schemeClr w14:val="tx1"/>
                        </w14:solidFill>
                      </w14:textFill>
                    </w:rPr>
                    <w:t>中“其他行业”</w:t>
                  </w:r>
                </w:p>
              </w:tc>
            </w:tr>
            <w:tr w14:paraId="627021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3AE915DA">
                  <w:pPr>
                    <w:jc w:val="center"/>
                    <w:rPr>
                      <w:color w:val="000000" w:themeColor="text1"/>
                      <w:szCs w:val="21"/>
                      <w14:textFill>
                        <w14:solidFill>
                          <w14:schemeClr w14:val="tx1"/>
                        </w14:solidFill>
                      </w14:textFill>
                    </w:rPr>
                  </w:pPr>
                </w:p>
              </w:tc>
              <w:tc>
                <w:tcPr>
                  <w:tcW w:w="369" w:type="pct"/>
                  <w:vMerge w:val="continue"/>
                  <w:tcBorders>
                    <w:left w:val="single" w:color="auto" w:sz="4" w:space="0"/>
                  </w:tcBorders>
                  <w:vAlign w:val="center"/>
                </w:tcPr>
                <w:p w14:paraId="3D315ECD">
                  <w:pPr>
                    <w:jc w:val="center"/>
                    <w:rPr>
                      <w:color w:val="000000" w:themeColor="text1"/>
                      <w:szCs w:val="21"/>
                      <w14:textFill>
                        <w14:solidFill>
                          <w14:schemeClr w14:val="tx1"/>
                        </w14:solidFill>
                      </w14:textFill>
                    </w:rPr>
                  </w:pPr>
                </w:p>
              </w:tc>
              <w:tc>
                <w:tcPr>
                  <w:tcW w:w="837" w:type="pct"/>
                  <w:vMerge w:val="continue"/>
                  <w:vAlign w:val="center"/>
                </w:tcPr>
                <w:p w14:paraId="2EE29B23">
                  <w:pPr>
                    <w:jc w:val="center"/>
                    <w:rPr>
                      <w:color w:val="000000" w:themeColor="text1"/>
                      <w:szCs w:val="21"/>
                      <w14:textFill>
                        <w14:solidFill>
                          <w14:schemeClr w14:val="tx1"/>
                        </w14:solidFill>
                      </w14:textFill>
                    </w:rPr>
                  </w:pPr>
                </w:p>
              </w:tc>
              <w:tc>
                <w:tcPr>
                  <w:tcW w:w="661" w:type="pct"/>
                  <w:vMerge w:val="continue"/>
                  <w:shd w:val="clear" w:color="auto" w:fill="auto"/>
                  <w:vAlign w:val="center"/>
                </w:tcPr>
                <w:p w14:paraId="59928A09">
                  <w:pPr>
                    <w:pStyle w:val="49"/>
                    <w:rPr>
                      <w:color w:val="000000" w:themeColor="text1"/>
                      <w:szCs w:val="21"/>
                      <w14:textFill>
                        <w14:solidFill>
                          <w14:schemeClr w14:val="tx1"/>
                        </w14:solidFill>
                      </w14:textFill>
                    </w:rPr>
                  </w:pPr>
                </w:p>
              </w:tc>
              <w:tc>
                <w:tcPr>
                  <w:tcW w:w="682" w:type="pct"/>
                  <w:vMerge w:val="continue"/>
                  <w:shd w:val="clear" w:color="auto" w:fill="auto"/>
                  <w:vAlign w:val="center"/>
                </w:tcPr>
                <w:p w14:paraId="0C878176">
                  <w:pPr>
                    <w:jc w:val="center"/>
                    <w:rPr>
                      <w:color w:val="000000" w:themeColor="text1"/>
                      <w:szCs w:val="21"/>
                      <w14:textFill>
                        <w14:solidFill>
                          <w14:schemeClr w14:val="tx1"/>
                        </w14:solidFill>
                      </w14:textFill>
                    </w:rPr>
                  </w:pPr>
                </w:p>
              </w:tc>
              <w:tc>
                <w:tcPr>
                  <w:tcW w:w="2083" w:type="pct"/>
                  <w:tcBorders>
                    <w:top w:val="single" w:color="auto" w:sz="4" w:space="0"/>
                    <w:bottom w:val="single" w:color="auto" w:sz="4" w:space="0"/>
                  </w:tcBorders>
                  <w:shd w:val="clear" w:color="auto" w:fill="auto"/>
                  <w:vAlign w:val="center"/>
                </w:tcPr>
                <w:p w14:paraId="229B4EE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《挥发性有机物无组织排放控制标准》</w:t>
                  </w:r>
                  <w:r>
                    <w:rPr>
                      <w:color w:val="000000" w:themeColor="text1"/>
                      <w:szCs w:val="21"/>
                      <w14:textFill>
                        <w14:solidFill>
                          <w14:schemeClr w14:val="tx1"/>
                        </w14:solidFill>
                      </w14:textFill>
                    </w:rPr>
                    <w:t>（GB 37822-2019）</w:t>
                  </w:r>
                </w:p>
              </w:tc>
            </w:tr>
            <w:tr w14:paraId="4A8333E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65" w:type="pct"/>
                  <w:vMerge w:val="continue"/>
                  <w:tcBorders>
                    <w:right w:val="single" w:color="auto" w:sz="4" w:space="0"/>
                  </w:tcBorders>
                  <w:vAlign w:val="center"/>
                </w:tcPr>
                <w:p w14:paraId="48006C08">
                  <w:pPr>
                    <w:jc w:val="center"/>
                    <w:rPr>
                      <w:color w:val="000000" w:themeColor="text1"/>
                      <w:szCs w:val="21"/>
                      <w14:textFill>
                        <w14:solidFill>
                          <w14:schemeClr w14:val="tx1"/>
                        </w14:solidFill>
                      </w14:textFill>
                    </w:rPr>
                  </w:pPr>
                </w:p>
              </w:tc>
              <w:tc>
                <w:tcPr>
                  <w:tcW w:w="369" w:type="pct"/>
                  <w:vMerge w:val="continue"/>
                  <w:tcBorders>
                    <w:left w:val="single" w:color="auto" w:sz="4" w:space="0"/>
                  </w:tcBorders>
                  <w:vAlign w:val="center"/>
                </w:tcPr>
                <w:p w14:paraId="36E5FAA4">
                  <w:pPr>
                    <w:jc w:val="center"/>
                    <w:rPr>
                      <w:color w:val="000000" w:themeColor="text1"/>
                      <w:szCs w:val="21"/>
                      <w14:textFill>
                        <w14:solidFill>
                          <w14:schemeClr w14:val="tx1"/>
                        </w14:solidFill>
                      </w14:textFill>
                    </w:rPr>
                  </w:pPr>
                </w:p>
              </w:tc>
              <w:tc>
                <w:tcPr>
                  <w:tcW w:w="837" w:type="pct"/>
                  <w:vMerge w:val="continue"/>
                  <w:vAlign w:val="center"/>
                </w:tcPr>
                <w:p w14:paraId="143C8E51">
                  <w:pPr>
                    <w:jc w:val="center"/>
                    <w:rPr>
                      <w:color w:val="000000" w:themeColor="text1"/>
                      <w:szCs w:val="21"/>
                      <w14:textFill>
                        <w14:solidFill>
                          <w14:schemeClr w14:val="tx1"/>
                        </w14:solidFill>
                      </w14:textFill>
                    </w:rPr>
                  </w:pPr>
                </w:p>
              </w:tc>
              <w:tc>
                <w:tcPr>
                  <w:tcW w:w="661" w:type="pct"/>
                  <w:vAlign w:val="center"/>
                </w:tcPr>
                <w:p w14:paraId="49F1CFB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682" w:type="pct"/>
                  <w:vAlign w:val="center"/>
                </w:tcPr>
                <w:p w14:paraId="5FDBC960">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r>
                    <w:rPr>
                      <w:rFonts w:hint="eastAsia"/>
                      <w:color w:val="000000" w:themeColor="text1"/>
                      <w:kern w:val="0"/>
                      <w:szCs w:val="21"/>
                      <w14:textFill>
                        <w14:solidFill>
                          <w14:schemeClr w14:val="tx1"/>
                        </w14:solidFill>
                      </w14:textFill>
                    </w:rPr>
                    <w:t>次</w:t>
                  </w:r>
                  <w:r>
                    <w:rPr>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半年</w:t>
                  </w:r>
                </w:p>
              </w:tc>
              <w:tc>
                <w:tcPr>
                  <w:tcW w:w="2083" w:type="pct"/>
                  <w:tcBorders>
                    <w:top w:val="single" w:color="auto" w:sz="4" w:space="0"/>
                  </w:tcBorders>
                  <w:shd w:val="clear" w:color="auto" w:fill="auto"/>
                  <w:vAlign w:val="center"/>
                </w:tcPr>
                <w:p w14:paraId="0D839903">
                  <w:pPr>
                    <w:pStyle w:val="50"/>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 14554-93）中表1标准</w:t>
                  </w:r>
                </w:p>
              </w:tc>
            </w:tr>
          </w:tbl>
          <w:p w14:paraId="179B9F05">
            <w:pPr>
              <w:adjustRightInd w:val="0"/>
              <w:snapToGrid w:val="0"/>
              <w:spacing w:line="360" w:lineRule="auto"/>
              <w:ind w:firstLine="480" w:firstLineChars="200"/>
              <w:rPr>
                <w:bCs/>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1.5</w:t>
            </w:r>
            <w:r>
              <w:rPr>
                <w:bCs/>
                <w:color w:val="000000" w:themeColor="text1"/>
                <w:sz w:val="24"/>
                <w14:textFill>
                  <w14:solidFill>
                    <w14:schemeClr w14:val="tx1"/>
                  </w14:solidFill>
                </w14:textFill>
              </w:rPr>
              <w:t>非正常工况分析</w:t>
            </w:r>
          </w:p>
          <w:p w14:paraId="3581443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非正常排放是指生产过程中开停（工、炉）、设备检修、工艺设备运转异常等非正常工况下的污染物排放，以及污染物排放控制措施达不到应有效率等情况下的排放。项目环保措施出现异常时，会使污染物处理效率下降。项目非正常工况下大气污染物的排放情况具体见下表。</w:t>
            </w:r>
          </w:p>
          <w:p w14:paraId="48F84BA3">
            <w:pPr>
              <w:widowControl/>
              <w:adjustRightInd w:val="0"/>
              <w:snapToGrid w:val="0"/>
              <w:spacing w:line="360" w:lineRule="auto"/>
              <w:ind w:firstLine="482"/>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 xml:space="preserve">8  </w:t>
            </w:r>
            <w:r>
              <w:rPr>
                <w:b/>
                <w:color w:val="000000" w:themeColor="text1"/>
                <w:sz w:val="24"/>
                <w14:textFill>
                  <w14:solidFill>
                    <w14:schemeClr w14:val="tx1"/>
                  </w14:solidFill>
                </w14:textFill>
              </w:rPr>
              <w:t>非正常工况下废气排放情况一览表</w:t>
            </w:r>
          </w:p>
          <w:tbl>
            <w:tblPr>
              <w:tblStyle w:val="25"/>
              <w:tblW w:w="497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83"/>
              <w:gridCol w:w="915"/>
              <w:gridCol w:w="1162"/>
              <w:gridCol w:w="1156"/>
              <w:gridCol w:w="965"/>
              <w:gridCol w:w="1652"/>
              <w:gridCol w:w="954"/>
              <w:gridCol w:w="676"/>
              <w:gridCol w:w="639"/>
            </w:tblGrid>
            <w:tr w14:paraId="1CE145F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454" w:hRule="atLeast"/>
                <w:jc w:val="center"/>
              </w:trPr>
              <w:tc>
                <w:tcPr>
                  <w:tcW w:w="589" w:type="pct"/>
                  <w:vMerge w:val="restart"/>
                  <w:vAlign w:val="center"/>
                </w:tcPr>
                <w:p w14:paraId="6A6DE109">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污染源</w:t>
                  </w:r>
                </w:p>
              </w:tc>
              <w:tc>
                <w:tcPr>
                  <w:tcW w:w="497" w:type="pct"/>
                  <w:vMerge w:val="restart"/>
                  <w:vAlign w:val="center"/>
                </w:tcPr>
                <w:p w14:paraId="74BD4DB3">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污染物</w:t>
                  </w:r>
                </w:p>
              </w:tc>
              <w:tc>
                <w:tcPr>
                  <w:tcW w:w="631" w:type="pct"/>
                  <w:vMerge w:val="restart"/>
                  <w:vAlign w:val="center"/>
                </w:tcPr>
                <w:p w14:paraId="61052C4F">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非正常原因</w:t>
                  </w:r>
                </w:p>
              </w:tc>
              <w:tc>
                <w:tcPr>
                  <w:tcW w:w="2049" w:type="pct"/>
                  <w:gridSpan w:val="3"/>
                  <w:tcBorders>
                    <w:right w:val="single" w:color="auto" w:sz="4" w:space="0"/>
                  </w:tcBorders>
                  <w:vAlign w:val="center"/>
                </w:tcPr>
                <w:p w14:paraId="624918CD">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非正常排放工况</w:t>
                  </w:r>
                </w:p>
              </w:tc>
              <w:tc>
                <w:tcPr>
                  <w:tcW w:w="885" w:type="pct"/>
                  <w:gridSpan w:val="2"/>
                  <w:vAlign w:val="center"/>
                </w:tcPr>
                <w:p w14:paraId="4CDD47C5">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执行标准</w:t>
                  </w:r>
                </w:p>
              </w:tc>
              <w:tc>
                <w:tcPr>
                  <w:tcW w:w="347" w:type="pct"/>
                  <w:vMerge w:val="restart"/>
                  <w:vAlign w:val="center"/>
                </w:tcPr>
                <w:p w14:paraId="3BF012B6">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达标情况</w:t>
                  </w:r>
                </w:p>
              </w:tc>
            </w:tr>
            <w:tr w14:paraId="6342D72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continue"/>
                  <w:vAlign w:val="center"/>
                </w:tcPr>
                <w:p w14:paraId="09C1F48D">
                  <w:pPr>
                    <w:jc w:val="center"/>
                    <w:rPr>
                      <w:color w:val="000000" w:themeColor="text1"/>
                      <w:szCs w:val="21"/>
                      <w:lang w:val="zh-CN"/>
                      <w14:textFill>
                        <w14:solidFill>
                          <w14:schemeClr w14:val="tx1"/>
                        </w14:solidFill>
                      </w14:textFill>
                    </w:rPr>
                  </w:pPr>
                </w:p>
              </w:tc>
              <w:tc>
                <w:tcPr>
                  <w:tcW w:w="497" w:type="pct"/>
                  <w:vMerge w:val="continue"/>
                  <w:vAlign w:val="center"/>
                </w:tcPr>
                <w:p w14:paraId="438FD14E">
                  <w:pPr>
                    <w:jc w:val="center"/>
                    <w:rPr>
                      <w:color w:val="000000" w:themeColor="text1"/>
                      <w:szCs w:val="21"/>
                      <w:lang w:val="zh-CN"/>
                      <w14:textFill>
                        <w14:solidFill>
                          <w14:schemeClr w14:val="tx1"/>
                        </w14:solidFill>
                      </w14:textFill>
                    </w:rPr>
                  </w:pPr>
                </w:p>
              </w:tc>
              <w:tc>
                <w:tcPr>
                  <w:tcW w:w="631" w:type="pct"/>
                  <w:vMerge w:val="continue"/>
                  <w:vAlign w:val="center"/>
                </w:tcPr>
                <w:p w14:paraId="261FDD00">
                  <w:pPr>
                    <w:jc w:val="center"/>
                    <w:rPr>
                      <w:color w:val="000000" w:themeColor="text1"/>
                      <w:szCs w:val="21"/>
                      <w:lang w:val="zh-CN"/>
                      <w14:textFill>
                        <w14:solidFill>
                          <w14:schemeClr w14:val="tx1"/>
                        </w14:solidFill>
                      </w14:textFill>
                    </w:rPr>
                  </w:pPr>
                </w:p>
              </w:tc>
              <w:tc>
                <w:tcPr>
                  <w:tcW w:w="628" w:type="pct"/>
                  <w:vAlign w:val="center"/>
                </w:tcPr>
                <w:p w14:paraId="42599893">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排放浓度mg/m</w:t>
                  </w:r>
                  <w:r>
                    <w:rPr>
                      <w:color w:val="000000" w:themeColor="text1"/>
                      <w:szCs w:val="21"/>
                      <w:vertAlign w:val="superscript"/>
                      <w:lang w:val="zh-CN"/>
                      <w14:textFill>
                        <w14:solidFill>
                          <w14:schemeClr w14:val="tx1"/>
                        </w14:solidFill>
                      </w14:textFill>
                    </w:rPr>
                    <w:t>3</w:t>
                  </w:r>
                </w:p>
              </w:tc>
              <w:tc>
                <w:tcPr>
                  <w:tcW w:w="524" w:type="pct"/>
                  <w:vAlign w:val="center"/>
                </w:tcPr>
                <w:p w14:paraId="20EC5BDE">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排放速率kg/h</w:t>
                  </w:r>
                </w:p>
              </w:tc>
              <w:tc>
                <w:tcPr>
                  <w:tcW w:w="896" w:type="pct"/>
                  <w:vAlign w:val="center"/>
                </w:tcPr>
                <w:p w14:paraId="7CE4AB9C">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频次及持续时间</w:t>
                  </w:r>
                </w:p>
              </w:tc>
              <w:tc>
                <w:tcPr>
                  <w:tcW w:w="518" w:type="pct"/>
                  <w:vAlign w:val="center"/>
                </w:tcPr>
                <w:p w14:paraId="4B01D24D">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排放</w:t>
                  </w:r>
                </w:p>
                <w:p w14:paraId="5B6C9883">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浓度mg/m</w:t>
                  </w:r>
                  <w:r>
                    <w:rPr>
                      <w:color w:val="000000" w:themeColor="text1"/>
                      <w:szCs w:val="21"/>
                      <w:vertAlign w:val="superscript"/>
                      <w:lang w:val="zh-CN"/>
                      <w14:textFill>
                        <w14:solidFill>
                          <w14:schemeClr w14:val="tx1"/>
                        </w14:solidFill>
                      </w14:textFill>
                    </w:rPr>
                    <w:t>3</w:t>
                  </w:r>
                </w:p>
              </w:tc>
              <w:tc>
                <w:tcPr>
                  <w:tcW w:w="367" w:type="pct"/>
                  <w:vAlign w:val="center"/>
                </w:tcPr>
                <w:p w14:paraId="601497FC">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排放速率kg/h</w:t>
                  </w:r>
                </w:p>
              </w:tc>
              <w:tc>
                <w:tcPr>
                  <w:tcW w:w="347" w:type="pct"/>
                  <w:vMerge w:val="continue"/>
                  <w:vAlign w:val="center"/>
                </w:tcPr>
                <w:p w14:paraId="15CE7843">
                  <w:pPr>
                    <w:jc w:val="center"/>
                    <w:rPr>
                      <w:color w:val="000000" w:themeColor="text1"/>
                      <w:szCs w:val="21"/>
                      <w:lang w:val="zh-CN"/>
                      <w14:textFill>
                        <w14:solidFill>
                          <w14:schemeClr w14:val="tx1"/>
                        </w14:solidFill>
                      </w14:textFill>
                    </w:rPr>
                  </w:pPr>
                </w:p>
              </w:tc>
            </w:tr>
            <w:tr w14:paraId="2A4415B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928" w:hRule="atLeast"/>
                <w:jc w:val="center"/>
              </w:trPr>
              <w:tc>
                <w:tcPr>
                  <w:tcW w:w="589" w:type="pct"/>
                  <w:vAlign w:val="center"/>
                </w:tcPr>
                <w:p w14:paraId="7F269F74">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DA001</w:t>
                  </w:r>
                </w:p>
              </w:tc>
              <w:tc>
                <w:tcPr>
                  <w:tcW w:w="497" w:type="pct"/>
                  <w:shd w:val="clear" w:color="auto" w:fill="auto"/>
                  <w:vAlign w:val="center"/>
                </w:tcPr>
                <w:p w14:paraId="0740A2E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631" w:type="pct"/>
                  <w:vAlign w:val="center"/>
                </w:tcPr>
                <w:p w14:paraId="1971AF7D">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废气处理设施故障，按最不利情况，考虑，处理效率为0%</w:t>
                  </w:r>
                </w:p>
              </w:tc>
              <w:tc>
                <w:tcPr>
                  <w:tcW w:w="628" w:type="pct"/>
                  <w:shd w:val="clear" w:color="auto" w:fill="auto"/>
                  <w:vAlign w:val="center"/>
                </w:tcPr>
                <w:p w14:paraId="3879423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268.879</w:t>
                  </w:r>
                </w:p>
              </w:tc>
              <w:tc>
                <w:tcPr>
                  <w:tcW w:w="524" w:type="pct"/>
                  <w:shd w:val="clear" w:color="auto" w:fill="auto"/>
                  <w:vAlign w:val="center"/>
                </w:tcPr>
                <w:p w14:paraId="437F3A5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0.941</w:t>
                  </w:r>
                </w:p>
              </w:tc>
              <w:tc>
                <w:tcPr>
                  <w:tcW w:w="896" w:type="pct"/>
                  <w:vAlign w:val="center"/>
                </w:tcPr>
                <w:p w14:paraId="19AAD0FE">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vAlign w:val="center"/>
                </w:tcPr>
                <w:p w14:paraId="0C5DC1D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367" w:type="pct"/>
                  <w:shd w:val="clear" w:color="auto" w:fill="auto"/>
                  <w:vAlign w:val="center"/>
                </w:tcPr>
                <w:p w14:paraId="22F7D27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347" w:type="pct"/>
                  <w:shd w:val="clear" w:color="auto" w:fill="auto"/>
                  <w:vAlign w:val="center"/>
                </w:tcPr>
                <w:p w14:paraId="5982082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超标</w:t>
                  </w:r>
                </w:p>
              </w:tc>
            </w:tr>
            <w:tr w14:paraId="5F60637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restart"/>
                  <w:vAlign w:val="center"/>
                </w:tcPr>
                <w:p w14:paraId="3292692F">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2</w:t>
                  </w:r>
                </w:p>
              </w:tc>
              <w:tc>
                <w:tcPr>
                  <w:tcW w:w="497" w:type="pct"/>
                  <w:shd w:val="clear" w:color="auto" w:fill="auto"/>
                  <w:vAlign w:val="center"/>
                </w:tcPr>
                <w:p w14:paraId="393ABAD2">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31" w:type="pct"/>
                  <w:vMerge w:val="restart"/>
                  <w:shd w:val="clear" w:color="auto" w:fill="auto"/>
                  <w:vAlign w:val="center"/>
                </w:tcPr>
                <w:p w14:paraId="0084919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低氮燃烧器</w:t>
                  </w:r>
                  <w:r>
                    <w:rPr>
                      <w:color w:val="000000" w:themeColor="text1"/>
                      <w:szCs w:val="21"/>
                      <w:lang w:val="zh-CN"/>
                      <w14:textFill>
                        <w14:solidFill>
                          <w14:schemeClr w14:val="tx1"/>
                        </w14:solidFill>
                      </w14:textFill>
                    </w:rPr>
                    <w:t>故障，按最不利情况，考虑，处理效率为0%</w:t>
                  </w:r>
                </w:p>
              </w:tc>
              <w:tc>
                <w:tcPr>
                  <w:tcW w:w="628" w:type="pct"/>
                  <w:shd w:val="clear" w:color="auto" w:fill="auto"/>
                  <w:vAlign w:val="center"/>
                </w:tcPr>
                <w:p w14:paraId="6524A56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c>
                <w:tcPr>
                  <w:tcW w:w="524" w:type="pct"/>
                  <w:shd w:val="clear" w:color="auto" w:fill="auto"/>
                  <w:vAlign w:val="center"/>
                </w:tcPr>
                <w:p w14:paraId="02F7BB6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0.004</w:t>
                  </w:r>
                </w:p>
              </w:tc>
              <w:tc>
                <w:tcPr>
                  <w:tcW w:w="896" w:type="pct"/>
                  <w:shd w:val="clear" w:color="auto" w:fill="auto"/>
                  <w:vAlign w:val="center"/>
                </w:tcPr>
                <w:p w14:paraId="7793AA77">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shd w:val="clear" w:color="auto" w:fill="auto"/>
                  <w:vAlign w:val="center"/>
                </w:tcPr>
                <w:p w14:paraId="468439E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367" w:type="pct"/>
                  <w:shd w:val="clear" w:color="auto" w:fill="auto"/>
                  <w:vAlign w:val="center"/>
                </w:tcPr>
                <w:p w14:paraId="04A6C38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shd w:val="clear" w:color="auto" w:fill="auto"/>
                  <w:vAlign w:val="center"/>
                </w:tcPr>
                <w:p w14:paraId="358DD6F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w:t>
                  </w:r>
                  <w:r>
                    <w:rPr>
                      <w:color w:val="000000" w:themeColor="text1"/>
                      <w:szCs w:val="21"/>
                      <w14:textFill>
                        <w14:solidFill>
                          <w14:schemeClr w14:val="tx1"/>
                        </w14:solidFill>
                      </w14:textFill>
                    </w:rPr>
                    <w:t>超标</w:t>
                  </w:r>
                </w:p>
              </w:tc>
            </w:tr>
            <w:tr w14:paraId="577E031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continue"/>
                  <w:vAlign w:val="center"/>
                </w:tcPr>
                <w:p w14:paraId="200781C6">
                  <w:pPr>
                    <w:pStyle w:val="49"/>
                    <w:rPr>
                      <w:color w:val="000000" w:themeColor="text1"/>
                      <w:szCs w:val="21"/>
                      <w14:textFill>
                        <w14:solidFill>
                          <w14:schemeClr w14:val="tx1"/>
                        </w14:solidFill>
                      </w14:textFill>
                    </w:rPr>
                  </w:pPr>
                </w:p>
              </w:tc>
              <w:tc>
                <w:tcPr>
                  <w:tcW w:w="497" w:type="pct"/>
                  <w:shd w:val="clear" w:color="auto" w:fill="auto"/>
                  <w:vAlign w:val="center"/>
                </w:tcPr>
                <w:p w14:paraId="57AA2DAB">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631" w:type="pct"/>
                  <w:vMerge w:val="continue"/>
                  <w:vAlign w:val="center"/>
                </w:tcPr>
                <w:p w14:paraId="3F9C560B">
                  <w:pPr>
                    <w:jc w:val="center"/>
                    <w:rPr>
                      <w:color w:val="000000" w:themeColor="text1"/>
                      <w:szCs w:val="21"/>
                      <w14:textFill>
                        <w14:solidFill>
                          <w14:schemeClr w14:val="tx1"/>
                        </w14:solidFill>
                      </w14:textFill>
                    </w:rPr>
                  </w:pPr>
                </w:p>
              </w:tc>
              <w:tc>
                <w:tcPr>
                  <w:tcW w:w="628" w:type="pct"/>
                  <w:shd w:val="clear" w:color="auto" w:fill="auto"/>
                  <w:vAlign w:val="center"/>
                </w:tcPr>
                <w:p w14:paraId="07084BB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c>
                <w:tcPr>
                  <w:tcW w:w="524" w:type="pct"/>
                  <w:shd w:val="clear" w:color="auto" w:fill="auto"/>
                  <w:vAlign w:val="center"/>
                </w:tcPr>
                <w:p w14:paraId="10DD52B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0.003</w:t>
                  </w:r>
                </w:p>
              </w:tc>
              <w:tc>
                <w:tcPr>
                  <w:tcW w:w="896" w:type="pct"/>
                  <w:shd w:val="clear" w:color="auto" w:fill="auto"/>
                  <w:vAlign w:val="center"/>
                </w:tcPr>
                <w:p w14:paraId="31F23A71">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shd w:val="clear" w:color="auto" w:fill="auto"/>
                  <w:vAlign w:val="center"/>
                </w:tcPr>
                <w:p w14:paraId="0B881B3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367" w:type="pct"/>
                  <w:shd w:val="clear" w:color="auto" w:fill="auto"/>
                  <w:vAlign w:val="center"/>
                </w:tcPr>
                <w:p w14:paraId="5BA39C3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shd w:val="clear" w:color="auto" w:fill="auto"/>
                  <w:vAlign w:val="center"/>
                </w:tcPr>
                <w:p w14:paraId="34CD151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w:t>
                  </w:r>
                  <w:r>
                    <w:rPr>
                      <w:color w:val="000000" w:themeColor="text1"/>
                      <w:szCs w:val="21"/>
                      <w14:textFill>
                        <w14:solidFill>
                          <w14:schemeClr w14:val="tx1"/>
                        </w14:solidFill>
                      </w14:textFill>
                    </w:rPr>
                    <w:t>超标</w:t>
                  </w:r>
                </w:p>
              </w:tc>
            </w:tr>
            <w:tr w14:paraId="1D17D85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continue"/>
                  <w:vAlign w:val="center"/>
                </w:tcPr>
                <w:p w14:paraId="2F240B93">
                  <w:pPr>
                    <w:pStyle w:val="49"/>
                    <w:rPr>
                      <w:color w:val="000000" w:themeColor="text1"/>
                      <w:szCs w:val="21"/>
                      <w14:textFill>
                        <w14:solidFill>
                          <w14:schemeClr w14:val="tx1"/>
                        </w14:solidFill>
                      </w14:textFill>
                    </w:rPr>
                  </w:pPr>
                </w:p>
              </w:tc>
              <w:tc>
                <w:tcPr>
                  <w:tcW w:w="497" w:type="pct"/>
                  <w:shd w:val="clear" w:color="auto" w:fill="auto"/>
                  <w:vAlign w:val="center"/>
                </w:tcPr>
                <w:p w14:paraId="0EC0955A">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p>
              </w:tc>
              <w:tc>
                <w:tcPr>
                  <w:tcW w:w="631" w:type="pct"/>
                  <w:vMerge w:val="continue"/>
                  <w:vAlign w:val="center"/>
                </w:tcPr>
                <w:p w14:paraId="56774B78">
                  <w:pPr>
                    <w:jc w:val="center"/>
                    <w:rPr>
                      <w:color w:val="000000" w:themeColor="text1"/>
                      <w:szCs w:val="21"/>
                      <w14:textFill>
                        <w14:solidFill>
                          <w14:schemeClr w14:val="tx1"/>
                        </w14:solidFill>
                      </w14:textFill>
                    </w:rPr>
                  </w:pPr>
                </w:p>
              </w:tc>
              <w:tc>
                <w:tcPr>
                  <w:tcW w:w="628" w:type="pct"/>
                  <w:shd w:val="clear" w:color="auto" w:fill="auto"/>
                  <w:vAlign w:val="center"/>
                </w:tcPr>
                <w:p w14:paraId="1C77FE7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 xml:space="preserve">173.638 </w:t>
                  </w:r>
                </w:p>
              </w:tc>
              <w:tc>
                <w:tcPr>
                  <w:tcW w:w="524" w:type="pct"/>
                  <w:shd w:val="clear" w:color="auto" w:fill="auto"/>
                  <w:vAlign w:val="center"/>
                </w:tcPr>
                <w:p w14:paraId="5AC97B96">
                  <w:pPr>
                    <w:widowControl/>
                    <w:jc w:val="center"/>
                    <w:textAlignment w:val="center"/>
                    <w:rPr>
                      <w:color w:val="000000" w:themeColor="text1"/>
                      <w:sz w:val="22"/>
                      <w:szCs w:val="22"/>
                      <w14:textFill>
                        <w14:solidFill>
                          <w14:schemeClr w14:val="tx1"/>
                        </w14:solidFill>
                      </w14:textFill>
                    </w:rPr>
                  </w:pPr>
                  <w:r>
                    <w:rPr>
                      <w:color w:val="000000" w:themeColor="text1"/>
                      <w:kern w:val="0"/>
                      <w:sz w:val="22"/>
                      <w:szCs w:val="22"/>
                      <w:lang w:bidi="ar"/>
                      <w14:textFill>
                        <w14:solidFill>
                          <w14:schemeClr w14:val="tx1"/>
                        </w14:solidFill>
                      </w14:textFill>
                    </w:rPr>
                    <w:t xml:space="preserve">0.144 </w:t>
                  </w:r>
                </w:p>
              </w:tc>
              <w:tc>
                <w:tcPr>
                  <w:tcW w:w="896" w:type="pct"/>
                  <w:shd w:val="clear" w:color="auto" w:fill="auto"/>
                  <w:vAlign w:val="center"/>
                </w:tcPr>
                <w:p w14:paraId="60826589">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shd w:val="clear" w:color="auto" w:fill="auto"/>
                  <w:vAlign w:val="center"/>
                </w:tcPr>
                <w:p w14:paraId="3CBE7CA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367" w:type="pct"/>
                  <w:shd w:val="clear" w:color="auto" w:fill="auto"/>
                  <w:vAlign w:val="center"/>
                </w:tcPr>
                <w:p w14:paraId="5B3C116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shd w:val="clear" w:color="auto" w:fill="auto"/>
                  <w:vAlign w:val="center"/>
                </w:tcPr>
                <w:p w14:paraId="183BC3D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超标</w:t>
                  </w:r>
                </w:p>
              </w:tc>
            </w:tr>
            <w:tr w14:paraId="4734AD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restart"/>
                  <w:vAlign w:val="center"/>
                </w:tcPr>
                <w:p w14:paraId="2A50C607">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3</w:t>
                  </w:r>
                </w:p>
              </w:tc>
              <w:tc>
                <w:tcPr>
                  <w:tcW w:w="497" w:type="pct"/>
                  <w:vAlign w:val="center"/>
                </w:tcPr>
                <w:p w14:paraId="68004753">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31" w:type="pct"/>
                  <w:vMerge w:val="restart"/>
                  <w:vAlign w:val="center"/>
                </w:tcPr>
                <w:p w14:paraId="62BE6F97">
                  <w:pPr>
                    <w:jc w:val="center"/>
                    <w:rPr>
                      <w:color w:val="000000" w:themeColor="text1"/>
                      <w:szCs w:val="21"/>
                      <w:lang w:val="zh-CN"/>
                      <w14:textFill>
                        <w14:solidFill>
                          <w14:schemeClr w14:val="tx1"/>
                        </w14:solidFill>
                      </w14:textFill>
                    </w:rPr>
                  </w:pPr>
                  <w:r>
                    <w:rPr>
                      <w:color w:val="000000" w:themeColor="text1"/>
                      <w:szCs w:val="21"/>
                      <w14:textFill>
                        <w14:solidFill>
                          <w14:schemeClr w14:val="tx1"/>
                        </w14:solidFill>
                      </w14:textFill>
                    </w:rPr>
                    <w:t>低氮燃烧器</w:t>
                  </w:r>
                  <w:r>
                    <w:rPr>
                      <w:color w:val="000000" w:themeColor="text1"/>
                      <w:szCs w:val="21"/>
                      <w:lang w:val="zh-CN"/>
                      <w14:textFill>
                        <w14:solidFill>
                          <w14:schemeClr w14:val="tx1"/>
                        </w14:solidFill>
                      </w14:textFill>
                    </w:rPr>
                    <w:t>故障，按最不利情况，考虑，处理效率为0%</w:t>
                  </w:r>
                </w:p>
              </w:tc>
              <w:tc>
                <w:tcPr>
                  <w:tcW w:w="628" w:type="pct"/>
                  <w:shd w:val="clear" w:color="auto" w:fill="auto"/>
                  <w:vAlign w:val="center"/>
                </w:tcPr>
                <w:p w14:paraId="4254B5D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c>
                <w:tcPr>
                  <w:tcW w:w="524" w:type="pct"/>
                  <w:shd w:val="clear" w:color="auto" w:fill="auto"/>
                  <w:vAlign w:val="center"/>
                </w:tcPr>
                <w:p w14:paraId="17A5099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896" w:type="pct"/>
                  <w:vAlign w:val="center"/>
                </w:tcPr>
                <w:p w14:paraId="3F6662C3">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vAlign w:val="center"/>
                </w:tcPr>
                <w:p w14:paraId="139040A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367" w:type="pct"/>
                  <w:vAlign w:val="center"/>
                </w:tcPr>
                <w:p w14:paraId="4E09ABE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vAlign w:val="center"/>
                </w:tcPr>
                <w:p w14:paraId="4335D6E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w:t>
                  </w:r>
                  <w:r>
                    <w:rPr>
                      <w:color w:val="000000" w:themeColor="text1"/>
                      <w:szCs w:val="21"/>
                      <w14:textFill>
                        <w14:solidFill>
                          <w14:schemeClr w14:val="tx1"/>
                        </w14:solidFill>
                      </w14:textFill>
                    </w:rPr>
                    <w:t>超标</w:t>
                  </w:r>
                </w:p>
              </w:tc>
            </w:tr>
            <w:tr w14:paraId="5345100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4" w:hRule="atLeast"/>
                <w:jc w:val="center"/>
              </w:trPr>
              <w:tc>
                <w:tcPr>
                  <w:tcW w:w="589" w:type="pct"/>
                  <w:vMerge w:val="continue"/>
                  <w:vAlign w:val="center"/>
                </w:tcPr>
                <w:p w14:paraId="148805EB">
                  <w:pPr>
                    <w:pStyle w:val="49"/>
                    <w:rPr>
                      <w:color w:val="000000" w:themeColor="text1"/>
                      <w:szCs w:val="21"/>
                      <w14:textFill>
                        <w14:solidFill>
                          <w14:schemeClr w14:val="tx1"/>
                        </w14:solidFill>
                      </w14:textFill>
                    </w:rPr>
                  </w:pPr>
                </w:p>
              </w:tc>
              <w:tc>
                <w:tcPr>
                  <w:tcW w:w="497" w:type="pct"/>
                  <w:vAlign w:val="center"/>
                </w:tcPr>
                <w:p w14:paraId="4212DB46">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631" w:type="pct"/>
                  <w:vMerge w:val="continue"/>
                  <w:vAlign w:val="center"/>
                </w:tcPr>
                <w:p w14:paraId="1F0F3704">
                  <w:pPr>
                    <w:jc w:val="center"/>
                    <w:rPr>
                      <w:color w:val="000000" w:themeColor="text1"/>
                      <w:szCs w:val="21"/>
                      <w:lang w:val="zh-CN"/>
                      <w14:textFill>
                        <w14:solidFill>
                          <w14:schemeClr w14:val="tx1"/>
                        </w14:solidFill>
                      </w14:textFill>
                    </w:rPr>
                  </w:pPr>
                </w:p>
              </w:tc>
              <w:tc>
                <w:tcPr>
                  <w:tcW w:w="628" w:type="pct"/>
                  <w:shd w:val="clear" w:color="auto" w:fill="auto"/>
                  <w:vAlign w:val="center"/>
                </w:tcPr>
                <w:p w14:paraId="66EC5C4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c>
                <w:tcPr>
                  <w:tcW w:w="524" w:type="pct"/>
                  <w:shd w:val="clear" w:color="auto" w:fill="auto"/>
                  <w:vAlign w:val="center"/>
                </w:tcPr>
                <w:p w14:paraId="451FAA2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w:t>
                  </w:r>
                </w:p>
              </w:tc>
              <w:tc>
                <w:tcPr>
                  <w:tcW w:w="896" w:type="pct"/>
                  <w:vAlign w:val="center"/>
                </w:tcPr>
                <w:p w14:paraId="6D71F437">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vAlign w:val="center"/>
                </w:tcPr>
                <w:p w14:paraId="7B0C56B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367" w:type="pct"/>
                  <w:vAlign w:val="center"/>
                </w:tcPr>
                <w:p w14:paraId="5D3F788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vAlign w:val="center"/>
                </w:tcPr>
                <w:p w14:paraId="3A8B1B9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w:t>
                  </w:r>
                  <w:r>
                    <w:rPr>
                      <w:color w:val="000000" w:themeColor="text1"/>
                      <w:szCs w:val="21"/>
                      <w14:textFill>
                        <w14:solidFill>
                          <w14:schemeClr w14:val="tx1"/>
                        </w14:solidFill>
                      </w14:textFill>
                    </w:rPr>
                    <w:t>超标</w:t>
                  </w:r>
                </w:p>
              </w:tc>
            </w:tr>
            <w:tr w14:paraId="3510B58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continue"/>
                  <w:vAlign w:val="center"/>
                </w:tcPr>
                <w:p w14:paraId="478535F9">
                  <w:pPr>
                    <w:pStyle w:val="49"/>
                    <w:rPr>
                      <w:color w:val="000000" w:themeColor="text1"/>
                      <w:szCs w:val="21"/>
                      <w14:textFill>
                        <w14:solidFill>
                          <w14:schemeClr w14:val="tx1"/>
                        </w14:solidFill>
                      </w14:textFill>
                    </w:rPr>
                  </w:pPr>
                </w:p>
              </w:tc>
              <w:tc>
                <w:tcPr>
                  <w:tcW w:w="497" w:type="pct"/>
                  <w:vAlign w:val="center"/>
                </w:tcPr>
                <w:p w14:paraId="56CF9348">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p>
              </w:tc>
              <w:tc>
                <w:tcPr>
                  <w:tcW w:w="631" w:type="pct"/>
                  <w:vMerge w:val="continue"/>
                  <w:vAlign w:val="center"/>
                </w:tcPr>
                <w:p w14:paraId="3A546CEE">
                  <w:pPr>
                    <w:jc w:val="center"/>
                    <w:rPr>
                      <w:color w:val="000000" w:themeColor="text1"/>
                      <w:szCs w:val="21"/>
                      <w:lang w:val="zh-CN"/>
                      <w14:textFill>
                        <w14:solidFill>
                          <w14:schemeClr w14:val="tx1"/>
                        </w14:solidFill>
                      </w14:textFill>
                    </w:rPr>
                  </w:pPr>
                </w:p>
              </w:tc>
              <w:tc>
                <w:tcPr>
                  <w:tcW w:w="628" w:type="pct"/>
                  <w:shd w:val="clear" w:color="auto" w:fill="auto"/>
                  <w:vAlign w:val="center"/>
                </w:tcPr>
                <w:p w14:paraId="30BCD9C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 xml:space="preserve">173.638 </w:t>
                  </w:r>
                </w:p>
              </w:tc>
              <w:tc>
                <w:tcPr>
                  <w:tcW w:w="524" w:type="pct"/>
                  <w:shd w:val="clear" w:color="auto" w:fill="auto"/>
                  <w:vAlign w:val="center"/>
                </w:tcPr>
                <w:p w14:paraId="5BA0D59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w:t>
                  </w:r>
                  <w:r>
                    <w:rPr>
                      <w:rFonts w:hint="eastAsia"/>
                      <w:color w:val="000000" w:themeColor="text1"/>
                      <w:kern w:val="0"/>
                      <w:szCs w:val="21"/>
                      <w:lang w:bidi="ar"/>
                      <w14:textFill>
                        <w14:solidFill>
                          <w14:schemeClr w14:val="tx1"/>
                        </w14:solidFill>
                      </w14:textFill>
                    </w:rPr>
                    <w:t>43</w:t>
                  </w:r>
                </w:p>
              </w:tc>
              <w:tc>
                <w:tcPr>
                  <w:tcW w:w="896" w:type="pct"/>
                  <w:vAlign w:val="center"/>
                </w:tcPr>
                <w:p w14:paraId="6540E138">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vAlign w:val="center"/>
                </w:tcPr>
                <w:p w14:paraId="71604A3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367" w:type="pct"/>
                  <w:vAlign w:val="center"/>
                </w:tcPr>
                <w:p w14:paraId="78511F2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vAlign w:val="center"/>
                </w:tcPr>
                <w:p w14:paraId="02A3825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超标</w:t>
                  </w:r>
                </w:p>
              </w:tc>
            </w:tr>
            <w:tr w14:paraId="519F160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restart"/>
                  <w:vAlign w:val="center"/>
                </w:tcPr>
                <w:p w14:paraId="5534FC1C">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4</w:t>
                  </w:r>
                </w:p>
              </w:tc>
              <w:tc>
                <w:tcPr>
                  <w:tcW w:w="497" w:type="pct"/>
                  <w:vAlign w:val="center"/>
                </w:tcPr>
                <w:p w14:paraId="65E9D0D7">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31" w:type="pct"/>
                  <w:vMerge w:val="restart"/>
                  <w:vAlign w:val="center"/>
                </w:tcPr>
                <w:p w14:paraId="499129C0">
                  <w:pPr>
                    <w:jc w:val="center"/>
                    <w:rPr>
                      <w:color w:val="000000" w:themeColor="text1"/>
                      <w:szCs w:val="21"/>
                      <w:lang w:val="zh-CN"/>
                      <w14:textFill>
                        <w14:solidFill>
                          <w14:schemeClr w14:val="tx1"/>
                        </w14:solidFill>
                      </w14:textFill>
                    </w:rPr>
                  </w:pPr>
                  <w:r>
                    <w:rPr>
                      <w:color w:val="000000" w:themeColor="text1"/>
                      <w:szCs w:val="21"/>
                      <w14:textFill>
                        <w14:solidFill>
                          <w14:schemeClr w14:val="tx1"/>
                        </w14:solidFill>
                      </w14:textFill>
                    </w:rPr>
                    <w:t>低氮燃烧器</w:t>
                  </w:r>
                  <w:r>
                    <w:rPr>
                      <w:color w:val="000000" w:themeColor="text1"/>
                      <w:szCs w:val="21"/>
                      <w:lang w:val="zh-CN"/>
                      <w14:textFill>
                        <w14:solidFill>
                          <w14:schemeClr w14:val="tx1"/>
                        </w14:solidFill>
                      </w14:textFill>
                    </w:rPr>
                    <w:t>故障，按最不利情况，考虑，处理效率为0%</w:t>
                  </w:r>
                </w:p>
              </w:tc>
              <w:tc>
                <w:tcPr>
                  <w:tcW w:w="628" w:type="pct"/>
                  <w:shd w:val="clear" w:color="auto" w:fill="auto"/>
                  <w:vAlign w:val="center"/>
                </w:tcPr>
                <w:p w14:paraId="2BC63DE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4.640</w:t>
                  </w:r>
                </w:p>
              </w:tc>
              <w:tc>
                <w:tcPr>
                  <w:tcW w:w="524" w:type="pct"/>
                  <w:shd w:val="clear" w:color="auto" w:fill="auto"/>
                  <w:vAlign w:val="center"/>
                </w:tcPr>
                <w:p w14:paraId="4E625C4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896" w:type="pct"/>
                  <w:vAlign w:val="center"/>
                </w:tcPr>
                <w:p w14:paraId="2AF0E307">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vAlign w:val="center"/>
                </w:tcPr>
                <w:p w14:paraId="5515884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c>
                <w:tcPr>
                  <w:tcW w:w="367" w:type="pct"/>
                  <w:vAlign w:val="center"/>
                </w:tcPr>
                <w:p w14:paraId="3B2B4B4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vAlign w:val="center"/>
                </w:tcPr>
                <w:p w14:paraId="244F25F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w:t>
                  </w:r>
                  <w:r>
                    <w:rPr>
                      <w:color w:val="000000" w:themeColor="text1"/>
                      <w:szCs w:val="21"/>
                      <w14:textFill>
                        <w14:solidFill>
                          <w14:schemeClr w14:val="tx1"/>
                        </w14:solidFill>
                      </w14:textFill>
                    </w:rPr>
                    <w:t>超标</w:t>
                  </w:r>
                </w:p>
              </w:tc>
            </w:tr>
            <w:tr w14:paraId="0930683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continue"/>
                  <w:vAlign w:val="center"/>
                </w:tcPr>
                <w:p w14:paraId="08DB268D">
                  <w:pPr>
                    <w:pStyle w:val="49"/>
                    <w:rPr>
                      <w:color w:val="000000" w:themeColor="text1"/>
                      <w:szCs w:val="21"/>
                      <w14:textFill>
                        <w14:solidFill>
                          <w14:schemeClr w14:val="tx1"/>
                        </w14:solidFill>
                      </w14:textFill>
                    </w:rPr>
                  </w:pPr>
                </w:p>
              </w:tc>
              <w:tc>
                <w:tcPr>
                  <w:tcW w:w="497" w:type="pct"/>
                  <w:vAlign w:val="center"/>
                </w:tcPr>
                <w:p w14:paraId="5C3A9F36">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631" w:type="pct"/>
                  <w:vMerge w:val="continue"/>
                  <w:vAlign w:val="center"/>
                </w:tcPr>
                <w:p w14:paraId="39B939C7">
                  <w:pPr>
                    <w:jc w:val="center"/>
                    <w:rPr>
                      <w:color w:val="000000" w:themeColor="text1"/>
                      <w:szCs w:val="21"/>
                      <w:lang w:val="zh-CN"/>
                      <w14:textFill>
                        <w14:solidFill>
                          <w14:schemeClr w14:val="tx1"/>
                        </w14:solidFill>
                      </w14:textFill>
                    </w:rPr>
                  </w:pPr>
                </w:p>
              </w:tc>
              <w:tc>
                <w:tcPr>
                  <w:tcW w:w="628" w:type="pct"/>
                  <w:shd w:val="clear" w:color="auto" w:fill="auto"/>
                  <w:vAlign w:val="center"/>
                </w:tcPr>
                <w:p w14:paraId="6DFCB25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3.712</w:t>
                  </w:r>
                </w:p>
              </w:tc>
              <w:tc>
                <w:tcPr>
                  <w:tcW w:w="524" w:type="pct"/>
                  <w:shd w:val="clear" w:color="auto" w:fill="auto"/>
                  <w:vAlign w:val="center"/>
                </w:tcPr>
                <w:p w14:paraId="3451830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0.002</w:t>
                  </w:r>
                </w:p>
              </w:tc>
              <w:tc>
                <w:tcPr>
                  <w:tcW w:w="896" w:type="pct"/>
                  <w:vAlign w:val="center"/>
                </w:tcPr>
                <w:p w14:paraId="406CA961">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vAlign w:val="center"/>
                </w:tcPr>
                <w:p w14:paraId="0306F62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367" w:type="pct"/>
                  <w:vAlign w:val="center"/>
                </w:tcPr>
                <w:p w14:paraId="7C29620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vAlign w:val="center"/>
                </w:tcPr>
                <w:p w14:paraId="1034F32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w:t>
                  </w:r>
                  <w:r>
                    <w:rPr>
                      <w:color w:val="000000" w:themeColor="text1"/>
                      <w:szCs w:val="21"/>
                      <w14:textFill>
                        <w14:solidFill>
                          <w14:schemeClr w14:val="tx1"/>
                        </w14:solidFill>
                      </w14:textFill>
                    </w:rPr>
                    <w:t>超标</w:t>
                  </w:r>
                </w:p>
              </w:tc>
            </w:tr>
            <w:tr w14:paraId="3B3A0A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continue"/>
                  <w:vAlign w:val="center"/>
                </w:tcPr>
                <w:p w14:paraId="23E90294">
                  <w:pPr>
                    <w:pStyle w:val="49"/>
                    <w:rPr>
                      <w:color w:val="000000" w:themeColor="text1"/>
                      <w:szCs w:val="21"/>
                      <w14:textFill>
                        <w14:solidFill>
                          <w14:schemeClr w14:val="tx1"/>
                        </w14:solidFill>
                      </w14:textFill>
                    </w:rPr>
                  </w:pPr>
                </w:p>
              </w:tc>
              <w:tc>
                <w:tcPr>
                  <w:tcW w:w="497" w:type="pct"/>
                  <w:vAlign w:val="center"/>
                </w:tcPr>
                <w:p w14:paraId="5960FF03">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p>
              </w:tc>
              <w:tc>
                <w:tcPr>
                  <w:tcW w:w="631" w:type="pct"/>
                  <w:vMerge w:val="continue"/>
                  <w:vAlign w:val="center"/>
                </w:tcPr>
                <w:p w14:paraId="5F298A53">
                  <w:pPr>
                    <w:jc w:val="center"/>
                    <w:rPr>
                      <w:color w:val="000000" w:themeColor="text1"/>
                      <w:szCs w:val="21"/>
                      <w:lang w:val="zh-CN"/>
                      <w14:textFill>
                        <w14:solidFill>
                          <w14:schemeClr w14:val="tx1"/>
                        </w14:solidFill>
                      </w14:textFill>
                    </w:rPr>
                  </w:pPr>
                </w:p>
              </w:tc>
              <w:tc>
                <w:tcPr>
                  <w:tcW w:w="628" w:type="pct"/>
                  <w:shd w:val="clear" w:color="auto" w:fill="auto"/>
                  <w:vAlign w:val="center"/>
                </w:tcPr>
                <w:p w14:paraId="6D5C04A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 xml:space="preserve">173.638 </w:t>
                  </w:r>
                </w:p>
              </w:tc>
              <w:tc>
                <w:tcPr>
                  <w:tcW w:w="524" w:type="pct"/>
                  <w:shd w:val="clear" w:color="auto" w:fill="auto"/>
                  <w:vAlign w:val="center"/>
                </w:tcPr>
                <w:p w14:paraId="7BB0F7F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w:t>
                  </w:r>
                  <w:r>
                    <w:rPr>
                      <w:rFonts w:hint="eastAsia"/>
                      <w:color w:val="000000" w:themeColor="text1"/>
                      <w:kern w:val="0"/>
                      <w:szCs w:val="21"/>
                      <w:lang w:bidi="ar"/>
                      <w14:textFill>
                        <w14:solidFill>
                          <w14:schemeClr w14:val="tx1"/>
                        </w14:solidFill>
                      </w14:textFill>
                    </w:rPr>
                    <w:t>72</w:t>
                  </w:r>
                </w:p>
              </w:tc>
              <w:tc>
                <w:tcPr>
                  <w:tcW w:w="896" w:type="pct"/>
                  <w:vAlign w:val="center"/>
                </w:tcPr>
                <w:p w14:paraId="6BD7BDF1">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vAlign w:val="center"/>
                </w:tcPr>
                <w:p w14:paraId="052227E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367" w:type="pct"/>
                  <w:vAlign w:val="center"/>
                </w:tcPr>
                <w:p w14:paraId="7B45727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vAlign w:val="center"/>
                </w:tcPr>
                <w:p w14:paraId="46EA982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超标</w:t>
                  </w:r>
                </w:p>
              </w:tc>
            </w:tr>
            <w:tr w14:paraId="310D5C3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Align w:val="center"/>
                </w:tcPr>
                <w:p w14:paraId="21656CD8">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5</w:t>
                  </w:r>
                </w:p>
              </w:tc>
              <w:tc>
                <w:tcPr>
                  <w:tcW w:w="497" w:type="pct"/>
                  <w:shd w:val="clear" w:color="auto" w:fill="auto"/>
                  <w:vAlign w:val="center"/>
                </w:tcPr>
                <w:p w14:paraId="2E16721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631" w:type="pct"/>
                  <w:vMerge w:val="restart"/>
                  <w:vAlign w:val="center"/>
                </w:tcPr>
                <w:p w14:paraId="267BBCAA">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废气处理设施故障，按最不利情况，考虑，处理效率为0%</w:t>
                  </w:r>
                </w:p>
              </w:tc>
              <w:tc>
                <w:tcPr>
                  <w:tcW w:w="628" w:type="pct"/>
                  <w:shd w:val="clear" w:color="auto" w:fill="auto"/>
                  <w:vAlign w:val="center"/>
                </w:tcPr>
                <w:p w14:paraId="3D94DA9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11.0</w:t>
                  </w:r>
                </w:p>
              </w:tc>
              <w:tc>
                <w:tcPr>
                  <w:tcW w:w="524" w:type="pct"/>
                  <w:shd w:val="clear" w:color="auto" w:fill="auto"/>
                  <w:vAlign w:val="center"/>
                </w:tcPr>
                <w:p w14:paraId="6F9145A2">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0.011</w:t>
                  </w:r>
                </w:p>
              </w:tc>
              <w:tc>
                <w:tcPr>
                  <w:tcW w:w="896" w:type="pct"/>
                  <w:shd w:val="clear" w:color="auto" w:fill="auto"/>
                  <w:vAlign w:val="center"/>
                </w:tcPr>
                <w:p w14:paraId="3A466495">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shd w:val="clear" w:color="auto" w:fill="auto"/>
                  <w:vAlign w:val="center"/>
                </w:tcPr>
                <w:p w14:paraId="223B4D0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367" w:type="pct"/>
                  <w:vAlign w:val="center"/>
                </w:tcPr>
                <w:p w14:paraId="3741B67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shd w:val="clear" w:color="auto" w:fill="auto"/>
                  <w:vAlign w:val="center"/>
                </w:tcPr>
                <w:p w14:paraId="2EDF38B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w:t>
                  </w:r>
                  <w:r>
                    <w:rPr>
                      <w:color w:val="000000" w:themeColor="text1"/>
                      <w:szCs w:val="21"/>
                      <w14:textFill>
                        <w14:solidFill>
                          <w14:schemeClr w14:val="tx1"/>
                        </w14:solidFill>
                      </w14:textFill>
                    </w:rPr>
                    <w:t>超标</w:t>
                  </w:r>
                </w:p>
              </w:tc>
            </w:tr>
            <w:tr w14:paraId="37E608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shd w:val="clear" w:color="auto" w:fill="auto"/>
                  <w:vAlign w:val="center"/>
                </w:tcPr>
                <w:p w14:paraId="1FFAE55D">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6</w:t>
                  </w:r>
                </w:p>
              </w:tc>
              <w:tc>
                <w:tcPr>
                  <w:tcW w:w="497" w:type="pct"/>
                  <w:shd w:val="clear" w:color="auto" w:fill="auto"/>
                  <w:vAlign w:val="center"/>
                </w:tcPr>
                <w:p w14:paraId="23899205">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631" w:type="pct"/>
                  <w:vMerge w:val="continue"/>
                  <w:vAlign w:val="center"/>
                </w:tcPr>
                <w:p w14:paraId="1BB4907D">
                  <w:pPr>
                    <w:jc w:val="center"/>
                    <w:rPr>
                      <w:color w:val="000000" w:themeColor="text1"/>
                      <w:szCs w:val="21"/>
                      <w:lang w:val="zh-CN"/>
                      <w14:textFill>
                        <w14:solidFill>
                          <w14:schemeClr w14:val="tx1"/>
                        </w14:solidFill>
                      </w14:textFill>
                    </w:rPr>
                  </w:pPr>
                </w:p>
              </w:tc>
              <w:tc>
                <w:tcPr>
                  <w:tcW w:w="628" w:type="pct"/>
                  <w:shd w:val="clear" w:color="auto" w:fill="auto"/>
                  <w:vAlign w:val="center"/>
                </w:tcPr>
                <w:p w14:paraId="52D2050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197.368</w:t>
                  </w:r>
                </w:p>
              </w:tc>
              <w:tc>
                <w:tcPr>
                  <w:tcW w:w="524" w:type="pct"/>
                  <w:shd w:val="clear" w:color="auto" w:fill="auto"/>
                  <w:vAlign w:val="center"/>
                </w:tcPr>
                <w:p w14:paraId="1D6A83E8">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w:t>
                  </w:r>
                  <w:r>
                    <w:rPr>
                      <w:rFonts w:hint="eastAsia"/>
                      <w:color w:val="000000" w:themeColor="text1"/>
                      <w:szCs w:val="21"/>
                      <w14:textFill>
                        <w14:solidFill>
                          <w14:schemeClr w14:val="tx1"/>
                        </w14:solidFill>
                      </w14:textFill>
                    </w:rPr>
                    <w:t>197</w:t>
                  </w:r>
                </w:p>
              </w:tc>
              <w:tc>
                <w:tcPr>
                  <w:tcW w:w="896" w:type="pct"/>
                  <w:shd w:val="clear" w:color="auto" w:fill="auto"/>
                  <w:vAlign w:val="center"/>
                </w:tcPr>
                <w:p w14:paraId="6DEE66EB">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shd w:val="clear" w:color="auto" w:fill="auto"/>
                  <w:vAlign w:val="center"/>
                </w:tcPr>
                <w:p w14:paraId="5F12AFF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c>
                <w:tcPr>
                  <w:tcW w:w="367" w:type="pct"/>
                  <w:shd w:val="clear" w:color="auto" w:fill="auto"/>
                  <w:vAlign w:val="center"/>
                </w:tcPr>
                <w:p w14:paraId="09FBB16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47" w:type="pct"/>
                  <w:shd w:val="clear" w:color="auto" w:fill="auto"/>
                  <w:vAlign w:val="center"/>
                </w:tcPr>
                <w:p w14:paraId="5560335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超标</w:t>
                  </w:r>
                </w:p>
              </w:tc>
            </w:tr>
            <w:tr w14:paraId="7481432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restart"/>
                  <w:shd w:val="clear" w:color="auto" w:fill="auto"/>
                  <w:vAlign w:val="center"/>
                </w:tcPr>
                <w:p w14:paraId="141883DE">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7</w:t>
                  </w:r>
                </w:p>
              </w:tc>
              <w:tc>
                <w:tcPr>
                  <w:tcW w:w="497" w:type="pct"/>
                  <w:shd w:val="clear" w:color="auto" w:fill="auto"/>
                  <w:vAlign w:val="center"/>
                </w:tcPr>
                <w:p w14:paraId="212641FF">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631" w:type="pct"/>
                  <w:vMerge w:val="continue"/>
                  <w:vAlign w:val="center"/>
                </w:tcPr>
                <w:p w14:paraId="35FE59F6">
                  <w:pPr>
                    <w:jc w:val="center"/>
                    <w:rPr>
                      <w:color w:val="000000" w:themeColor="text1"/>
                      <w:szCs w:val="21"/>
                      <w:lang w:val="zh-CN"/>
                      <w14:textFill>
                        <w14:solidFill>
                          <w14:schemeClr w14:val="tx1"/>
                        </w14:solidFill>
                      </w14:textFill>
                    </w:rPr>
                  </w:pPr>
                </w:p>
              </w:tc>
              <w:tc>
                <w:tcPr>
                  <w:tcW w:w="628" w:type="pct"/>
                  <w:shd w:val="clear" w:color="auto" w:fill="auto"/>
                  <w:vAlign w:val="center"/>
                </w:tcPr>
                <w:p w14:paraId="1A5488D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1.389</w:t>
                  </w:r>
                </w:p>
              </w:tc>
              <w:tc>
                <w:tcPr>
                  <w:tcW w:w="524" w:type="pct"/>
                  <w:shd w:val="clear" w:color="auto" w:fill="auto"/>
                  <w:vAlign w:val="center"/>
                </w:tcPr>
                <w:p w14:paraId="44C27A9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0.0014</w:t>
                  </w:r>
                </w:p>
              </w:tc>
              <w:tc>
                <w:tcPr>
                  <w:tcW w:w="896" w:type="pct"/>
                  <w:shd w:val="clear" w:color="auto" w:fill="auto"/>
                  <w:vAlign w:val="center"/>
                </w:tcPr>
                <w:p w14:paraId="158815D7">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shd w:val="clear" w:color="auto" w:fill="auto"/>
                  <w:vAlign w:val="center"/>
                </w:tcPr>
                <w:p w14:paraId="2C80E85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67" w:type="pct"/>
                  <w:shd w:val="clear" w:color="auto" w:fill="auto"/>
                  <w:vAlign w:val="center"/>
                </w:tcPr>
                <w:p w14:paraId="443C749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4.9</w:t>
                  </w:r>
                </w:p>
              </w:tc>
              <w:tc>
                <w:tcPr>
                  <w:tcW w:w="639" w:type="dxa"/>
                  <w:shd w:val="clear" w:color="auto" w:fill="auto"/>
                  <w:vAlign w:val="center"/>
                </w:tcPr>
                <w:p w14:paraId="6A2C65D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w:t>
                  </w:r>
                  <w:r>
                    <w:rPr>
                      <w:color w:val="000000" w:themeColor="text1"/>
                      <w:szCs w:val="21"/>
                      <w14:textFill>
                        <w14:solidFill>
                          <w14:schemeClr w14:val="tx1"/>
                        </w14:solidFill>
                      </w14:textFill>
                    </w:rPr>
                    <w:t>超标</w:t>
                  </w:r>
                </w:p>
              </w:tc>
            </w:tr>
            <w:tr w14:paraId="6D91E8B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89" w:type="pct"/>
                  <w:vMerge w:val="continue"/>
                  <w:shd w:val="clear" w:color="auto" w:fill="auto"/>
                  <w:vAlign w:val="center"/>
                </w:tcPr>
                <w:p w14:paraId="4029E14F">
                  <w:pPr>
                    <w:pStyle w:val="49"/>
                    <w:rPr>
                      <w:color w:val="000000" w:themeColor="text1"/>
                      <w:szCs w:val="21"/>
                      <w14:textFill>
                        <w14:solidFill>
                          <w14:schemeClr w14:val="tx1"/>
                        </w14:solidFill>
                      </w14:textFill>
                    </w:rPr>
                  </w:pPr>
                </w:p>
              </w:tc>
              <w:tc>
                <w:tcPr>
                  <w:tcW w:w="497" w:type="pct"/>
                  <w:shd w:val="clear" w:color="auto" w:fill="auto"/>
                  <w:vAlign w:val="center"/>
                </w:tcPr>
                <w:p w14:paraId="68471F4A">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631" w:type="pct"/>
                  <w:vMerge w:val="continue"/>
                  <w:vAlign w:val="center"/>
                </w:tcPr>
                <w:p w14:paraId="478CE15D">
                  <w:pPr>
                    <w:jc w:val="center"/>
                    <w:rPr>
                      <w:color w:val="000000" w:themeColor="text1"/>
                      <w:szCs w:val="21"/>
                      <w:lang w:val="zh-CN"/>
                      <w14:textFill>
                        <w14:solidFill>
                          <w14:schemeClr w14:val="tx1"/>
                        </w14:solidFill>
                      </w14:textFill>
                    </w:rPr>
                  </w:pPr>
                </w:p>
              </w:tc>
              <w:tc>
                <w:tcPr>
                  <w:tcW w:w="628" w:type="pct"/>
                  <w:shd w:val="clear" w:color="auto" w:fill="auto"/>
                  <w:vAlign w:val="center"/>
                </w:tcPr>
                <w:p w14:paraId="0DD61C6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0.052</w:t>
                  </w:r>
                </w:p>
              </w:tc>
              <w:tc>
                <w:tcPr>
                  <w:tcW w:w="524" w:type="pct"/>
                  <w:shd w:val="clear" w:color="auto" w:fill="auto"/>
                  <w:vAlign w:val="center"/>
                </w:tcPr>
                <w:p w14:paraId="404BF14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0.00005</w:t>
                  </w:r>
                </w:p>
              </w:tc>
              <w:tc>
                <w:tcPr>
                  <w:tcW w:w="896" w:type="pct"/>
                  <w:shd w:val="clear" w:color="auto" w:fill="auto"/>
                  <w:vAlign w:val="center"/>
                </w:tcPr>
                <w:p w14:paraId="7610640E">
                  <w:pPr>
                    <w:jc w:val="center"/>
                    <w:rPr>
                      <w:color w:val="000000" w:themeColor="text1"/>
                      <w:szCs w:val="21"/>
                      <w:lang w:val="zh-CN"/>
                      <w14:textFill>
                        <w14:solidFill>
                          <w14:schemeClr w14:val="tx1"/>
                        </w14:solidFill>
                      </w14:textFill>
                    </w:rPr>
                  </w:pPr>
                  <w:r>
                    <w:rPr>
                      <w:color w:val="000000" w:themeColor="text1"/>
                      <w:szCs w:val="21"/>
                      <w:lang w:val="zh-CN"/>
                      <w14:textFill>
                        <w14:solidFill>
                          <w14:schemeClr w14:val="tx1"/>
                        </w14:solidFill>
                      </w14:textFill>
                    </w:rPr>
                    <w:t>1-2次/a，1h/次</w:t>
                  </w:r>
                </w:p>
              </w:tc>
              <w:tc>
                <w:tcPr>
                  <w:tcW w:w="518" w:type="pct"/>
                  <w:shd w:val="clear" w:color="auto" w:fill="auto"/>
                  <w:vAlign w:val="center"/>
                </w:tcPr>
                <w:p w14:paraId="517D36F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367" w:type="pct"/>
                  <w:shd w:val="clear" w:color="auto" w:fill="auto"/>
                  <w:vAlign w:val="center"/>
                </w:tcPr>
                <w:p w14:paraId="0F419E0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0.33</w:t>
                  </w:r>
                </w:p>
              </w:tc>
              <w:tc>
                <w:tcPr>
                  <w:tcW w:w="639" w:type="dxa"/>
                  <w:shd w:val="clear" w:color="auto" w:fill="auto"/>
                  <w:vAlign w:val="center"/>
                </w:tcPr>
                <w:p w14:paraId="54A4FC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未</w:t>
                  </w:r>
                  <w:r>
                    <w:rPr>
                      <w:color w:val="000000" w:themeColor="text1"/>
                      <w:szCs w:val="21"/>
                      <w14:textFill>
                        <w14:solidFill>
                          <w14:schemeClr w14:val="tx1"/>
                        </w14:solidFill>
                      </w14:textFill>
                    </w:rPr>
                    <w:t>超标</w:t>
                  </w:r>
                </w:p>
              </w:tc>
            </w:tr>
          </w:tbl>
          <w:p w14:paraId="6DF36BF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由上表可知，非正常工况下，项目</w:t>
            </w:r>
            <w:r>
              <w:rPr>
                <w:rFonts w:hint="eastAsia"/>
                <w:color w:val="000000" w:themeColor="text1"/>
                <w:sz w:val="24"/>
                <w14:textFill>
                  <w14:solidFill>
                    <w14:schemeClr w14:val="tx1"/>
                  </w14:solidFill>
                </w14:textFill>
              </w:rPr>
              <w:t>DA001-DA004、DA006</w:t>
            </w:r>
            <w:r>
              <w:rPr>
                <w:color w:val="000000" w:themeColor="text1"/>
                <w:sz w:val="24"/>
                <w14:textFill>
                  <w14:solidFill>
                    <w14:schemeClr w14:val="tx1"/>
                  </w14:solidFill>
                </w14:textFill>
              </w:rPr>
              <w:t>有组织排放浓度超标。为防止生产废气非正常工况排放，企业必须加强废气处理设施的管理，定期检修，确保废气处理设施正常运行，在废气处理设备停止运行或出现故障时，产生废气的各工序也必须相应停止生产。为杜绝废气非正常排放，应采取以下措施确保废气达标排放：</w:t>
            </w:r>
          </w:p>
          <w:p w14:paraId="6CA7574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①安排专人负责环保设备的日常维护和管理，每隔固定时间检查、汇报情况，及时发现废气处理设备的隐患，确保废气处理系统正常运行；</w:t>
            </w:r>
          </w:p>
          <w:p w14:paraId="576B9C12">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②建立健全的环保管理机构，对环保管理人员和技术人员进行岗位培训，委托具有专业资质的环境检测单位对项目排放的各类污染物进行定期检测；</w:t>
            </w:r>
          </w:p>
          <w:p w14:paraId="685EE00C">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③应定期维护、检修废气净化装置，以保持废气处理装置的净化能力和净化容量。</w:t>
            </w:r>
          </w:p>
          <w:p w14:paraId="1B7291C7">
            <w:pPr>
              <w:widowControl/>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bCs/>
                <w:color w:val="000000" w:themeColor="text1"/>
                <w:kern w:val="0"/>
                <w:sz w:val="24"/>
                <w14:textFill>
                  <w14:solidFill>
                    <w14:schemeClr w14:val="tx1"/>
                  </w14:solidFill>
                </w14:textFill>
              </w:rPr>
              <w:t>1</w:t>
            </w:r>
            <w:r>
              <w:rPr>
                <w:bCs/>
                <w:color w:val="000000" w:themeColor="text1"/>
                <w:kern w:val="0"/>
                <w:sz w:val="24"/>
                <w14:textFill>
                  <w14:solidFill>
                    <w14:schemeClr w14:val="tx1"/>
                  </w14:solidFill>
                </w14:textFill>
              </w:rPr>
              <w:t>.</w:t>
            </w:r>
            <w:r>
              <w:rPr>
                <w:rFonts w:hint="eastAsia"/>
                <w:bCs/>
                <w:color w:val="000000" w:themeColor="text1"/>
                <w:kern w:val="0"/>
                <w:sz w:val="24"/>
                <w14:textFill>
                  <w14:solidFill>
                    <w14:schemeClr w14:val="tx1"/>
                  </w14:solidFill>
                </w14:textFill>
              </w:rPr>
              <w:t>6</w:t>
            </w:r>
            <w:r>
              <w:rPr>
                <w:bCs/>
                <w:color w:val="000000" w:themeColor="text1"/>
                <w:kern w:val="0"/>
                <w:sz w:val="24"/>
                <w14:textFill>
                  <w14:solidFill>
                    <w14:schemeClr w14:val="tx1"/>
                  </w14:solidFill>
                </w14:textFill>
              </w:rPr>
              <w:t>废气治理措施可行性分析</w:t>
            </w:r>
          </w:p>
          <w:p w14:paraId="18C2E061">
            <w:pPr>
              <w:widowControl/>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bCs/>
                <w:color w:val="000000" w:themeColor="text1"/>
                <w:kern w:val="0"/>
                <w:sz w:val="24"/>
                <w14:textFill>
                  <w14:solidFill>
                    <w14:schemeClr w14:val="tx1"/>
                  </w14:solidFill>
                </w14:textFill>
              </w:rPr>
              <w:t>（1）原料投料、粉碎工序和袋泡茶生产过程以及热敷理疗产品</w:t>
            </w:r>
            <w:r>
              <w:rPr>
                <w:rFonts w:hint="eastAsia"/>
                <w:color w:val="000000" w:themeColor="text1"/>
                <w:kern w:val="52"/>
                <w:sz w:val="24"/>
                <w14:textFill>
                  <w14:solidFill>
                    <w14:schemeClr w14:val="tx1"/>
                  </w14:solidFill>
                </w14:textFill>
              </w:rPr>
              <w:t>上料工序</w:t>
            </w:r>
            <w:r>
              <w:rPr>
                <w:bCs/>
                <w:color w:val="000000" w:themeColor="text1"/>
                <w:kern w:val="0"/>
                <w:sz w:val="24"/>
                <w14:textFill>
                  <w14:solidFill>
                    <w14:schemeClr w14:val="tx1"/>
                  </w14:solidFill>
                </w14:textFill>
              </w:rPr>
              <w:t>废气治理措施可行性分析</w:t>
            </w:r>
          </w:p>
          <w:p w14:paraId="7319D6EF">
            <w:pPr>
              <w:widowControl/>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根据上文可知，</w:t>
            </w:r>
            <w:r>
              <w:rPr>
                <w:rFonts w:hint="eastAsia"/>
                <w:bCs/>
                <w:color w:val="000000" w:themeColor="text1"/>
                <w:kern w:val="0"/>
                <w:sz w:val="24"/>
                <w14:textFill>
                  <w14:solidFill>
                    <w14:schemeClr w14:val="tx1"/>
                  </w14:solidFill>
                </w14:textFill>
              </w:rPr>
              <w:t>本项目白酒、啤酒以及植物饮料生产线原料投料、破碎工序和袋泡茶生产过程粉尘经集气罩收集引入1套覆膜袋式除尘器（TA001）处理后通过1根15m高排气筒（DA001）排放；热敷理疗产品</w:t>
            </w:r>
            <w:r>
              <w:rPr>
                <w:rFonts w:hint="eastAsia"/>
                <w:color w:val="000000" w:themeColor="text1"/>
                <w:kern w:val="0"/>
                <w:sz w:val="24"/>
                <w:lang w:bidi="ar"/>
                <w14:textFill>
                  <w14:solidFill>
                    <w14:schemeClr w14:val="tx1"/>
                  </w14:solidFill>
                </w14:textFill>
              </w:rPr>
              <w:t>上料</w:t>
            </w:r>
            <w:r>
              <w:rPr>
                <w:color w:val="000000" w:themeColor="text1"/>
                <w:kern w:val="0"/>
                <w:sz w:val="24"/>
                <w:lang w:bidi="ar"/>
                <w14:textFill>
                  <w14:solidFill>
                    <w14:schemeClr w14:val="tx1"/>
                  </w14:solidFill>
                </w14:textFill>
              </w:rPr>
              <w:t>粉尘经集气罩收集后引入1套覆膜袋式除尘器</w:t>
            </w:r>
            <w:r>
              <w:rPr>
                <w:rFonts w:hint="eastAsia"/>
                <w:color w:val="000000" w:themeColor="text1"/>
                <w:kern w:val="0"/>
                <w:sz w:val="24"/>
                <w:lang w:bidi="ar"/>
                <w14:textFill>
                  <w14:solidFill>
                    <w14:schemeClr w14:val="tx1"/>
                  </w14:solidFill>
                </w14:textFill>
              </w:rPr>
              <w:t>（TA006）</w:t>
            </w:r>
            <w:r>
              <w:rPr>
                <w:color w:val="000000" w:themeColor="text1"/>
                <w:kern w:val="0"/>
                <w:sz w:val="24"/>
                <w:lang w:bidi="ar"/>
                <w14:textFill>
                  <w14:solidFill>
                    <w14:schemeClr w14:val="tx1"/>
                  </w14:solidFill>
                </w14:textFill>
              </w:rPr>
              <w:t>处理，处理后经1根15m高排气筒（DA00</w:t>
            </w:r>
            <w:r>
              <w:rPr>
                <w:rFonts w:hint="eastAsia"/>
                <w:color w:val="000000" w:themeColor="text1"/>
                <w:kern w:val="0"/>
                <w:sz w:val="24"/>
                <w:lang w:bidi="ar"/>
                <w14:textFill>
                  <w14:solidFill>
                    <w14:schemeClr w14:val="tx1"/>
                  </w14:solidFill>
                </w14:textFill>
              </w:rPr>
              <w:t>6</w:t>
            </w:r>
            <w:r>
              <w:rPr>
                <w:color w:val="000000" w:themeColor="text1"/>
                <w:kern w:val="0"/>
                <w:sz w:val="24"/>
                <w:lang w:bidi="ar"/>
                <w14:textFill>
                  <w14:solidFill>
                    <w14:schemeClr w14:val="tx1"/>
                  </w14:solidFill>
                </w14:textFill>
              </w:rPr>
              <w:t>）排放</w:t>
            </w:r>
            <w:r>
              <w:rPr>
                <w:rFonts w:hint="eastAsia"/>
                <w:color w:val="000000" w:themeColor="text1"/>
                <w:kern w:val="0"/>
                <w:sz w:val="24"/>
                <w:lang w:bidi="ar"/>
                <w14:textFill>
                  <w14:solidFill>
                    <w14:schemeClr w14:val="tx1"/>
                  </w14:solidFill>
                </w14:textFill>
              </w:rPr>
              <w:t>；</w:t>
            </w:r>
            <w:r>
              <w:rPr>
                <w:bCs/>
                <w:color w:val="000000" w:themeColor="text1"/>
                <w:kern w:val="0"/>
                <w:sz w:val="24"/>
                <w14:textFill>
                  <w14:solidFill>
                    <w14:schemeClr w14:val="tx1"/>
                  </w14:solidFill>
                </w14:textFill>
              </w:rPr>
              <w:t>废气具体处理工艺如下。</w:t>
            </w:r>
          </w:p>
          <w:p w14:paraId="458D0F6A">
            <w:pPr>
              <w:widowControl/>
              <w:adjustRightInd w:val="0"/>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高效覆膜袋式除尘器原理：高效覆膜袋式除尘器是在普通除尘布袋表面覆上一层膜，能够很好的提高滤袋的粉尘剥离性，并且能提高过滤效果和加强滤袋的耐腐蚀性，延长滤袋的工作寿命。一般是用聚四氟乙烯（</w:t>
            </w:r>
            <w:r>
              <w:rPr>
                <w:color w:val="000000" w:themeColor="text1"/>
                <w:kern w:val="52"/>
                <w:sz w:val="24"/>
                <w14:textFill>
                  <w14:solidFill>
                    <w14:schemeClr w14:val="tx1"/>
                  </w14:solidFill>
                </w14:textFill>
              </w:rPr>
              <w:t>PTFE</w:t>
            </w:r>
            <w:r>
              <w:rPr>
                <w:rFonts w:hint="eastAsia"/>
                <w:color w:val="000000" w:themeColor="text1"/>
                <w:kern w:val="52"/>
                <w:sz w:val="24"/>
                <w14:textFill>
                  <w14:solidFill>
                    <w14:schemeClr w14:val="tx1"/>
                  </w14:solidFill>
                </w14:textFill>
              </w:rPr>
              <w:t>）为原料，将其膨化为一种具有多微孔性的薄膜，将此薄膜用特殊工艺复合在各种除尘布袋织物或纸质基材上，使其成为一种新型的“微孔薄复合滤料”除尘布袋。覆膜除尘布袋对于各种微细粉尘具有良好的搜集，过滤作用。清灰完全，减少了粉尘在滤袋表面形成布粉层后板结的可能；滤料寿命长，加上在除尘器结构方面的改进，确保了滤料的正常使用寿命。</w:t>
            </w:r>
            <w:r>
              <w:rPr>
                <w:color w:val="000000" w:themeColor="text1"/>
                <w:kern w:val="52"/>
                <w:sz w:val="24"/>
                <w14:textFill>
                  <w14:solidFill>
                    <w14:schemeClr w14:val="tx1"/>
                  </w14:solidFill>
                </w14:textFill>
              </w:rPr>
              <w:t>PTFE</w:t>
            </w:r>
            <w:r>
              <w:rPr>
                <w:rFonts w:hint="eastAsia"/>
                <w:color w:val="000000" w:themeColor="text1"/>
                <w:kern w:val="52"/>
                <w:sz w:val="24"/>
                <w14:textFill>
                  <w14:solidFill>
                    <w14:schemeClr w14:val="tx1"/>
                  </w14:solidFill>
                </w14:textFill>
              </w:rPr>
              <w:t>覆膜除尘滤袋因其优秀的特性在除尘布袋应用领域越来越普遍。覆膜除尘布袋既坚持聚四氟乙烯所固有的高化学稳定性、低摩擦系数、耐高低温、防老化等，能抵挡细小颗粒，又有一般覆膜滤料无可比拟的透气性、防水性等特性。覆膜除尘布袋特性：透气量大、阻力低，过滤功率好、容尘量大、粉尘剥离率高是除菌、除尘的最佳滤料。</w:t>
            </w:r>
          </w:p>
          <w:p w14:paraId="5DEBB8C3">
            <w:pPr>
              <w:widowControl/>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color w:val="000000" w:themeColor="text1"/>
                <w:sz w:val="24"/>
                <w14:textFill>
                  <w14:solidFill>
                    <w14:schemeClr w14:val="tx1"/>
                  </w14:solidFill>
                </w14:textFill>
              </w:rPr>
              <w:t>经上文分析可知，DA001中颗粒物排放浓度为2.689mg/m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，DA006中颗粒物排放浓度为1.974mg/m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，可以满足</w:t>
            </w:r>
            <w:r>
              <w:rPr>
                <w:rFonts w:hint="eastAsia"/>
                <w:color w:val="000000" w:themeColor="text1"/>
                <w:sz w:val="24"/>
                <w:lang w:eastAsia="zh-CN"/>
                <w14:textFill>
                  <w14:solidFill>
                    <w14:schemeClr w14:val="tx1"/>
                  </w14:solidFill>
                </w14:textFill>
              </w:rPr>
              <w:t>《大气污染物综合排放标准》（GB16297-1996）</w:t>
            </w:r>
            <w:r>
              <w:rPr>
                <w:rFonts w:hint="eastAsia"/>
                <w:color w:val="000000" w:themeColor="text1"/>
                <w:sz w:val="24"/>
                <w14:textFill>
                  <w14:solidFill>
                    <w14:schemeClr w14:val="tx1"/>
                  </w14:solidFill>
                </w14:textFill>
              </w:rPr>
              <w:t>表2中二级标准、《河南省重污染天气通用行业应急减排措施制定技术指南》（2024年修订版）附录2中其他工序PM排放限值要求，废气处理措施可行。</w:t>
            </w:r>
          </w:p>
          <w:p w14:paraId="0B5CD2E0">
            <w:pPr>
              <w:widowControl/>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w:t>
            </w:r>
            <w:r>
              <w:rPr>
                <w:rFonts w:hint="eastAsia"/>
                <w:bCs/>
                <w:color w:val="000000" w:themeColor="text1"/>
                <w:kern w:val="0"/>
                <w:sz w:val="24"/>
                <w14:textFill>
                  <w14:solidFill>
                    <w14:schemeClr w14:val="tx1"/>
                  </w14:solidFill>
                </w14:textFill>
              </w:rPr>
              <w:t>2</w:t>
            </w:r>
            <w:r>
              <w:rPr>
                <w:bCs/>
                <w:color w:val="000000" w:themeColor="text1"/>
                <w:kern w:val="0"/>
                <w:sz w:val="24"/>
                <w14:textFill>
                  <w14:solidFill>
                    <w14:schemeClr w14:val="tx1"/>
                  </w14:solidFill>
                </w14:textFill>
              </w:rPr>
              <w:t>）</w:t>
            </w:r>
            <w:r>
              <w:rPr>
                <w:rFonts w:hint="eastAsia"/>
                <w:bCs/>
                <w:color w:val="000000" w:themeColor="text1"/>
                <w:kern w:val="0"/>
                <w:sz w:val="24"/>
                <w14:textFill>
                  <w14:solidFill>
                    <w14:schemeClr w14:val="tx1"/>
                  </w14:solidFill>
                </w14:textFill>
              </w:rPr>
              <w:t>蒸汽发生器</w:t>
            </w:r>
            <w:r>
              <w:rPr>
                <w:bCs/>
                <w:color w:val="000000" w:themeColor="text1"/>
                <w:kern w:val="0"/>
                <w:sz w:val="24"/>
                <w14:textFill>
                  <w14:solidFill>
                    <w14:schemeClr w14:val="tx1"/>
                  </w14:solidFill>
                </w14:textFill>
              </w:rPr>
              <w:t>废气治理措施可行性分析</w:t>
            </w:r>
          </w:p>
          <w:p w14:paraId="702F7232">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1台0.3t/h、1台0.5t/h以及1台1.0t/h的</w:t>
            </w:r>
            <w:r>
              <w:rPr>
                <w:rFonts w:hint="eastAsia"/>
                <w:color w:val="000000" w:themeColor="text1"/>
                <w:kern w:val="0"/>
                <w:sz w:val="24"/>
                <w14:textFill>
                  <w14:solidFill>
                    <w14:schemeClr w14:val="tx1"/>
                  </w14:solidFill>
                </w14:textFill>
              </w:rPr>
              <w:t>蒸汽发生器</w:t>
            </w:r>
            <w:r>
              <w:rPr>
                <w:rFonts w:hint="eastAsia"/>
                <w:color w:val="000000" w:themeColor="text1"/>
                <w:sz w:val="24"/>
                <w14:textFill>
                  <w14:solidFill>
                    <w14:schemeClr w14:val="tx1"/>
                  </w14:solidFill>
                </w14:textFill>
              </w:rPr>
              <w:t>天然气燃烧</w:t>
            </w:r>
            <w:r>
              <w:rPr>
                <w:color w:val="000000" w:themeColor="text1"/>
                <w:sz w:val="24"/>
                <w14:textFill>
                  <w14:solidFill>
                    <w14:schemeClr w14:val="tx1"/>
                  </w14:solidFill>
                </w14:textFill>
              </w:rPr>
              <w:t>废气采用低氮燃烧+烟气循环</w:t>
            </w:r>
            <w:r>
              <w:rPr>
                <w:rFonts w:hint="eastAsia"/>
                <w:color w:val="000000" w:themeColor="text1"/>
                <w:sz w:val="24"/>
                <w14:textFill>
                  <w14:solidFill>
                    <w14:schemeClr w14:val="tx1"/>
                  </w14:solidFill>
                </w14:textFill>
              </w:rPr>
              <w:t>系统</w:t>
            </w:r>
            <w:r>
              <w:rPr>
                <w:color w:val="000000" w:themeColor="text1"/>
                <w:sz w:val="24"/>
                <w14:textFill>
                  <w14:solidFill>
                    <w14:schemeClr w14:val="tx1"/>
                  </w14:solidFill>
                </w14:textFill>
              </w:rPr>
              <w:t>处理后</w:t>
            </w:r>
            <w:r>
              <w:rPr>
                <w:rFonts w:hint="eastAsia"/>
                <w:color w:val="000000" w:themeColor="text1"/>
                <w:sz w:val="24"/>
                <w14:textFill>
                  <w14:solidFill>
                    <w14:schemeClr w14:val="tx1"/>
                  </w14:solidFill>
                </w14:textFill>
              </w:rPr>
              <w:t>分别</w:t>
            </w:r>
            <w:r>
              <w:rPr>
                <w:color w:val="000000" w:themeColor="text1"/>
                <w:sz w:val="24"/>
                <w14:textFill>
                  <w14:solidFill>
                    <w14:schemeClr w14:val="tx1"/>
                  </w14:solidFill>
                </w14:textFill>
              </w:rPr>
              <w:t>经</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根</w:t>
            </w:r>
            <w:r>
              <w:rPr>
                <w:rFonts w:hint="eastAsia"/>
                <w:color w:val="000000" w:themeColor="text1"/>
                <w:sz w:val="24"/>
                <w14:textFill>
                  <w14:solidFill>
                    <w14:schemeClr w14:val="tx1"/>
                  </w14:solidFill>
                </w14:textFill>
              </w:rPr>
              <w:t>15</w:t>
            </w:r>
            <w:r>
              <w:rPr>
                <w:color w:val="000000" w:themeColor="text1"/>
                <w:sz w:val="24"/>
                <w14:textFill>
                  <w14:solidFill>
                    <w14:schemeClr w14:val="tx1"/>
                  </w14:solidFill>
                </w14:textFill>
              </w:rPr>
              <w:t>m高排气筒</w:t>
            </w:r>
            <w:r>
              <w:rPr>
                <w:bCs/>
                <w:color w:val="000000" w:themeColor="text1"/>
                <w:kern w:val="0"/>
                <w:sz w:val="24"/>
                <w14:textFill>
                  <w14:solidFill>
                    <w14:schemeClr w14:val="tx1"/>
                  </w14:solidFill>
                </w14:textFill>
              </w:rPr>
              <w:t>（DA00</w:t>
            </w:r>
            <w:r>
              <w:rPr>
                <w:rFonts w:hint="eastAsia"/>
                <w:bCs/>
                <w:color w:val="000000" w:themeColor="text1"/>
                <w:kern w:val="0"/>
                <w:sz w:val="24"/>
                <w14:textFill>
                  <w14:solidFill>
                    <w14:schemeClr w14:val="tx1"/>
                  </w14:solidFill>
                </w14:textFill>
              </w:rPr>
              <w:t>2-DA004</w:t>
            </w:r>
            <w:r>
              <w:rPr>
                <w:bCs/>
                <w:color w:val="000000" w:themeColor="text1"/>
                <w:kern w:val="0"/>
                <w:sz w:val="24"/>
                <w14:textFill>
                  <w14:solidFill>
                    <w14:schemeClr w14:val="tx1"/>
                  </w14:solidFill>
                </w14:textFill>
              </w:rPr>
              <w:t>）</w:t>
            </w:r>
            <w:r>
              <w:rPr>
                <w:color w:val="000000" w:themeColor="text1"/>
                <w:sz w:val="24"/>
                <w14:textFill>
                  <w14:solidFill>
                    <w14:schemeClr w14:val="tx1"/>
                  </w14:solidFill>
                </w14:textFill>
              </w:rPr>
              <w:t>排放。</w:t>
            </w:r>
            <w:r>
              <w:rPr>
                <w:rFonts w:hint="eastAsia"/>
                <w:bCs/>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废气具体处理工艺如下。</w:t>
            </w:r>
          </w:p>
          <w:p w14:paraId="6295305E">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低氮燃烧技术属于《排污许可证申请与核发技术规范 锅炉》（HJ953-2018）中锅炉烟气污染防治可行技术，是利用在燃烧中已生成的NO遇到烃根和未完全燃烧产物CO、H</w:t>
            </w:r>
            <w:r>
              <w:rPr>
                <w:color w:val="000000" w:themeColor="text1"/>
                <w:sz w:val="24"/>
                <w:vertAlign w:val="subscript"/>
                <w14:textFill>
                  <w14:solidFill>
                    <w14:schemeClr w14:val="tx1"/>
                  </w14:solidFill>
                </w14:textFill>
              </w:rPr>
              <w:t>2</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C和C</w:t>
            </w:r>
            <w:r>
              <w:rPr>
                <w:color w:val="000000" w:themeColor="text1"/>
                <w:sz w:val="24"/>
                <w:vertAlign w:val="subscript"/>
                <w14:textFill>
                  <w14:solidFill>
                    <w14:schemeClr w14:val="tx1"/>
                  </w14:solidFill>
                </w14:textFill>
              </w:rPr>
              <w:t>n</w:t>
            </w:r>
            <w:r>
              <w:rPr>
                <w:color w:val="000000" w:themeColor="text1"/>
                <w:sz w:val="24"/>
                <w14:textFill>
                  <w14:solidFill>
                    <w14:schemeClr w14:val="tx1"/>
                  </w14:solidFill>
                </w14:textFill>
              </w:rPr>
              <w:t>H</w:t>
            </w:r>
            <w:r>
              <w:rPr>
                <w:color w:val="000000" w:themeColor="text1"/>
                <w:sz w:val="24"/>
                <w:vertAlign w:val="subscript"/>
                <w14:textFill>
                  <w14:solidFill>
                    <w14:schemeClr w14:val="tx1"/>
                  </w14:solidFill>
                </w14:textFill>
              </w:rPr>
              <w:t>m</w:t>
            </w:r>
            <w:r>
              <w:rPr>
                <w:color w:val="000000" w:themeColor="text1"/>
                <w:sz w:val="24"/>
                <w14:textFill>
                  <w14:solidFill>
                    <w14:schemeClr w14:val="tx1"/>
                  </w14:solidFill>
                </w14:textFill>
              </w:rPr>
              <w:t>时</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会发生NO的还原反应的原理，将80%～85%的燃烧送入第一级燃烧区</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在α&gt;1条件下，燃烧并生成NOx。送入一级燃料区的燃料称为一次燃料</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其余15%～20%的燃料则在主燃烧器的上部送入二级燃烧区，在α&lt;1条件下形成很强的还原性气氛，使得在一级燃烧区中生成的NOx在二级燃烧区中被还原成N</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，二级燃烧区又称再燃区，送入二级燃烧区中的燃料又称为二次燃料。在再燃区中不仅使得已生成的NOx得到还原，还抑制了新的NOx的生成</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可使NOx的排放浓度进一步降低。</w:t>
            </w:r>
          </w:p>
          <w:p w14:paraId="64DD1723">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烟气循环技术是从空气预热器前抽取温度较低的烟气，通过再循环风机将抽取的烟气送入空气烟气混合器，和空气混合后一起送入炉内，这样不但可降低燃烧温度，而且也降低了氧气浓度，进而降低了NOx、SO</w:t>
            </w:r>
            <w:r>
              <w:rPr>
                <w:rFonts w:hint="eastAsia"/>
                <w:color w:val="000000" w:themeColor="text1"/>
                <w:sz w:val="24"/>
                <w:vertAlign w:val="subscript"/>
                <w14:textFill>
                  <w14:solidFill>
                    <w14:schemeClr w14:val="tx1"/>
                  </w14:solidFill>
                </w14:textFill>
              </w:rPr>
              <w:t>2</w:t>
            </w:r>
            <w:r>
              <w:rPr>
                <w:rFonts w:hint="eastAsia"/>
                <w:color w:val="000000" w:themeColor="text1"/>
                <w:sz w:val="24"/>
                <w14:textFill>
                  <w14:solidFill>
                    <w14:schemeClr w14:val="tx1"/>
                  </w14:solidFill>
                </w14:textFill>
              </w:rPr>
              <w:t>的排放浓度。经查阅相关资料，燃料低氮燃烧+烟气循环技术可有效减少80%以上的NOx产生。</w:t>
            </w:r>
          </w:p>
          <w:p w14:paraId="77BE6C7A">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1台0.3t/h、1台0.5t/h以及1台1.0t/h的</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废气</w:t>
            </w:r>
            <w:r>
              <w:rPr>
                <w:rFonts w:hint="eastAsia"/>
                <w:color w:val="000000" w:themeColor="text1"/>
                <w:sz w:val="24"/>
                <w14:textFill>
                  <w14:solidFill>
                    <w14:schemeClr w14:val="tx1"/>
                  </w14:solidFill>
                </w14:textFill>
              </w:rPr>
              <w:t>分别</w:t>
            </w:r>
            <w:r>
              <w:rPr>
                <w:color w:val="000000" w:themeColor="text1"/>
                <w:sz w:val="24"/>
                <w14:textFill>
                  <w14:solidFill>
                    <w14:schemeClr w14:val="tx1"/>
                  </w14:solidFill>
                </w14:textFill>
              </w:rPr>
              <w:t>经低氮燃烧+烟气循环</w:t>
            </w:r>
            <w:r>
              <w:rPr>
                <w:rFonts w:hint="eastAsia"/>
                <w:color w:val="000000" w:themeColor="text1"/>
                <w:sz w:val="24"/>
                <w14:textFill>
                  <w14:solidFill>
                    <w14:schemeClr w14:val="tx1"/>
                  </w14:solidFill>
                </w14:textFill>
              </w:rPr>
              <w:t>系统</w:t>
            </w:r>
            <w:r>
              <w:rPr>
                <w:color w:val="000000" w:themeColor="text1"/>
                <w:sz w:val="24"/>
                <w14:textFill>
                  <w14:solidFill>
                    <w14:schemeClr w14:val="tx1"/>
                  </w14:solidFill>
                </w14:textFill>
              </w:rPr>
              <w:t>处理后</w:t>
            </w:r>
            <w:r>
              <w:rPr>
                <w:rFonts w:hint="eastAsia"/>
                <w:color w:val="000000" w:themeColor="text1"/>
                <w:sz w:val="24"/>
                <w14:textFill>
                  <w14:solidFill>
                    <w14:schemeClr w14:val="tx1"/>
                  </w14:solidFill>
                </w14:textFill>
              </w:rPr>
              <w:t>0.3t/h</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颗粒物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4.640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，二氧化硫</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浓度为3.</w:t>
            </w:r>
            <w:r>
              <w:rPr>
                <w:rFonts w:hint="eastAsia"/>
                <w:color w:val="000000" w:themeColor="text1"/>
                <w:sz w:val="24"/>
                <w14:textFill>
                  <w14:solidFill>
                    <w14:schemeClr w14:val="tx1"/>
                  </w14:solidFill>
                </w14:textFill>
              </w:rPr>
              <w:t>712</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，氮氧化物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28.120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，0.5t/h</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颗粒物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4.640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，二氧化硫</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浓度为3.</w:t>
            </w:r>
            <w:r>
              <w:rPr>
                <w:rFonts w:hint="eastAsia"/>
                <w:color w:val="000000" w:themeColor="text1"/>
                <w:sz w:val="24"/>
                <w14:textFill>
                  <w14:solidFill>
                    <w14:schemeClr w14:val="tx1"/>
                  </w14:solidFill>
                </w14:textFill>
              </w:rPr>
              <w:t>712</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，氮氧化物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28.120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，1.0t/h</w:t>
            </w:r>
            <w:r>
              <w:rPr>
                <w:rFonts w:hint="eastAsia"/>
                <w:color w:val="000000" w:themeColor="text1"/>
                <w:kern w:val="0"/>
                <w:sz w:val="24"/>
                <w14:textFill>
                  <w14:solidFill>
                    <w14:schemeClr w14:val="tx1"/>
                  </w14:solidFill>
                </w14:textFill>
              </w:rPr>
              <w:t>蒸汽发生器</w:t>
            </w:r>
            <w:r>
              <w:rPr>
                <w:color w:val="000000" w:themeColor="text1"/>
                <w:sz w:val="24"/>
                <w14:textFill>
                  <w14:solidFill>
                    <w14:schemeClr w14:val="tx1"/>
                  </w14:solidFill>
                </w14:textFill>
              </w:rPr>
              <w:t>颗粒物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4.640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，二氧化硫</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浓度为3.</w:t>
            </w:r>
            <w:r>
              <w:rPr>
                <w:rFonts w:hint="eastAsia"/>
                <w:color w:val="000000" w:themeColor="text1"/>
                <w:sz w:val="24"/>
                <w14:textFill>
                  <w14:solidFill>
                    <w14:schemeClr w14:val="tx1"/>
                  </w14:solidFill>
                </w14:textFill>
              </w:rPr>
              <w:t>712</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，氮氧化物</w:t>
            </w:r>
            <w:r>
              <w:rPr>
                <w:rFonts w:hint="eastAsia"/>
                <w:color w:val="000000" w:themeColor="text1"/>
                <w:sz w:val="24"/>
                <w14:textFill>
                  <w14:solidFill>
                    <w14:schemeClr w14:val="tx1"/>
                  </w14:solidFill>
                </w14:textFill>
              </w:rPr>
              <w:t>排放</w:t>
            </w:r>
            <w:r>
              <w:rPr>
                <w:color w:val="000000" w:themeColor="text1"/>
                <w:sz w:val="24"/>
                <w14:textFill>
                  <w14:solidFill>
                    <w14:schemeClr w14:val="tx1"/>
                  </w14:solidFill>
                </w14:textFill>
              </w:rPr>
              <w:t>浓度为</w:t>
            </w:r>
            <w:r>
              <w:rPr>
                <w:rFonts w:hint="eastAsia"/>
                <w:color w:val="000000" w:themeColor="text1"/>
                <w:sz w:val="24"/>
                <w14:textFill>
                  <w14:solidFill>
                    <w14:schemeClr w14:val="tx1"/>
                  </w14:solidFill>
                </w14:textFill>
              </w:rPr>
              <w:t>28.120</w:t>
            </w:r>
            <w:r>
              <w:rPr>
                <w:color w:val="000000" w:themeColor="text1"/>
                <w:sz w:val="24"/>
                <w14:textFill>
                  <w14:solidFill>
                    <w14:schemeClr w14:val="tx1"/>
                  </w14:solidFill>
                </w14:textFill>
              </w:rPr>
              <w:t>mg/m</w:t>
            </w:r>
            <w:r>
              <w:rPr>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，可以满足《河南省地方标准 锅炉大气污染物排放标准》（DB41/2089-2021）表1中新建燃气锅炉标准及《河南省重污染天气通用行业应急减排措施制定技术指南》（2024年修订版）涉锅炉/炉窑企业绩效A级排放限值要求，废气处理措施可行。</w:t>
            </w:r>
          </w:p>
          <w:p w14:paraId="3C49E2F2">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（3）治疗凝胶生产线乳化工序</w:t>
            </w:r>
            <w:r>
              <w:rPr>
                <w:bCs/>
                <w:color w:val="000000" w:themeColor="text1"/>
                <w:sz w:val="24"/>
                <w14:textFill>
                  <w14:solidFill>
                    <w14:schemeClr w14:val="tx1"/>
                  </w14:solidFill>
                </w14:textFill>
              </w:rPr>
              <w:t>废气</w:t>
            </w:r>
            <w:r>
              <w:rPr>
                <w:bCs/>
                <w:color w:val="000000" w:themeColor="text1"/>
                <w:kern w:val="0"/>
                <w:sz w:val="24"/>
                <w14:textFill>
                  <w14:solidFill>
                    <w14:schemeClr w14:val="tx1"/>
                  </w14:solidFill>
                </w14:textFill>
              </w:rPr>
              <w:t>治理措施可行性分析</w:t>
            </w:r>
          </w:p>
          <w:p w14:paraId="5EC01F98">
            <w:pPr>
              <w:widowControl/>
              <w:adjustRightInd w:val="0"/>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项目</w:t>
            </w:r>
            <w:r>
              <w:rPr>
                <w:rFonts w:hint="eastAsia"/>
                <w:bCs/>
                <w:color w:val="000000" w:themeColor="text1"/>
                <w:kern w:val="0"/>
                <w:sz w:val="24"/>
                <w14:textFill>
                  <w14:solidFill>
                    <w14:schemeClr w14:val="tx1"/>
                  </w14:solidFill>
                </w14:textFill>
              </w:rPr>
              <w:t>治疗凝胶生产线乳化工序</w:t>
            </w:r>
            <w:r>
              <w:rPr>
                <w:bCs/>
                <w:color w:val="000000" w:themeColor="text1"/>
                <w:kern w:val="0"/>
                <w:sz w:val="24"/>
                <w14:textFill>
                  <w14:solidFill>
                    <w14:schemeClr w14:val="tx1"/>
                  </w14:solidFill>
                </w14:textFill>
              </w:rPr>
              <w:t>产生的非甲烷总烃采取</w:t>
            </w:r>
            <w:r>
              <w:rPr>
                <w:rFonts w:hint="eastAsia"/>
                <w:bCs/>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二级活性炭吸附</w:t>
            </w:r>
            <w:r>
              <w:rPr>
                <w:rFonts w:hint="eastAsia"/>
                <w:bCs/>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处理装置处理后通过1根15m高的排气筒（DA00</w:t>
            </w:r>
            <w:r>
              <w:rPr>
                <w:rFonts w:hint="eastAsia"/>
                <w:bCs/>
                <w:color w:val="000000" w:themeColor="text1"/>
                <w:kern w:val="0"/>
                <w:sz w:val="24"/>
                <w14:textFill>
                  <w14:solidFill>
                    <w14:schemeClr w14:val="tx1"/>
                  </w14:solidFill>
                </w14:textFill>
              </w:rPr>
              <w:t>5</w:t>
            </w:r>
            <w:r>
              <w:rPr>
                <w:bCs/>
                <w:color w:val="000000" w:themeColor="text1"/>
                <w:kern w:val="0"/>
                <w:sz w:val="24"/>
                <w14:textFill>
                  <w14:solidFill>
                    <w14:schemeClr w14:val="tx1"/>
                  </w14:solidFill>
                </w14:textFill>
              </w:rPr>
              <w:t>）引至高空排放。</w:t>
            </w:r>
            <w:r>
              <w:rPr>
                <w:bCs/>
                <w:color w:val="000000" w:themeColor="text1"/>
                <w:sz w:val="24"/>
                <w14:textFill>
                  <w14:solidFill>
                    <w14:schemeClr w14:val="tx1"/>
                  </w14:solidFill>
                </w14:textFill>
              </w:rPr>
              <w:t>灭菌</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解析</w:t>
            </w:r>
            <w:r>
              <w:rPr>
                <w:rFonts w:hint="eastAsia"/>
                <w:bCs/>
                <w:color w:val="000000" w:themeColor="text1"/>
                <w:sz w:val="24"/>
                <w14:textFill>
                  <w14:solidFill>
                    <w14:schemeClr w14:val="tx1"/>
                  </w14:solidFill>
                </w14:textFill>
              </w:rPr>
              <w:t>以及</w:t>
            </w:r>
            <w:r>
              <w:rPr>
                <w:rFonts w:hint="eastAsia"/>
                <w:color w:val="000000" w:themeColor="text1"/>
                <w:sz w:val="24"/>
                <w14:textFill>
                  <w14:solidFill>
                    <w14:schemeClr w14:val="tx1"/>
                  </w14:solidFill>
                </w14:textFill>
              </w:rPr>
              <w:t>乳化工序</w:t>
            </w:r>
            <w:r>
              <w:rPr>
                <w:bCs/>
                <w:color w:val="000000" w:themeColor="text1"/>
                <w:kern w:val="0"/>
                <w:sz w:val="24"/>
                <w14:textFill>
                  <w14:solidFill>
                    <w14:schemeClr w14:val="tx1"/>
                  </w14:solidFill>
                </w14:textFill>
              </w:rPr>
              <w:t>废气具体处理工艺如下。</w:t>
            </w:r>
          </w:p>
          <w:p w14:paraId="55CCB74F">
            <w:pPr>
              <w:widowControl/>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bCs/>
                <w:color w:val="000000" w:themeColor="text1"/>
                <w:kern w:val="0"/>
                <w:sz w:val="24"/>
                <w14:textFill>
                  <w14:solidFill>
                    <w14:schemeClr w14:val="tx1"/>
                  </w14:solidFill>
                </w14:textFill>
              </w:rPr>
              <w:t>二级活性炭吸附原理：基于</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baidu.com/s?sa=re_dqa_generate&amp;wd=%E6%B4%BB%E6%80%A7%E7%82%AD&amp;rsv_pq=dfd0edc0000169e2&amp;oq=%E4%BA%8C%E7%BA%A7%E6%B4%BB%E6%80%A7%E7%82%AD%E5%90%B8%E9%99%84%E8%A3%85%E7%BD%AE%E5%8E%9F%E7%90%86&amp;rsv_t=28dawZbRjgbrZ3uYE4zBwvroxXDVAoGh50tHpjzBVN/22xgnijm98+lxokk&amp;tn=baidu&amp;ie=utf-8" \t "https://www.baidu.com/_blank" </w:instrText>
            </w:r>
            <w:r>
              <w:rPr>
                <w:color w:val="000000" w:themeColor="text1"/>
                <w14:textFill>
                  <w14:solidFill>
                    <w14:schemeClr w14:val="tx1"/>
                  </w14:solidFill>
                </w14:textFill>
              </w:rPr>
              <w:fldChar w:fldCharType="separate"/>
            </w:r>
            <w:r>
              <w:rPr>
                <w:rFonts w:hint="eastAsia"/>
                <w:bCs/>
                <w:color w:val="000000" w:themeColor="text1"/>
                <w:kern w:val="0"/>
                <w:sz w:val="24"/>
                <w14:textFill>
                  <w14:solidFill>
                    <w14:schemeClr w14:val="tx1"/>
                  </w14:solidFill>
                </w14:textFill>
              </w:rPr>
              <w:t>活性炭</w:t>
            </w:r>
            <w:r>
              <w:rPr>
                <w:rFonts w:hint="eastAsia"/>
                <w:bCs/>
                <w:color w:val="000000" w:themeColor="text1"/>
                <w:kern w:val="0"/>
                <w:sz w:val="24"/>
                <w14:textFill>
                  <w14:solidFill>
                    <w14:schemeClr w14:val="tx1"/>
                  </w14:solidFill>
                </w14:textFill>
              </w:rPr>
              <w:fldChar w:fldCharType="end"/>
            </w:r>
            <w:r>
              <w:rPr>
                <w:rFonts w:hint="eastAsia"/>
                <w:bCs/>
                <w:color w:val="000000" w:themeColor="text1"/>
                <w:kern w:val="0"/>
                <w:sz w:val="24"/>
                <w14:textFill>
                  <w14:solidFill>
                    <w14:schemeClr w14:val="tx1"/>
                  </w14:solidFill>
                </w14:textFill>
              </w:rPr>
              <w:t>的物理和化学吸附特性。当废气进入吸附箱时，首先通过第一级活性炭层，这一级的活性炭通常具有较大的孔径，主要用于捕捉废气中较大的颗粒物和初步吸附一些有机物质。废气在均匀分布后，与活性炭表面接触，由于活性炭表面存在大量的微孔和较大的比表面积，废气中的有机物分子被吸附在活性炭的表面或孔隙内‌。经过第一级处理后，废气中的大部分有机物已经被去除，但仍可能残留一些较小分子量的有机物。这时，废气进入第二级活性炭层，这一级的活性炭通常具有更细小的孔径，专门用来捕捉第一级未能完全吸附的小分子有机物。通过两级吸附，可以大幅度提高有机物的去除率，确保排放气体的清洁度‌。在整个吸附过程中，</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baidu.com/s?sa=re_dqa_generate&amp;wd=%E9%A3%8E%E6%9C%BA&amp;rsv_pq=dfd0edc0000169e2&amp;oq=%E4%BA%8C%E7%BA%A7%E6%B4%BB%E6%80%A7%E7%82%AD%E5%90%B8%E9%99%84%E8%A3%85%E7%BD%AE%E5%8E%9F%E7%90%86&amp;rsv_t=28dawZbRjgbrZ3uYE4zBwvroxXDVAoGh50tHpjzBVN/22xgnijm98+lxokk&amp;tn=baidu&amp;ie=utf-8" \t "https://www.baidu.com/_blank" </w:instrText>
            </w:r>
            <w:r>
              <w:rPr>
                <w:color w:val="000000" w:themeColor="text1"/>
                <w14:textFill>
                  <w14:solidFill>
                    <w14:schemeClr w14:val="tx1"/>
                  </w14:solidFill>
                </w14:textFill>
              </w:rPr>
              <w:fldChar w:fldCharType="separate"/>
            </w:r>
            <w:r>
              <w:rPr>
                <w:rFonts w:hint="eastAsia"/>
                <w:bCs/>
                <w:color w:val="000000" w:themeColor="text1"/>
                <w:kern w:val="0"/>
                <w:sz w:val="24"/>
                <w14:textFill>
                  <w14:solidFill>
                    <w14:schemeClr w14:val="tx1"/>
                  </w14:solidFill>
                </w14:textFill>
              </w:rPr>
              <w:t>风机</w:t>
            </w:r>
            <w:r>
              <w:rPr>
                <w:rFonts w:hint="eastAsia"/>
                <w:bCs/>
                <w:color w:val="000000" w:themeColor="text1"/>
                <w:kern w:val="0"/>
                <w:sz w:val="24"/>
                <w14:textFill>
                  <w14:solidFill>
                    <w14:schemeClr w14:val="tx1"/>
                  </w14:solidFill>
                </w14:textFill>
              </w:rPr>
              <w:fldChar w:fldCharType="end"/>
            </w:r>
            <w:r>
              <w:rPr>
                <w:rFonts w:hint="eastAsia"/>
                <w:bCs/>
                <w:color w:val="000000" w:themeColor="text1"/>
                <w:kern w:val="0"/>
                <w:sz w:val="24"/>
                <w14:textFill>
                  <w14:solidFill>
                    <w14:schemeClr w14:val="tx1"/>
                  </w14:solidFill>
                </w14:textFill>
              </w:rPr>
              <w:t>提供必要的气流动力，确保废气能够均匀地通过活性炭层。</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baidu.com/s?sa=re_dqa_generate&amp;wd=%E6%8E%A7%E5%88%B6%E7%B3%BB%E7%BB%9F&amp;rsv_pq=dfd0edc0000169e2&amp;oq=%E4%BA%8C%E7%BA%A7%E6%B4%BB%E6%80%A7%E7%82%AD%E5%90%B8%E9%99%84%E8%A3%85%E7%BD%AE%E5%8E%9F%E7%90%86&amp;rsv_t=28dawZbRjgbrZ3uYE4zBwvroxXDVAoGh50tHpjzBVN/22xgnijm98+lxokk&amp;tn=baidu&amp;ie=utf-8" \t "https://www.baidu.com/_blank" </w:instrText>
            </w:r>
            <w:r>
              <w:rPr>
                <w:color w:val="000000" w:themeColor="text1"/>
                <w14:textFill>
                  <w14:solidFill>
                    <w14:schemeClr w14:val="tx1"/>
                  </w14:solidFill>
                </w14:textFill>
              </w:rPr>
              <w:fldChar w:fldCharType="separate"/>
            </w:r>
            <w:r>
              <w:rPr>
                <w:rFonts w:hint="eastAsia"/>
                <w:bCs/>
                <w:color w:val="000000" w:themeColor="text1"/>
                <w:kern w:val="0"/>
                <w:sz w:val="24"/>
                <w14:textFill>
                  <w14:solidFill>
                    <w14:schemeClr w14:val="tx1"/>
                  </w14:solidFill>
                </w14:textFill>
              </w:rPr>
              <w:t>控制系统</w:t>
            </w:r>
            <w:r>
              <w:rPr>
                <w:rFonts w:hint="eastAsia"/>
                <w:bCs/>
                <w:color w:val="000000" w:themeColor="text1"/>
                <w:kern w:val="0"/>
                <w:sz w:val="24"/>
                <w14:textFill>
                  <w14:solidFill>
                    <w14:schemeClr w14:val="tx1"/>
                  </w14:solidFill>
                </w14:textFill>
              </w:rPr>
              <w:fldChar w:fldCharType="end"/>
            </w:r>
            <w:r>
              <w:rPr>
                <w:rFonts w:hint="eastAsia"/>
                <w:bCs/>
                <w:color w:val="000000" w:themeColor="text1"/>
                <w:kern w:val="0"/>
                <w:sz w:val="24"/>
                <w14:textFill>
                  <w14:solidFill>
                    <w14:schemeClr w14:val="tx1"/>
                  </w14:solidFill>
                </w14:textFill>
              </w:rPr>
              <w:t>则负责监测和调节吸附箱内的温度、压力、流量等参数，保证设备的正常运行。</w:t>
            </w:r>
          </w:p>
          <w:p w14:paraId="164554E4">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治疗凝胶生产线乳化工序</w:t>
            </w:r>
            <w:r>
              <w:rPr>
                <w:color w:val="000000" w:themeColor="text1"/>
                <w:sz w:val="24"/>
                <w14:textFill>
                  <w14:solidFill>
                    <w14:schemeClr w14:val="tx1"/>
                  </w14:solidFill>
                </w14:textFill>
              </w:rPr>
              <w:t>废气经</w:t>
            </w:r>
            <w:r>
              <w:rPr>
                <w:rFonts w:hint="eastAsia"/>
                <w:color w:val="000000" w:themeColor="text1"/>
                <w:kern w:val="0"/>
                <w:sz w:val="24"/>
                <w14:textFill>
                  <w14:solidFill>
                    <w14:schemeClr w14:val="tx1"/>
                  </w14:solidFill>
                </w14:textFill>
              </w:rPr>
              <w:t>二级活性炭吸附装置</w:t>
            </w:r>
            <w:r>
              <w:rPr>
                <w:color w:val="000000" w:themeColor="text1"/>
                <w:sz w:val="24"/>
                <w14:textFill>
                  <w14:solidFill>
                    <w14:schemeClr w14:val="tx1"/>
                  </w14:solidFill>
                </w14:textFill>
              </w:rPr>
              <w:t>处理后</w:t>
            </w:r>
            <w:r>
              <w:rPr>
                <w:rFonts w:hint="eastAsia"/>
                <w:color w:val="000000" w:themeColor="text1"/>
                <w:sz w:val="24"/>
                <w14:textFill>
                  <w14:solidFill>
                    <w14:schemeClr w14:val="tx1"/>
                  </w14:solidFill>
                </w14:textFill>
              </w:rPr>
              <w:t>非甲烷总烃排放浓度为2.2mg/m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，可以满足</w:t>
            </w:r>
            <w:r>
              <w:rPr>
                <w:rFonts w:hint="eastAsia"/>
                <w:color w:val="000000" w:themeColor="text1"/>
                <w:sz w:val="24"/>
                <w:lang w:eastAsia="zh-CN"/>
                <w14:textFill>
                  <w14:solidFill>
                    <w14:schemeClr w14:val="tx1"/>
                  </w14:solidFill>
                </w14:textFill>
              </w:rPr>
              <w:t>《大气污染物综合排放标准》（GB16297-1996）</w:t>
            </w:r>
            <w:r>
              <w:rPr>
                <w:rFonts w:hint="eastAsia"/>
                <w:color w:val="000000" w:themeColor="text1"/>
                <w:sz w:val="24"/>
                <w14:textFill>
                  <w14:solidFill>
                    <w14:schemeClr w14:val="tx1"/>
                  </w14:solidFill>
                </w14:textFill>
              </w:rPr>
              <w:t>表2无组织排放限值、《关于全省开展工业企业挥发性有机物专项治理工作中排放建议值的通知》（豫环攻坚办[2017]162号）中“其他行业”以及《河南省重污染天气通用行业应急减排措施制定技术指南》（2024年修订版）附录2中其他工序VOCs排放限值，废气处理措施可行。</w:t>
            </w:r>
          </w:p>
          <w:p w14:paraId="3FEFFB26">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（4）污水处理站以及</w:t>
            </w:r>
            <w:r>
              <w:rPr>
                <w:rFonts w:hint="eastAsia"/>
                <w:color w:val="000000" w:themeColor="text1"/>
                <w:kern w:val="52"/>
                <w:sz w:val="24"/>
                <w14:textFill>
                  <w14:solidFill>
                    <w14:schemeClr w14:val="tx1"/>
                  </w14:solidFill>
                </w14:textFill>
              </w:rPr>
              <w:t>酒糟暂存</w:t>
            </w:r>
            <w:r>
              <w:rPr>
                <w:rFonts w:hint="eastAsia"/>
                <w:color w:val="000000" w:themeColor="text1"/>
                <w:sz w:val="24"/>
                <w14:textFill>
                  <w14:solidFill>
                    <w14:schemeClr w14:val="tx1"/>
                  </w14:solidFill>
                </w14:textFill>
              </w:rPr>
              <w:t>恶臭气体</w:t>
            </w:r>
            <w:r>
              <w:rPr>
                <w:bCs/>
                <w:color w:val="000000" w:themeColor="text1"/>
                <w:kern w:val="0"/>
                <w:sz w:val="24"/>
                <w14:textFill>
                  <w14:solidFill>
                    <w14:schemeClr w14:val="tx1"/>
                  </w14:solidFill>
                </w14:textFill>
              </w:rPr>
              <w:t>治理措施可行性分析</w:t>
            </w:r>
          </w:p>
          <w:p w14:paraId="40D9FC30">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项目对污水处理站主要水池（调节池、沉淀池、水解酸化池）</w:t>
            </w:r>
            <w:r>
              <w:rPr>
                <w:color w:val="000000" w:themeColor="text1"/>
                <w:kern w:val="0"/>
                <w:sz w:val="24"/>
                <w14:textFill>
                  <w14:solidFill>
                    <w14:schemeClr w14:val="tx1"/>
                  </w14:solidFill>
                </w14:textFill>
              </w:rPr>
              <w:t>进行加盖密闭，</w:t>
            </w:r>
            <w:r>
              <w:rPr>
                <w:rFonts w:hint="eastAsia"/>
                <w:color w:val="000000" w:themeColor="text1"/>
                <w:sz w:val="24"/>
                <w14:textFill>
                  <w14:solidFill>
                    <w14:schemeClr w14:val="tx1"/>
                  </w14:solidFill>
                </w14:textFill>
              </w:rPr>
              <w:t>酒糟暂存间</w:t>
            </w:r>
            <w:r>
              <w:rPr>
                <w:color w:val="000000" w:themeColor="text1"/>
                <w:sz w:val="24"/>
                <w14:textFill>
                  <w14:solidFill>
                    <w14:schemeClr w14:val="tx1"/>
                  </w14:solidFill>
                </w14:textFill>
              </w:rPr>
              <w:t>顶部设置集气管道</w:t>
            </w:r>
            <w:r>
              <w:rPr>
                <w:rFonts w:hint="eastAsia"/>
                <w:color w:val="000000" w:themeColor="text1"/>
                <w:sz w:val="24"/>
                <w14:textFill>
                  <w14:solidFill>
                    <w14:schemeClr w14:val="tx1"/>
                  </w14:solidFill>
                </w14:textFill>
              </w:rPr>
              <w:t>，</w:t>
            </w:r>
            <w:r>
              <w:rPr>
                <w:color w:val="000000" w:themeColor="text1"/>
                <w:kern w:val="0"/>
                <w:sz w:val="24"/>
                <w14:textFill>
                  <w14:solidFill>
                    <w14:schemeClr w14:val="tx1"/>
                  </w14:solidFill>
                </w14:textFill>
              </w:rPr>
              <w:t>通过管道收集（收集效率可达95%）</w:t>
            </w:r>
            <w:r>
              <w:rPr>
                <w:rFonts w:hint="eastAsia"/>
                <w:color w:val="000000" w:themeColor="text1"/>
                <w:kern w:val="0"/>
                <w:sz w:val="24"/>
                <w14:textFill>
                  <w14:solidFill>
                    <w14:schemeClr w14:val="tx1"/>
                  </w14:solidFill>
                </w14:textFill>
              </w:rPr>
              <w:t>后经1套“UV光氧+活性炭吸附装置”（TA007）</w:t>
            </w:r>
            <w:r>
              <w:rPr>
                <w:color w:val="000000" w:themeColor="text1"/>
                <w:kern w:val="0"/>
                <w:sz w:val="24"/>
                <w14:textFill>
                  <w14:solidFill>
                    <w14:schemeClr w14:val="tx1"/>
                  </w14:solidFill>
                </w14:textFill>
              </w:rPr>
              <w:t>进行处理，处理达标后由1根15m高排气筒（DA00</w:t>
            </w:r>
            <w:r>
              <w:rPr>
                <w:rFonts w:hint="eastAsia"/>
                <w:color w:val="000000" w:themeColor="text1"/>
                <w:kern w:val="0"/>
                <w:sz w:val="24"/>
                <w14:textFill>
                  <w14:solidFill>
                    <w14:schemeClr w14:val="tx1"/>
                  </w14:solidFill>
                </w14:textFill>
              </w:rPr>
              <w:t>7</w:t>
            </w:r>
            <w:r>
              <w:rPr>
                <w:color w:val="000000" w:themeColor="text1"/>
                <w:kern w:val="0"/>
                <w:sz w:val="24"/>
                <w14:textFill>
                  <w14:solidFill>
                    <w14:schemeClr w14:val="tx1"/>
                  </w14:solidFill>
                </w14:textFill>
              </w:rPr>
              <w:t>）排放</w:t>
            </w:r>
            <w:r>
              <w:rPr>
                <w:rFonts w:hint="eastAsia"/>
                <w:color w:val="000000" w:themeColor="text1"/>
                <w:sz w:val="24"/>
                <w14:textFill>
                  <w14:solidFill>
                    <w14:schemeClr w14:val="tx1"/>
                  </w14:solidFill>
                </w14:textFill>
              </w:rPr>
              <w:t>。污水处理站恶臭气体具体处理工艺如下。</w:t>
            </w:r>
          </w:p>
          <w:p w14:paraId="0130233D">
            <w:pPr>
              <w:widowControl/>
              <w:snapToGrid w:val="0"/>
              <w:spacing w:line="360" w:lineRule="auto"/>
              <w:ind w:firstLine="480" w:firstLineChars="200"/>
              <w:rPr>
                <w:bCs/>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UV光氧催化原理：</w:t>
            </w:r>
            <w:r>
              <w:rPr>
                <w:rFonts w:hint="eastAsia"/>
                <w:bCs/>
                <w:color w:val="000000" w:themeColor="text1"/>
                <w:sz w:val="24"/>
                <w14:textFill>
                  <w14:solidFill>
                    <w14:schemeClr w14:val="tx1"/>
                  </w14:solidFill>
                </w14:textFill>
              </w:rPr>
              <w:t>光氧催化器由机壳，紫外线灯管，电控箱组成。利用高能高臭氧UV紫外线光束（发出的波长主要为182nm及254nm）照射有机气体，裂解有机废气（VOC类）苯、甲苯、二甲苯等分子链结构，使有机化合物分子链，在高能紫外线光束照射下，降解转变成低分子化合物，如CO</w:t>
            </w:r>
            <w:r>
              <w:rPr>
                <w:rFonts w:hint="eastAsia"/>
                <w:bCs/>
                <w:color w:val="000000" w:themeColor="text1"/>
                <w:sz w:val="24"/>
                <w:vertAlign w:val="subscript"/>
                <w14:textFill>
                  <w14:solidFill>
                    <w14:schemeClr w14:val="tx1"/>
                  </w14:solidFill>
                </w14:textFill>
              </w:rPr>
              <w:t>2</w:t>
            </w:r>
            <w:r>
              <w:rPr>
                <w:rFonts w:hint="eastAsia"/>
                <w:bCs/>
                <w:color w:val="000000" w:themeColor="text1"/>
                <w:sz w:val="24"/>
                <w14:textFill>
                  <w14:solidFill>
                    <w14:schemeClr w14:val="tx1"/>
                  </w14:solidFill>
                </w14:textFill>
              </w:rPr>
              <w:t>、H</w:t>
            </w:r>
            <w:r>
              <w:rPr>
                <w:rFonts w:hint="eastAsia"/>
                <w:bCs/>
                <w:color w:val="000000" w:themeColor="text1"/>
                <w:sz w:val="24"/>
                <w:vertAlign w:val="subscript"/>
                <w14:textFill>
                  <w14:solidFill>
                    <w14:schemeClr w14:val="tx1"/>
                  </w14:solidFill>
                </w14:textFill>
              </w:rPr>
              <w:t>2</w:t>
            </w:r>
            <w:r>
              <w:rPr>
                <w:rFonts w:hint="eastAsia"/>
                <w:bCs/>
                <w:color w:val="000000" w:themeColor="text1"/>
                <w:sz w:val="24"/>
                <w14:textFill>
                  <w14:solidFill>
                    <w14:schemeClr w14:val="tx1"/>
                  </w14:solidFill>
                </w14:textFill>
              </w:rPr>
              <w:t>O等。高能高臭氧紫外线光束分解空气中的氧分子产生游离氧，即活性氧，因游离氧所携正负电子不平衡所以需与氧分子结合，进而产生臭氧。</w:t>
            </w:r>
          </w:p>
          <w:p w14:paraId="5CD12C60">
            <w:pPr>
              <w:widowControl/>
              <w:snapToGrid w:val="0"/>
              <w:spacing w:line="360" w:lineRule="auto"/>
              <w:ind w:firstLine="480" w:firstLineChars="200"/>
              <w:rPr>
                <w:color w:val="000000" w:themeColor="text1"/>
                <w:sz w:val="24"/>
                <w14:textFill>
                  <w14:solidFill>
                    <w14:schemeClr w14:val="tx1"/>
                  </w14:solidFill>
                </w14:textFill>
              </w:rPr>
            </w:pPr>
            <w:r>
              <w:rPr>
                <w:rFonts w:hint="eastAsia"/>
                <w:bCs/>
                <w:color w:val="000000" w:themeColor="text1"/>
                <w:sz w:val="24"/>
                <w14:textFill>
                  <w14:solidFill>
                    <w14:schemeClr w14:val="tx1"/>
                  </w14:solidFill>
                </w14:textFill>
              </w:rPr>
              <w:t>UV+O</w:t>
            </w:r>
            <w:r>
              <w:rPr>
                <w:rFonts w:hint="eastAsia"/>
                <w:bCs/>
                <w:color w:val="000000" w:themeColor="text1"/>
                <w:sz w:val="24"/>
                <w:vertAlign w:val="subscript"/>
                <w14:textFill>
                  <w14:solidFill>
                    <w14:schemeClr w14:val="tx1"/>
                  </w14:solidFill>
                </w14:textFill>
              </w:rPr>
              <w:t>2</w:t>
            </w:r>
            <w:r>
              <w:rPr>
                <w:rFonts w:hint="eastAsia"/>
                <w:bCs/>
                <w:color w:val="000000" w:themeColor="text1"/>
                <w:sz w:val="24"/>
                <w14:textFill>
                  <w14:solidFill>
                    <w14:schemeClr w14:val="tx1"/>
                  </w14:solidFill>
                </w14:textFill>
              </w:rPr>
              <w:t>→O-+O*（活性氧）O+O</w:t>
            </w:r>
            <w:r>
              <w:rPr>
                <w:rFonts w:hint="eastAsia"/>
                <w:bCs/>
                <w:color w:val="000000" w:themeColor="text1"/>
                <w:sz w:val="24"/>
                <w:vertAlign w:val="subscript"/>
                <w14:textFill>
                  <w14:solidFill>
                    <w14:schemeClr w14:val="tx1"/>
                  </w14:solidFill>
                </w14:textFill>
              </w:rPr>
              <w:t>2</w:t>
            </w:r>
            <w:r>
              <w:rPr>
                <w:rFonts w:hint="eastAsia"/>
                <w:bCs/>
                <w:color w:val="000000" w:themeColor="text1"/>
                <w:sz w:val="24"/>
                <w14:textFill>
                  <w14:solidFill>
                    <w14:schemeClr w14:val="tx1"/>
                  </w14:solidFill>
                </w14:textFill>
              </w:rPr>
              <w:t>→O</w:t>
            </w:r>
            <w:r>
              <w:rPr>
                <w:rFonts w:hint="eastAsia"/>
                <w:bCs/>
                <w:color w:val="000000" w:themeColor="text1"/>
                <w:sz w:val="24"/>
                <w:vertAlign w:val="subscript"/>
                <w14:textFill>
                  <w14:solidFill>
                    <w14:schemeClr w14:val="tx1"/>
                  </w14:solidFill>
                </w14:textFill>
              </w:rPr>
              <w:t>3</w:t>
            </w:r>
            <w:r>
              <w:rPr>
                <w:rFonts w:hint="eastAsia"/>
                <w:bCs/>
                <w:color w:val="000000" w:themeColor="text1"/>
                <w:sz w:val="24"/>
                <w14:textFill>
                  <w14:solidFill>
                    <w14:schemeClr w14:val="tx1"/>
                  </w14:solidFill>
                </w14:textFill>
              </w:rPr>
              <w:t>（臭氧），臭氧对有机物具有极强的氧化作用，对有机气体及其它刺激性异味有立竿见影的清除效果。灯管两边的催化层（催化剂纳米二氧化钛）在受到紫外线光照射时生成化学活泼性很强的超氧化物阴离子自由基和氢氧自由基，攻击有机物，达到降解有机物的作用。二氧化钛属于非溶出型材料，在彻底分解有机污染物的同时，自身不分解、不溶出，光催化作用持久，并具有持久的降解污染物效果。有机气体利用排风设备输入到本净化设备后，净化设备运用高能紫外线光束及臭氧对恶臭气体进行协同分解氧化反应，使有机气体物质其降解转化成低分子化合物、水和二氧化碳，再通过排风管道排到活性炭吸附箱内。</w:t>
            </w:r>
          </w:p>
          <w:p w14:paraId="1703DB40">
            <w:pPr>
              <w:widowControl/>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活性炭吸附原理：活性炭是一种很细小的炭粒，有很大的表面积，而且炭粒中还有更细小的孔——毛细管。这种毛细管具有很强的吸附能力，由于炭粒的表面积很大，所以能与气体（有机废气）充分接触，当这些气体（有机废气）碰到毛细管就被吸附起净化作用。当废气由风机提供动力，负压进入吸附箱后进入活性炭吸附层，由于活性炭吸附剂表面上存在着未平衡和未饱和的分子引力或化学键力，因此当活性炭吸附剂的表面与气体接触时，就能吸引气体分子，使其浓聚并保持在活性炭表面，此现象称为吸附。利用活性炭吸附剂表面的吸附能力，使废气与大表面的多孔性活性炭吸附剂相接触，废气中的污染物被吸附在活性炭表面上，使其与气体混合物分离，净化后的气体高空排放</w:t>
            </w:r>
            <w:r>
              <w:rPr>
                <w:rFonts w:hint="eastAsia"/>
                <w:bCs/>
                <w:color w:val="000000" w:themeColor="text1"/>
                <w:sz w:val="24"/>
                <w14:textFill>
                  <w14:solidFill>
                    <w14:schemeClr w14:val="tx1"/>
                  </w14:solidFill>
                </w14:textFill>
              </w:rPr>
              <w:t>。</w:t>
            </w:r>
          </w:p>
          <w:p w14:paraId="4E4C3B5F">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对污水处理站NH</w:t>
            </w:r>
            <w:r>
              <w:rPr>
                <w:rFonts w:hint="eastAsia"/>
                <w:color w:val="000000" w:themeColor="text1"/>
                <w:sz w:val="24"/>
                <w:vertAlign w:val="subscript"/>
                <w14:textFill>
                  <w14:solidFill>
                    <w14:schemeClr w14:val="tx1"/>
                  </w14:solidFill>
                </w14:textFill>
              </w:rPr>
              <w:t>3</w:t>
            </w:r>
            <w:r>
              <w:rPr>
                <w:color w:val="000000" w:themeColor="text1"/>
                <w:kern w:val="0"/>
                <w:sz w:val="24"/>
                <w14:textFill>
                  <w14:solidFill>
                    <w14:schemeClr w14:val="tx1"/>
                  </w14:solidFill>
                </w14:textFill>
              </w:rPr>
              <w:t>排放速率0.0006kg/h，排放浓度为0.556mg/m</w:t>
            </w:r>
            <w:r>
              <w:rPr>
                <w:color w:val="000000" w:themeColor="text1"/>
                <w:kern w:val="0"/>
                <w:sz w:val="24"/>
                <w:vertAlign w:val="superscript"/>
                <w14:textFill>
                  <w14:solidFill>
                    <w14:schemeClr w14:val="tx1"/>
                  </w14:solidFill>
                </w14:textFill>
              </w:rPr>
              <w:t>3</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H</w:t>
            </w:r>
            <w:r>
              <w:rPr>
                <w:color w:val="000000" w:themeColor="text1"/>
                <w:kern w:val="0"/>
                <w:sz w:val="15"/>
                <w:szCs w:val="15"/>
                <w14:textFill>
                  <w14:solidFill>
                    <w14:schemeClr w14:val="tx1"/>
                  </w14:solidFill>
                </w14:textFill>
              </w:rPr>
              <w:t>2</w:t>
            </w:r>
            <w:r>
              <w:rPr>
                <w:color w:val="000000" w:themeColor="text1"/>
                <w:kern w:val="0"/>
                <w:sz w:val="24"/>
                <w14:textFill>
                  <w14:solidFill>
                    <w14:schemeClr w14:val="tx1"/>
                  </w14:solidFill>
                </w14:textFill>
              </w:rPr>
              <w:t>S排放速率0.00002kg/h，排放浓度为0.021mg/m</w:t>
            </w:r>
            <w:r>
              <w:rPr>
                <w:color w:val="000000" w:themeColor="text1"/>
                <w:kern w:val="0"/>
                <w:sz w:val="24"/>
                <w:vertAlign w:val="superscript"/>
                <w14:textFill>
                  <w14:solidFill>
                    <w14:schemeClr w14:val="tx1"/>
                  </w14:solidFill>
                </w14:textFill>
              </w:rPr>
              <w:t>3</w:t>
            </w:r>
            <w:r>
              <w:rPr>
                <w:rFonts w:hint="eastAsia"/>
                <w:color w:val="000000" w:themeColor="text1"/>
                <w:kern w:val="0"/>
                <w:sz w:val="24"/>
                <w14:textFill>
                  <w14:solidFill>
                    <w14:schemeClr w14:val="tx1"/>
                  </w14:solidFill>
                </w14:textFill>
              </w:rPr>
              <w:t>，</w:t>
            </w:r>
            <w:r>
              <w:rPr>
                <w:rFonts w:hint="eastAsia"/>
                <w:color w:val="000000" w:themeColor="text1"/>
                <w:sz w:val="24"/>
                <w14:textFill>
                  <w14:solidFill>
                    <w14:schemeClr w14:val="tx1"/>
                  </w14:solidFill>
                </w14:textFill>
              </w:rPr>
              <w:t>可以满足《恶臭污染物排放标准》（GB 14554-93）中表2标准排放限值要求，废气处理措施可行。</w:t>
            </w:r>
          </w:p>
          <w:p w14:paraId="3C3B9D88">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）无组织</w:t>
            </w:r>
            <w:r>
              <w:rPr>
                <w:rFonts w:hint="eastAsia"/>
                <w:color w:val="000000" w:themeColor="text1"/>
                <w:sz w:val="24"/>
                <w14:textFill>
                  <w14:solidFill>
                    <w14:schemeClr w14:val="tx1"/>
                  </w14:solidFill>
                </w14:textFill>
              </w:rPr>
              <w:t>废气</w:t>
            </w:r>
            <w:r>
              <w:rPr>
                <w:color w:val="000000" w:themeColor="text1"/>
                <w:sz w:val="24"/>
                <w14:textFill>
                  <w14:solidFill>
                    <w14:schemeClr w14:val="tx1"/>
                  </w14:solidFill>
                </w14:textFill>
              </w:rPr>
              <w:t>治理措施分析</w:t>
            </w:r>
          </w:p>
          <w:p w14:paraId="6632280E">
            <w:pPr>
              <w:widowControl/>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1）本项目酒类产品生产线产生无组织废气主要为原料投料粉尘、原料粉碎工序中未收集的粉尘、发酵过程产生的发酵废气、</w:t>
            </w:r>
            <w:r>
              <w:rPr>
                <w:rFonts w:hint="eastAsia"/>
                <w:color w:val="000000" w:themeColor="text1"/>
                <w:sz w:val="24"/>
                <w14:textFill>
                  <w14:solidFill>
                    <w14:schemeClr w14:val="tx1"/>
                  </w14:solidFill>
                </w14:textFill>
              </w:rPr>
              <w:t>储存、过滤、勾调、杀菌、灌装等过程</w:t>
            </w:r>
            <w:r>
              <w:rPr>
                <w:rFonts w:hint="eastAsia"/>
                <w:color w:val="000000" w:themeColor="text1"/>
                <w:kern w:val="52"/>
                <w:sz w:val="24"/>
                <w14:textFill>
                  <w14:solidFill>
                    <w14:schemeClr w14:val="tx1"/>
                  </w14:solidFill>
                </w14:textFill>
              </w:rPr>
              <w:t>产生的废气、污水处理站和酒糟暂存间未收集到的恶臭气体、有机废气等。针对无组织排放废气，采取以下措施减轻或消除对周围环境以及操作人员的影响：</w:t>
            </w:r>
          </w:p>
          <w:p w14:paraId="5A6CE652">
            <w:pPr>
              <w:widowControl/>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①原料投料过程无组织废气要求车间密闭，颗粒物沉降后车间内无组织排放。同时要求规范操作，加强管理。</w:t>
            </w:r>
          </w:p>
          <w:p w14:paraId="4483AD90">
            <w:pPr>
              <w:widowControl/>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②原料粉碎工序中未收集的粉尘要求提高废气收集效率，从源头减少无组织废气排放量。</w:t>
            </w:r>
          </w:p>
          <w:p w14:paraId="07A58316">
            <w:pPr>
              <w:widowControl/>
              <w:snapToGrid w:val="0"/>
              <w:spacing w:line="360" w:lineRule="auto"/>
              <w:ind w:firstLine="480" w:firstLineChars="200"/>
              <w:rPr>
                <w:color w:val="000000" w:themeColor="text1"/>
                <w:kern w:val="52"/>
                <w:sz w:val="24"/>
                <w14:textFill>
                  <w14:solidFill>
                    <w14:schemeClr w14:val="tx1"/>
                  </w14:solidFill>
                </w14:textFill>
              </w:rPr>
            </w:pPr>
            <w:r>
              <w:rPr>
                <w:rFonts w:hint="eastAsia"/>
                <w:color w:val="000000" w:themeColor="text1"/>
                <w:kern w:val="52"/>
                <w:sz w:val="24"/>
                <w14:textFill>
                  <w14:solidFill>
                    <w14:schemeClr w14:val="tx1"/>
                  </w14:solidFill>
                </w14:textFill>
              </w:rPr>
              <w:t xml:space="preserve">③发酵过程废气要求生产过程中尽量采用管道输料，设备密闭，采用自动控制系统，加强车间通风和操作管理，尽量减小其对操作工人的危害。 </w:t>
            </w:r>
          </w:p>
          <w:p w14:paraId="689928AC">
            <w:pPr>
              <w:widowControl/>
              <w:snapToGrid w:val="0"/>
              <w:spacing w:line="360" w:lineRule="auto"/>
              <w:ind w:firstLine="480" w:firstLineChars="200"/>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52"/>
                <w:sz w:val="24"/>
                <w14:textFill>
                  <w14:solidFill>
                    <w14:schemeClr w14:val="tx1"/>
                  </w14:solidFill>
                </w14:textFill>
              </w:rPr>
              <w:t>④</w:t>
            </w:r>
            <w:r>
              <w:rPr>
                <w:rFonts w:hint="eastAsia"/>
                <w:color w:val="000000" w:themeColor="text1"/>
                <w:kern w:val="52"/>
                <w:sz w:val="24"/>
                <w14:textFill>
                  <w14:solidFill>
                    <w14:schemeClr w14:val="tx1"/>
                  </w14:solidFill>
                </w14:textFill>
              </w:rPr>
              <w:t>酒糟暂存间</w:t>
            </w:r>
            <w:r>
              <w:rPr>
                <w:rFonts w:hint="eastAsia"/>
                <w:color w:val="000000" w:themeColor="text1"/>
                <w:kern w:val="0"/>
                <w:sz w:val="24"/>
                <w14:textFill>
                  <w14:solidFill>
                    <w14:schemeClr w14:val="tx1"/>
                  </w14:solidFill>
                </w14:textFill>
              </w:rPr>
              <w:t>密闭；</w:t>
            </w:r>
            <w:r>
              <w:rPr>
                <w:color w:val="000000" w:themeColor="text1"/>
                <w:kern w:val="0"/>
                <w:sz w:val="24"/>
                <w14:textFill>
                  <w14:solidFill>
                    <w14:schemeClr w14:val="tx1"/>
                  </w14:solidFill>
                </w14:textFill>
              </w:rPr>
              <w:t>对产生的酒糟，暂时存放在专门区域，</w:t>
            </w:r>
            <w:r>
              <w:rPr>
                <w:rFonts w:hint="eastAsia"/>
                <w:color w:val="000000" w:themeColor="text1"/>
                <w:kern w:val="0"/>
                <w:sz w:val="24"/>
                <w14:textFill>
                  <w14:solidFill>
                    <w14:schemeClr w14:val="tx1"/>
                  </w14:solidFill>
                </w14:textFill>
              </w:rPr>
              <w:t>酒糟暂存池</w:t>
            </w:r>
            <w:r>
              <w:rPr>
                <w:color w:val="000000" w:themeColor="text1"/>
                <w:kern w:val="0"/>
                <w:sz w:val="24"/>
                <w14:textFill>
                  <w14:solidFill>
                    <w14:schemeClr w14:val="tx1"/>
                  </w14:solidFill>
                </w14:textFill>
              </w:rPr>
              <w:t>加设围堰</w:t>
            </w:r>
            <w:r>
              <w:rPr>
                <w:rFonts w:hint="eastAsia" w:ascii="宋体" w:hAnsi="宋体" w:cs="宋体"/>
                <w:color w:val="000000" w:themeColor="text1"/>
                <w:kern w:val="0"/>
                <w:sz w:val="24"/>
                <w14:textFill>
                  <w14:solidFill>
                    <w14:schemeClr w14:val="tx1"/>
                  </w14:solidFill>
                </w14:textFill>
              </w:rPr>
              <w:t>，并设置“三防措施”；及时清运产生的酒糟，缩短在厂区内的存放时间；提高厂区绿化面积，利用植物的新陈代谢作用来减少厂区废气的浓度。</w:t>
            </w:r>
          </w:p>
          <w:p w14:paraId="6E135F31">
            <w:pPr>
              <w:widowControl/>
              <w:snapToGrid w:val="0"/>
              <w:spacing w:line="360" w:lineRule="auto"/>
              <w:ind w:firstLine="480" w:firstLineChars="200"/>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52"/>
                <w:sz w:val="24"/>
                <w14:textFill>
                  <w14:solidFill>
                    <w14:schemeClr w14:val="tx1"/>
                  </w14:solidFill>
                </w14:textFill>
              </w:rPr>
              <w:t>⑤</w:t>
            </w:r>
            <w:r>
              <w:rPr>
                <w:rFonts w:hint="eastAsia"/>
                <w:color w:val="000000" w:themeColor="text1"/>
                <w:kern w:val="52"/>
                <w:sz w:val="24"/>
                <w14:textFill>
                  <w14:solidFill>
                    <w14:schemeClr w14:val="tx1"/>
                  </w14:solidFill>
                </w14:textFill>
              </w:rPr>
              <w:t>污水处理站为收集到的恶臭：</w:t>
            </w:r>
            <w:r>
              <w:rPr>
                <w:rFonts w:hint="eastAsia" w:ascii="宋体" w:hAnsi="宋体" w:cs="宋体"/>
                <w:color w:val="000000" w:themeColor="text1"/>
                <w:kern w:val="0"/>
                <w:sz w:val="24"/>
                <w14:textFill>
                  <w14:solidFill>
                    <w14:schemeClr w14:val="tx1"/>
                  </w14:solidFill>
                </w14:textFill>
              </w:rPr>
              <w:t>使污水处理站处理良好的运作状态，且严格控制污泥在厂区的存放时间，及时清运，并加大厂区绿化面积、定期喷洒除臭剂等，来降低污水处理站产生的恶臭影响。</w:t>
            </w:r>
          </w:p>
          <w:p w14:paraId="42E27ADF">
            <w:pPr>
              <w:widowControl/>
              <w:snapToGrid w:val="0"/>
              <w:spacing w:line="360" w:lineRule="auto"/>
              <w:ind w:firstLine="480" w:firstLineChars="200"/>
              <w:rPr>
                <w:bCs/>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w:t>
            </w:r>
            <w:r>
              <w:rPr>
                <w:bCs/>
                <w:color w:val="000000" w:themeColor="text1"/>
                <w:kern w:val="0"/>
                <w:sz w:val="24"/>
                <w14:textFill>
                  <w14:solidFill>
                    <w14:schemeClr w14:val="tx1"/>
                  </w14:solidFill>
                </w14:textFill>
              </w:rPr>
              <w:t>本项目</w:t>
            </w:r>
            <w:r>
              <w:rPr>
                <w:rFonts w:hint="eastAsia"/>
                <w:bCs/>
                <w:color w:val="000000" w:themeColor="text1"/>
                <w:kern w:val="0"/>
                <w:sz w:val="24"/>
                <w14:textFill>
                  <w14:solidFill>
                    <w14:schemeClr w14:val="tx1"/>
                  </w14:solidFill>
                </w14:textFill>
              </w:rPr>
              <w:t>医疗器械生产线</w:t>
            </w:r>
            <w:r>
              <w:rPr>
                <w:bCs/>
                <w:color w:val="000000" w:themeColor="text1"/>
                <w:kern w:val="0"/>
                <w:sz w:val="24"/>
                <w14:textFill>
                  <w14:solidFill>
                    <w14:schemeClr w14:val="tx1"/>
                  </w14:solidFill>
                </w14:textFill>
              </w:rPr>
              <w:t>在建设及生产过程中做到</w:t>
            </w:r>
            <w:r>
              <w:rPr>
                <w:rFonts w:hint="eastAsia"/>
                <w:bCs/>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生产过程收尘到位，物料运输抑尘到位，厂区道路除尘到位，裸露土地绿化到位，无组织排放监控到位</w:t>
            </w:r>
            <w:r>
              <w:rPr>
                <w:rFonts w:hint="eastAsia"/>
                <w:bCs/>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w:t>
            </w:r>
            <w:r>
              <w:rPr>
                <w:rFonts w:hint="eastAsia"/>
                <w:bCs/>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企业生产车间和物料堆场实施全密闭</w:t>
            </w:r>
            <w:r>
              <w:rPr>
                <w:rFonts w:hint="eastAsia"/>
                <w:bCs/>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，全面实现</w:t>
            </w:r>
            <w:r>
              <w:rPr>
                <w:rFonts w:hint="eastAsia"/>
                <w:bCs/>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一密闭、五到位一密闭、五到位</w:t>
            </w:r>
            <w:r>
              <w:rPr>
                <w:rFonts w:hint="eastAsia"/>
                <w:bCs/>
                <w:color w:val="000000" w:themeColor="text1"/>
                <w:kern w:val="0"/>
                <w:sz w:val="24"/>
                <w14:textFill>
                  <w14:solidFill>
                    <w14:schemeClr w14:val="tx1"/>
                  </w14:solidFill>
                </w14:textFill>
              </w:rPr>
              <w:t>”</w:t>
            </w:r>
            <w:r>
              <w:rPr>
                <w:bCs/>
                <w:color w:val="000000" w:themeColor="text1"/>
                <w:kern w:val="0"/>
                <w:sz w:val="24"/>
                <w14:textFill>
                  <w14:solidFill>
                    <w14:schemeClr w14:val="tx1"/>
                  </w14:solidFill>
                </w14:textFill>
              </w:rPr>
              <w:t>。无组织粉尘防治措施具体如下：</w:t>
            </w:r>
          </w:p>
          <w:p w14:paraId="1FFE0081">
            <w:pPr>
              <w:widowControl/>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①</w:t>
            </w:r>
            <w:r>
              <w:rPr>
                <w:color w:val="000000" w:themeColor="text1"/>
                <w:sz w:val="24"/>
                <w14:textFill>
                  <w14:solidFill>
                    <w14:schemeClr w14:val="tx1"/>
                  </w14:solidFill>
                </w14:textFill>
              </w:rPr>
              <w:t>项目车间均设置为洁净</w:t>
            </w:r>
            <w:r>
              <w:rPr>
                <w:rFonts w:hint="eastAsia"/>
                <w:color w:val="000000" w:themeColor="text1"/>
                <w:sz w:val="24"/>
                <w14:textFill>
                  <w14:solidFill>
                    <w14:schemeClr w14:val="tx1"/>
                  </w14:solidFill>
                </w14:textFill>
              </w:rPr>
              <w:t>车间</w:t>
            </w:r>
            <w:r>
              <w:rPr>
                <w:color w:val="000000" w:themeColor="text1"/>
                <w:sz w:val="24"/>
                <w14:textFill>
                  <w14:solidFill>
                    <w14:schemeClr w14:val="tx1"/>
                  </w14:solidFill>
                </w14:textFill>
              </w:rPr>
              <w:t>，车间产生的废气经循环净风系统去除99.99%以上的粉尘，使车间空气中尘埃粒子数及指标完全控制在设计标准范围内</w:t>
            </w:r>
            <w:r>
              <w:rPr>
                <w:bCs/>
                <w:color w:val="000000" w:themeColor="text1"/>
                <w:kern w:val="0"/>
                <w:sz w:val="24"/>
                <w14:textFill>
                  <w14:solidFill>
                    <w14:schemeClr w14:val="tx1"/>
                  </w14:solidFill>
                </w14:textFill>
              </w:rPr>
              <w:t>；</w:t>
            </w:r>
          </w:p>
          <w:p w14:paraId="5FF3E1E5">
            <w:pPr>
              <w:widowControl/>
              <w:snapToGrid w:val="0"/>
              <w:spacing w:line="360" w:lineRule="auto"/>
              <w:ind w:firstLine="480" w:firstLineChars="200"/>
              <w:rPr>
                <w:bCs/>
                <w:color w:val="000000" w:themeColor="text1"/>
                <w:kern w:val="0"/>
                <w:sz w:val="24"/>
                <w14:textFill>
                  <w14:solidFill>
                    <w14:schemeClr w14:val="tx1"/>
                  </w14:solidFill>
                </w14:textFill>
              </w:rPr>
            </w:pPr>
            <w:r>
              <w:rPr>
                <w:bCs/>
                <w:color w:val="000000" w:themeColor="text1"/>
                <w:kern w:val="0"/>
                <w:sz w:val="24"/>
                <w14:textFill>
                  <w14:solidFill>
                    <w14:schemeClr w14:val="tx1"/>
                  </w14:solidFill>
                </w14:textFill>
              </w:rPr>
              <w:t>②项目各生产工序在封闭生产车间内进行；使用密闭管道输送物料</w:t>
            </w:r>
            <w:r>
              <w:rPr>
                <w:color w:val="000000" w:themeColor="text1"/>
                <w:sz w:val="24"/>
                <w14:textFill>
                  <w14:solidFill>
                    <w14:schemeClr w14:val="tx1"/>
                  </w14:solidFill>
                </w14:textFill>
              </w:rPr>
              <w:t>，</w:t>
            </w:r>
            <w:r>
              <w:rPr>
                <w:bCs/>
                <w:color w:val="000000" w:themeColor="text1"/>
                <w:kern w:val="0"/>
                <w:sz w:val="24"/>
                <w14:textFill>
                  <w14:solidFill>
                    <w14:schemeClr w14:val="tx1"/>
                  </w14:solidFill>
                </w14:textFill>
              </w:rPr>
              <w:t>可有效减少无组织粉尘排放</w:t>
            </w:r>
            <w:r>
              <w:rPr>
                <w:rFonts w:hint="eastAsia"/>
                <w:bCs/>
                <w:color w:val="000000" w:themeColor="text1"/>
                <w:kern w:val="0"/>
                <w:sz w:val="24"/>
                <w14:textFill>
                  <w14:solidFill>
                    <w14:schemeClr w14:val="tx1"/>
                  </w14:solidFill>
                </w14:textFill>
              </w:rPr>
              <w:t>。</w:t>
            </w:r>
          </w:p>
          <w:p w14:paraId="6EDCE209">
            <w:pPr>
              <w:widowControl/>
              <w:snapToGrid w:val="0"/>
              <w:spacing w:line="360" w:lineRule="auto"/>
              <w:ind w:firstLine="480" w:firstLineChars="200"/>
              <w:rPr>
                <w:bCs/>
                <w:color w:val="000000" w:themeColor="text1"/>
                <w:kern w:val="0"/>
                <w:sz w:val="24"/>
                <w14:textFill>
                  <w14:solidFill>
                    <w14:schemeClr w14:val="tx1"/>
                  </w14:solidFill>
                </w14:textFill>
              </w:rPr>
            </w:pPr>
            <w:r>
              <w:rPr>
                <w:rFonts w:hint="eastAsia"/>
                <w:color w:val="000000" w:themeColor="text1"/>
                <w:kern w:val="52"/>
                <w:sz w:val="24"/>
                <w14:textFill>
                  <w14:solidFill>
                    <w14:schemeClr w14:val="tx1"/>
                  </w14:solidFill>
                </w14:textFill>
              </w:rPr>
              <w:t>本项目采取上述无组织废气污染防治措施后，厂界废气浓度可以达标排放。</w:t>
            </w:r>
          </w:p>
          <w:p w14:paraId="6686B16B">
            <w:pPr>
              <w:widowControl/>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1.7</w:t>
            </w:r>
            <w:r>
              <w:rPr>
                <w:color w:val="000000" w:themeColor="text1"/>
                <w:sz w:val="24"/>
                <w14:textFill>
                  <w14:solidFill>
                    <w14:schemeClr w14:val="tx1"/>
                  </w14:solidFill>
                </w14:textFill>
              </w:rPr>
              <w:t>环境影响分析</w:t>
            </w:r>
          </w:p>
          <w:p w14:paraId="26386D72">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综上所述，项目采取本环评提出的大气污染防治措施后，营运期废气均能实现达标排放，对周围大气环境影响较小。但应注意非正常工况情况，采取必要措施，最大程度上减少污染物排放。</w:t>
            </w:r>
          </w:p>
          <w:p w14:paraId="67423371">
            <w:pPr>
              <w:pStyle w:val="48"/>
              <w:snapToGrid w:val="0"/>
              <w:spacing w:line="360" w:lineRule="auto"/>
              <w:ind w:firstLine="482" w:firstLineChars="200"/>
              <w:jc w:val="both"/>
              <w:rPr>
                <w:rFonts w:ascii="Times New Roman" w:hAnsi="Times New Roman"/>
                <w:b/>
                <w:color w:val="000000" w:themeColor="text1"/>
                <w:kern w:val="0"/>
                <w:szCs w:val="24"/>
                <w14:textFill>
                  <w14:solidFill>
                    <w14:schemeClr w14:val="tx1"/>
                  </w14:solidFill>
                </w14:textFill>
              </w:rPr>
            </w:pPr>
            <w:r>
              <w:rPr>
                <w:rFonts w:ascii="Times New Roman" w:hAnsi="Times New Roman"/>
                <w:b/>
                <w:color w:val="000000" w:themeColor="text1"/>
                <w:kern w:val="0"/>
                <w:szCs w:val="24"/>
                <w14:textFill>
                  <w14:solidFill>
                    <w14:schemeClr w14:val="tx1"/>
                  </w14:solidFill>
                </w14:textFill>
              </w:rPr>
              <w:t>2、废水</w:t>
            </w:r>
          </w:p>
          <w:p w14:paraId="105712A9">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2.1废水源强分析</w:t>
            </w:r>
          </w:p>
          <w:p w14:paraId="7AFCF0D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（1）生活污水</w:t>
            </w:r>
          </w:p>
          <w:p w14:paraId="2077376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本项目生活用水量为2.25m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/d（513m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/a），生活用水排污系数按0.8计，则本项目生活污水产生量为1.8m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/d（410.4m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/a），主要污染物浓度为COD300mg/L、BOD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250mg/L、SS280mg/L、氨氮30mg/L。生活污水经化粪池</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5m</w:t>
            </w:r>
            <w:r>
              <w:rPr>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处理后进入厂区污水处理站处理后经厂区总排口排入市政污水管网，镇平县第二污水处理厂处理达标后排放。</w:t>
            </w:r>
          </w:p>
          <w:p w14:paraId="25A20B00">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（2）蒸汽发生器定期排水</w:t>
            </w:r>
          </w:p>
          <w:p w14:paraId="76AE50B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本项目蒸汽发生器纯水在循环使用过程中，含盐量和硬度会逐渐增加，为避免蒸汽发生器结垢，蒸汽发生器每日用完后，蒸汽发生器内少许高温水需定期排放，并补充一定量的新鲜纯水。蒸汽发生器定期排污水量为</w:t>
            </w:r>
            <w:r>
              <w:rPr>
                <w:rFonts w:hint="eastAsia"/>
                <w:color w:val="000000" w:themeColor="text1"/>
                <w:sz w:val="24"/>
                <w14:textFill>
                  <w14:solidFill>
                    <w14:schemeClr w14:val="tx1"/>
                  </w14:solidFill>
                </w14:textFill>
              </w:rPr>
              <w:t>0.18m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/d</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41.04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color w:val="000000" w:themeColor="text1"/>
                <w:kern w:val="0"/>
                <w:sz w:val="24"/>
                <w14:textFill>
                  <w14:solidFill>
                    <w14:schemeClr w14:val="tx1"/>
                  </w14:solidFill>
                </w14:textFill>
              </w:rPr>
              <w:t>，主要污染物为SS50mg/L</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蒸汽发生器定期排水</w:t>
            </w:r>
            <w:r>
              <w:rPr>
                <w:color w:val="000000" w:themeColor="text1"/>
                <w:sz w:val="24"/>
                <w14:textFill>
                  <w14:solidFill>
                    <w14:schemeClr w14:val="tx1"/>
                  </w14:solidFill>
                </w14:textFill>
              </w:rPr>
              <w:t>经厂区污水处理站处理后经厂区总排口排入市政污水管网，镇平县第二污水处理厂处理达标后排放。</w:t>
            </w:r>
          </w:p>
          <w:p w14:paraId="6FF3E7C0">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（3）白酒生产线废水</w:t>
            </w:r>
          </w:p>
          <w:p w14:paraId="79B15797">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①</w:t>
            </w:r>
            <w:r>
              <w:rPr>
                <w:color w:val="000000" w:themeColor="text1"/>
                <w:kern w:val="0"/>
                <w:sz w:val="24"/>
                <w14:textFill>
                  <w14:solidFill>
                    <w14:schemeClr w14:val="tx1"/>
                  </w14:solidFill>
                </w14:textFill>
              </w:rPr>
              <w:t>甑锅清洗废水</w:t>
            </w:r>
          </w:p>
          <w:p w14:paraId="27F0659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本项目甑锅清洗用水量为</w:t>
            </w:r>
            <w:r>
              <w:rPr>
                <w:color w:val="000000" w:themeColor="text1"/>
                <w:sz w:val="24"/>
                <w14:textFill>
                  <w14:solidFill>
                    <w14:schemeClr w14:val="tx1"/>
                  </w14:solidFill>
                </w14:textFill>
              </w:rPr>
              <w:t>22.8m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/a（0.1m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，排污系数为0.9，则甑锅清洗废水量为</w:t>
            </w:r>
            <w:r>
              <w:rPr>
                <w:color w:val="000000" w:themeColor="text1"/>
                <w:sz w:val="24"/>
                <w14:textFill>
                  <w14:solidFill>
                    <w14:schemeClr w14:val="tx1"/>
                  </w14:solidFill>
                </w14:textFill>
              </w:rPr>
              <w:t>20.52m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/a（0.09m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根据《酿造工业废水治理工程技术规范》（HJ575-2010），甑锅清洗废水（一次洗锅水）属于高浓度废水；参照《第二次全国污染源普查工业污染源排污系数手册》中白酒行业排污情况（规模＜2000千升/年）、《酿造工业废水治理工程技术规范》（HJ575-2010）以及类比同类企业，甑锅清洗废水主要污染物为COD1</w:t>
            </w:r>
            <w:r>
              <w:rPr>
                <w:rFonts w:hint="eastAsia"/>
                <w:color w:val="000000" w:themeColor="text1"/>
                <w:kern w:val="0"/>
                <w:sz w:val="24"/>
                <w14:textFill>
                  <w14:solidFill>
                    <w14:schemeClr w14:val="tx1"/>
                  </w14:solidFill>
                </w14:textFill>
              </w:rPr>
              <w:t>2</w:t>
            </w:r>
            <w:r>
              <w:rPr>
                <w:color w:val="000000" w:themeColor="text1"/>
                <w:kern w:val="0"/>
                <w:sz w:val="24"/>
                <w14:textFill>
                  <w14:solidFill>
                    <w14:schemeClr w14:val="tx1"/>
                  </w14:solidFill>
                </w14:textFill>
              </w:rPr>
              <w:t>000mg/L、BOD</w:t>
            </w:r>
            <w:r>
              <w:rPr>
                <w:color w:val="000000" w:themeColor="text1"/>
                <w:kern w:val="0"/>
                <w:sz w:val="24"/>
                <w:vertAlign w:val="subscript"/>
                <w14:textFill>
                  <w14:solidFill>
                    <w14:schemeClr w14:val="tx1"/>
                  </w14:solidFill>
                </w14:textFill>
              </w:rPr>
              <w:t>5</w:t>
            </w:r>
            <w:r>
              <w:rPr>
                <w:rFonts w:hint="eastAsia"/>
                <w:color w:val="000000" w:themeColor="text1"/>
                <w:kern w:val="0"/>
                <w:sz w:val="24"/>
                <w14:textFill>
                  <w14:solidFill>
                    <w14:schemeClr w14:val="tx1"/>
                  </w14:solidFill>
                </w14:textFill>
              </w:rPr>
              <w:t>85</w:t>
            </w:r>
            <w:r>
              <w:rPr>
                <w:color w:val="000000" w:themeColor="text1"/>
                <w:kern w:val="0"/>
                <w:sz w:val="24"/>
                <w14:textFill>
                  <w14:solidFill>
                    <w14:schemeClr w14:val="tx1"/>
                  </w14:solidFill>
                </w14:textFill>
              </w:rPr>
              <w:t>00mg/L、SS</w:t>
            </w:r>
            <w:r>
              <w:rPr>
                <w:rFonts w:hint="eastAsia"/>
                <w:color w:val="000000" w:themeColor="text1"/>
                <w:kern w:val="0"/>
                <w:sz w:val="24"/>
                <w14:textFill>
                  <w14:solidFill>
                    <w14:schemeClr w14:val="tx1"/>
                  </w14:solidFill>
                </w14:textFill>
              </w:rPr>
              <w:t>20</w:t>
            </w:r>
            <w:r>
              <w:rPr>
                <w:color w:val="000000" w:themeColor="text1"/>
                <w:kern w:val="0"/>
                <w:sz w:val="24"/>
                <w14:textFill>
                  <w14:solidFill>
                    <w14:schemeClr w14:val="tx1"/>
                  </w14:solidFill>
                </w14:textFill>
              </w:rPr>
              <w:t>00mg/L、NH</w:t>
            </w:r>
            <w:r>
              <w:rPr>
                <w:color w:val="000000" w:themeColor="text1"/>
                <w:kern w:val="0"/>
                <w:sz w:val="24"/>
                <w:vertAlign w:val="subscript"/>
                <w14:textFill>
                  <w14:solidFill>
                    <w14:schemeClr w14:val="tx1"/>
                  </w14:solidFill>
                </w14:textFill>
              </w:rPr>
              <w:t>3</w:t>
            </w:r>
            <w:r>
              <w:rPr>
                <w:color w:val="000000" w:themeColor="text1"/>
                <w:kern w:val="0"/>
                <w:sz w:val="24"/>
                <w14:textFill>
                  <w14:solidFill>
                    <w14:schemeClr w14:val="tx1"/>
                  </w14:solidFill>
                </w14:textFill>
              </w:rPr>
              <w:t>-N300mg/L、TN460mg/L、TP5</w:t>
            </w:r>
            <w:r>
              <w:rPr>
                <w:rFonts w:hint="eastAsia"/>
                <w:color w:val="000000" w:themeColor="text1"/>
                <w:kern w:val="0"/>
                <w:sz w:val="24"/>
                <w14:textFill>
                  <w14:solidFill>
                    <w14:schemeClr w14:val="tx1"/>
                  </w14:solidFill>
                </w14:textFill>
              </w:rPr>
              <w:t>0</w:t>
            </w:r>
            <w:r>
              <w:rPr>
                <w:color w:val="000000" w:themeColor="text1"/>
                <w:kern w:val="0"/>
                <w:sz w:val="24"/>
                <w14:textFill>
                  <w14:solidFill>
                    <w14:schemeClr w14:val="tx1"/>
                  </w14:solidFill>
                </w14:textFill>
              </w:rPr>
              <w:t>mg/L。甑锅清洗废水</w:t>
            </w:r>
            <w:r>
              <w:rPr>
                <w:color w:val="000000" w:themeColor="text1"/>
                <w:sz w:val="24"/>
                <w14:textFill>
                  <w14:solidFill>
                    <w14:schemeClr w14:val="tx1"/>
                  </w14:solidFill>
                </w14:textFill>
              </w:rPr>
              <w:t>经厂区污水处理站处理后经厂区总排口排入市政污水管网，镇平县第二污水处理厂处理达标后排放。</w:t>
            </w:r>
          </w:p>
          <w:p w14:paraId="4B5BA77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w:t>
            </w:r>
            <w:r>
              <w:rPr>
                <w:rFonts w:hint="eastAsia"/>
                <w:color w:val="000000" w:themeColor="text1"/>
                <w:sz w:val="24"/>
                <w14:textFill>
                  <w14:solidFill>
                    <w14:schemeClr w14:val="tx1"/>
                  </w14:solidFill>
                </w14:textFill>
              </w:rPr>
              <w:t>丢糟渗滤液</w:t>
            </w:r>
          </w:p>
          <w:p w14:paraId="46F6BB0E">
            <w:pPr>
              <w:pStyle w:val="13"/>
              <w:spacing w:before="0" w:after="0" w:line="360" w:lineRule="auto"/>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由于本项目生产产生的丢糟含水率较高，在暂存间堆存期间其内部含水会随重力渗沥作用形成渗滤液，其渗滤液产生量约占丢糟含水率的</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0%左右，即</w:t>
            </w:r>
            <w:r>
              <w:rPr>
                <w:rFonts w:hint="eastAsia"/>
                <w:color w:val="000000" w:themeColor="text1"/>
                <w:lang w:val="en-US" w:eastAsia="zh-CN"/>
                <w14:textFill>
                  <w14:solidFill>
                    <w14:schemeClr w14:val="tx1"/>
                  </w14:solidFill>
                </w14:textFill>
              </w:rPr>
              <w:t>23.009</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szCs w:val="21"/>
                <w:lang w:val="en-US" w:eastAsia="zh-CN"/>
                <w14:textFill>
                  <w14:solidFill>
                    <w14:schemeClr w14:val="tx1"/>
                  </w14:solidFill>
                </w14:textFill>
              </w:rPr>
              <w:t>0.101</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。根据《酿造工业废水治理工程技术规范》（HJ575-2010），</w:t>
            </w:r>
            <w:r>
              <w:rPr>
                <w:rFonts w:hint="eastAsia"/>
                <w:color w:val="000000" w:themeColor="text1"/>
                <w:lang w:val="en-US" w:eastAsia="zh-CN"/>
                <w14:textFill>
                  <w14:solidFill>
                    <w14:schemeClr w14:val="tx1"/>
                  </w14:solidFill>
                </w14:textFill>
              </w:rPr>
              <w:t>丢糟渗滤液</w:t>
            </w:r>
            <w:r>
              <w:rPr>
                <w:rFonts w:hint="eastAsia"/>
                <w:color w:val="000000" w:themeColor="text1"/>
                <w14:textFill>
                  <w14:solidFill>
                    <w14:schemeClr w14:val="tx1"/>
                  </w14:solidFill>
                </w14:textFill>
              </w:rPr>
              <w:t>属于高浓度废水；参照《第二次全国污染源普查工业污染源排污系数手册》中白酒行业排污情况（规模＜2000千升/年）、《酿造工业废水治理工程技术规范》（HJ575-2010）以及类比同类企业，</w:t>
            </w:r>
            <w:r>
              <w:rPr>
                <w:rFonts w:hint="eastAsia"/>
                <w:color w:val="000000" w:themeColor="text1"/>
                <w:lang w:val="en-US" w:eastAsia="zh-CN"/>
                <w14:textFill>
                  <w14:solidFill>
                    <w14:schemeClr w14:val="tx1"/>
                  </w14:solidFill>
                </w14:textFill>
              </w:rPr>
              <w:t>丢糟渗滤液</w:t>
            </w:r>
            <w:r>
              <w:rPr>
                <w:rFonts w:hint="eastAsia"/>
                <w:color w:val="000000" w:themeColor="text1"/>
                <w14:textFill>
                  <w14:solidFill>
                    <w14:schemeClr w14:val="tx1"/>
                  </w14:solidFill>
                </w14:textFill>
              </w:rPr>
              <w:t>主要污染物为</w:t>
            </w:r>
            <w:r>
              <w:rPr>
                <w:color w:val="000000" w:themeColor="text1"/>
                <w14:textFill>
                  <w14:solidFill>
                    <w14:schemeClr w14:val="tx1"/>
                  </w14:solidFill>
                </w14:textFill>
              </w:rPr>
              <w:t>COD1</w:t>
            </w: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000mg/L、BOD</w:t>
            </w:r>
            <w:r>
              <w:rPr>
                <w:color w:val="000000" w:themeColor="text1"/>
                <w:vertAlign w:val="subscript"/>
                <w14:textFill>
                  <w14:solidFill>
                    <w14:schemeClr w14:val="tx1"/>
                  </w14:solidFill>
                </w14:textFill>
              </w:rPr>
              <w:t>5</w:t>
            </w:r>
            <w:r>
              <w:rPr>
                <w:rFonts w:hint="eastAsia"/>
                <w:color w:val="000000" w:themeColor="text1"/>
                <w:lang w:val="en-US" w:eastAsia="zh-CN"/>
                <w14:textFill>
                  <w14:solidFill>
                    <w14:schemeClr w14:val="tx1"/>
                  </w14:solidFill>
                </w14:textFill>
              </w:rPr>
              <w:t>85</w:t>
            </w:r>
            <w:r>
              <w:rPr>
                <w:color w:val="000000" w:themeColor="text1"/>
                <w14:textFill>
                  <w14:solidFill>
                    <w14:schemeClr w14:val="tx1"/>
                  </w14:solidFill>
                </w14:textFill>
              </w:rPr>
              <w:t>00mg/L</w:t>
            </w:r>
            <w:r>
              <w:rPr>
                <w:rFonts w:hint="eastAsia"/>
                <w:color w:val="000000" w:themeColor="text1"/>
                <w14:textFill>
                  <w14:solidFill>
                    <w14:schemeClr w14:val="tx1"/>
                  </w14:solidFill>
                </w14:textFill>
              </w:rPr>
              <w:t>、SS</w:t>
            </w:r>
            <w:r>
              <w:rPr>
                <w:rFonts w:hint="eastAsia"/>
                <w:color w:val="000000" w:themeColor="text1"/>
                <w:lang w:val="en-US" w:eastAsia="zh-CN"/>
                <w14:textFill>
                  <w14:solidFill>
                    <w14:schemeClr w14:val="tx1"/>
                  </w14:solidFill>
                </w14:textFill>
              </w:rPr>
              <w:t>30</w:t>
            </w:r>
            <w:r>
              <w:rPr>
                <w:rFonts w:hint="eastAsia"/>
                <w:color w:val="000000" w:themeColor="text1"/>
                <w14:textFill>
                  <w14:solidFill>
                    <w14:schemeClr w14:val="tx1"/>
                  </w14:solidFill>
                </w14:textFill>
              </w:rPr>
              <w:t>00mg/L、NH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00mg/L、TN</w:t>
            </w:r>
            <w:r>
              <w:rPr>
                <w:rFonts w:hint="eastAsia"/>
                <w:color w:val="000000" w:themeColor="text1"/>
                <w:lang w:val="en-US" w:eastAsia="zh-CN"/>
                <w14:textFill>
                  <w14:solidFill>
                    <w14:schemeClr w14:val="tx1"/>
                  </w14:solidFill>
                </w14:textFill>
              </w:rPr>
              <w:t>30</w:t>
            </w:r>
            <w:r>
              <w:rPr>
                <w:rFonts w:hint="eastAsia"/>
                <w:color w:val="000000" w:themeColor="text1"/>
                <w14:textFill>
                  <w14:solidFill>
                    <w14:schemeClr w14:val="tx1"/>
                  </w14:solidFill>
                </w14:textFill>
              </w:rPr>
              <w:t>0mg/L、TP</w:t>
            </w:r>
            <w:r>
              <w:rPr>
                <w:rFonts w:hint="eastAsia"/>
                <w:color w:val="000000" w:themeColor="text1"/>
                <w:lang w:val="en-US" w:eastAsia="zh-CN"/>
                <w14:textFill>
                  <w14:solidFill>
                    <w14:schemeClr w14:val="tx1"/>
                  </w14:solidFill>
                </w14:textFill>
              </w:rPr>
              <w:t>110</w:t>
            </w:r>
            <w:r>
              <w:rPr>
                <w:rFonts w:hint="eastAsia"/>
                <w:color w:val="000000" w:themeColor="text1"/>
                <w14:textFill>
                  <w14:solidFill>
                    <w14:schemeClr w14:val="tx1"/>
                  </w14:solidFill>
                </w14:textFill>
              </w:rPr>
              <w:t>mg/L。</w:t>
            </w:r>
            <w:r>
              <w:rPr>
                <w:rFonts w:hint="eastAsia"/>
                <w:color w:val="000000" w:themeColor="text1"/>
                <w:lang w:val="en-US" w:eastAsia="zh-CN"/>
                <w14:textFill>
                  <w14:solidFill>
                    <w14:schemeClr w14:val="tx1"/>
                  </w14:solidFill>
                </w14:textFill>
              </w:rPr>
              <w:t>丢糟渗滤液</w:t>
            </w:r>
            <w:r>
              <w:rPr>
                <w:rFonts w:hint="eastAsia"/>
                <w:color w:val="000000" w:themeColor="text1"/>
                <w14:textFill>
                  <w14:solidFill>
                    <w14:schemeClr w14:val="tx1"/>
                  </w14:solidFill>
                </w14:textFill>
              </w:rPr>
              <w:t>经厂区污水处理站处理后经厂区总排口排入市政污水管网，镇平县第二污水处理厂处理达标后排放。</w:t>
            </w:r>
          </w:p>
          <w:p w14:paraId="67BF42E4">
            <w:pPr>
              <w:pStyle w:val="13"/>
              <w:spacing w:before="0" w:after="0"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③</w:t>
            </w:r>
            <w:r>
              <w:rPr>
                <w:rFonts w:hint="eastAsia"/>
                <w:color w:val="000000" w:themeColor="text1"/>
                <w:szCs w:val="21"/>
                <w:lang w:val="en-US" w:eastAsia="zh-CN"/>
                <w14:textFill>
                  <w14:solidFill>
                    <w14:schemeClr w14:val="tx1"/>
                  </w14:solidFill>
                </w14:textFill>
              </w:rPr>
              <w:t>其他酿造废水</w:t>
            </w:r>
          </w:p>
          <w:p w14:paraId="025DDC89">
            <w:pPr>
              <w:pStyle w:val="13"/>
              <w:spacing w:before="0" w:after="0"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窖池在发酵的过程中有少量窖底水产生，同时在酿造过程中，润粮等各环节会产生少量酿造废水排放</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根据水平衡分析，本项目酿造各环节的酿造废水产生量约为</w:t>
            </w:r>
            <w:r>
              <w:rPr>
                <w:rFonts w:hint="eastAsia"/>
                <w:color w:val="000000" w:themeColor="text1"/>
                <w:szCs w:val="21"/>
                <w14:textFill>
                  <w14:solidFill>
                    <w14:schemeClr w14:val="tx1"/>
                  </w14:solidFill>
                </w14:textFill>
              </w:rPr>
              <w:t>256.631</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szCs w:val="21"/>
                <w:lang w:val="en-US" w:eastAsia="zh-CN"/>
                <w14:textFill>
                  <w14:solidFill>
                    <w14:schemeClr w14:val="tx1"/>
                  </w14:solidFill>
                </w14:textFill>
              </w:rPr>
              <w:t>1.126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根据《酿造工业废水治理工程技术规范》（HJ575-2010），</w:t>
            </w:r>
            <w:r>
              <w:rPr>
                <w:rFonts w:hint="eastAsia"/>
                <w:color w:val="000000" w:themeColor="text1"/>
                <w:szCs w:val="21"/>
                <w:lang w:val="en-US" w:eastAsia="zh-CN"/>
                <w14:textFill>
                  <w14:solidFill>
                    <w14:schemeClr w14:val="tx1"/>
                  </w14:solidFill>
                </w14:textFill>
              </w:rPr>
              <w:t>其他酿造废水</w:t>
            </w:r>
            <w:r>
              <w:rPr>
                <w:rFonts w:hint="eastAsia"/>
                <w:color w:val="000000" w:themeColor="text1"/>
                <w14:textFill>
                  <w14:solidFill>
                    <w14:schemeClr w14:val="tx1"/>
                  </w14:solidFill>
                </w14:textFill>
              </w:rPr>
              <w:t>属于高浓度废水；参照《第二次全国污染源普查工业污染源排污系数手册》中白酒行业排污情况（规模＜2000千升/年）、《酿造工业废水治理工程技术规范》（HJ575-2010）以及类比同类企业，</w:t>
            </w:r>
            <w:r>
              <w:rPr>
                <w:rFonts w:hint="eastAsia"/>
                <w:color w:val="000000" w:themeColor="text1"/>
                <w:szCs w:val="21"/>
                <w:lang w:val="en-US" w:eastAsia="zh-CN"/>
                <w14:textFill>
                  <w14:solidFill>
                    <w14:schemeClr w14:val="tx1"/>
                  </w14:solidFill>
                </w14:textFill>
              </w:rPr>
              <w:t>其他酿造废水</w:t>
            </w:r>
            <w:r>
              <w:rPr>
                <w:rFonts w:hint="eastAsia"/>
                <w:color w:val="000000" w:themeColor="text1"/>
                <w14:textFill>
                  <w14:solidFill>
                    <w14:schemeClr w14:val="tx1"/>
                  </w14:solidFill>
                </w14:textFill>
              </w:rPr>
              <w:t>主要污染物为COD</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000mg/L、BOD</w:t>
            </w:r>
            <w:r>
              <w:rPr>
                <w:rFonts w:hint="eastAsia"/>
                <w:color w:val="000000" w:themeColor="text1"/>
                <w:vertAlign w:val="subscript"/>
                <w14:textFill>
                  <w14:solidFill>
                    <w14:schemeClr w14:val="tx1"/>
                  </w14:solidFill>
                </w14:textFill>
              </w:rPr>
              <w:t>5</w:t>
            </w:r>
            <w:r>
              <w:rPr>
                <w:rFonts w:hint="eastAsia"/>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00mg/L、SS</w:t>
            </w:r>
            <w:r>
              <w:rPr>
                <w:rFonts w:hint="eastAsia"/>
                <w:color w:val="000000" w:themeColor="text1"/>
                <w:lang w:val="en-US" w:eastAsia="zh-CN"/>
                <w14:textFill>
                  <w14:solidFill>
                    <w14:schemeClr w14:val="tx1"/>
                  </w14:solidFill>
                </w14:textFill>
              </w:rPr>
              <w:t>35</w:t>
            </w:r>
            <w:r>
              <w:rPr>
                <w:rFonts w:hint="eastAsia"/>
                <w:color w:val="000000" w:themeColor="text1"/>
                <w14:textFill>
                  <w14:solidFill>
                    <w14:schemeClr w14:val="tx1"/>
                  </w14:solidFill>
                </w14:textFill>
              </w:rPr>
              <w:t>00mg/L、NH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r>
              <w:rPr>
                <w:rFonts w:hint="eastAsia"/>
                <w:color w:val="000000" w:themeColor="text1"/>
                <w:lang w:val="en-US" w:eastAsia="zh-CN"/>
                <w14:textFill>
                  <w14:solidFill>
                    <w14:schemeClr w14:val="tx1"/>
                  </w14:solidFill>
                </w14:textFill>
              </w:rPr>
              <w:t>13</w:t>
            </w:r>
            <w:r>
              <w:rPr>
                <w:rFonts w:hint="eastAsia"/>
                <w:color w:val="000000" w:themeColor="text1"/>
                <w14:textFill>
                  <w14:solidFill>
                    <w14:schemeClr w14:val="tx1"/>
                  </w14:solidFill>
                </w14:textFill>
              </w:rPr>
              <w:t>0mg/L、TN</w:t>
            </w:r>
            <w:r>
              <w:rPr>
                <w:rFonts w:hint="eastAsia"/>
                <w:color w:val="000000" w:themeColor="text1"/>
                <w:lang w:val="en-US" w:eastAsia="zh-CN"/>
                <w14:textFill>
                  <w14:solidFill>
                    <w14:schemeClr w14:val="tx1"/>
                  </w14:solidFill>
                </w14:textFill>
              </w:rPr>
              <w:t>21</w:t>
            </w:r>
            <w:r>
              <w:rPr>
                <w:rFonts w:hint="eastAsia"/>
                <w:color w:val="000000" w:themeColor="text1"/>
                <w14:textFill>
                  <w14:solidFill>
                    <w14:schemeClr w14:val="tx1"/>
                  </w14:solidFill>
                </w14:textFill>
              </w:rPr>
              <w:t>0mg/L、TP</w:t>
            </w:r>
            <w:r>
              <w:rPr>
                <w:rFonts w:hint="eastAsia"/>
                <w:color w:val="000000" w:themeColor="text1"/>
                <w:lang w:val="en-US" w:eastAsia="zh-CN"/>
                <w14:textFill>
                  <w14:solidFill>
                    <w14:schemeClr w14:val="tx1"/>
                  </w14:solidFill>
                </w14:textFill>
              </w:rPr>
              <w:t>75</w:t>
            </w:r>
            <w:r>
              <w:rPr>
                <w:rFonts w:hint="eastAsia"/>
                <w:color w:val="000000" w:themeColor="text1"/>
                <w14:textFill>
                  <w14:solidFill>
                    <w14:schemeClr w14:val="tx1"/>
                  </w14:solidFill>
                </w14:textFill>
              </w:rPr>
              <w:t>mg/L。</w:t>
            </w:r>
            <w:r>
              <w:rPr>
                <w:rFonts w:hint="eastAsia"/>
                <w:color w:val="000000" w:themeColor="text1"/>
                <w:szCs w:val="21"/>
                <w:lang w:val="en-US" w:eastAsia="zh-CN"/>
                <w14:textFill>
                  <w14:solidFill>
                    <w14:schemeClr w14:val="tx1"/>
                  </w14:solidFill>
                </w14:textFill>
              </w:rPr>
              <w:t>其他酿造废水</w:t>
            </w:r>
            <w:r>
              <w:rPr>
                <w:rFonts w:hint="eastAsia"/>
                <w:color w:val="000000" w:themeColor="text1"/>
                <w14:textFill>
                  <w14:solidFill>
                    <w14:schemeClr w14:val="tx1"/>
                  </w14:solidFill>
                </w14:textFill>
              </w:rPr>
              <w:t>经厂区污水处理站处理后经厂区总排口排入市政污水管网，镇平县第二污水处理厂处理达标后排放。</w:t>
            </w:r>
          </w:p>
          <w:p w14:paraId="0D104F80">
            <w:pPr>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④</w:t>
            </w:r>
            <w:r>
              <w:rPr>
                <w:rFonts w:hint="eastAsia"/>
                <w:color w:val="000000" w:themeColor="text1"/>
                <w:kern w:val="0"/>
                <w:sz w:val="24"/>
                <w14:textFill>
                  <w14:solidFill>
                    <w14:schemeClr w14:val="tx1"/>
                  </w14:solidFill>
                </w14:textFill>
              </w:rPr>
              <w:t>锅底废水</w:t>
            </w:r>
          </w:p>
          <w:p w14:paraId="71E6B3CC">
            <w:pPr>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项目综合车间蒸粮、馏酒蒸煮时产生锅底废水，俗称甄脚水，由于蒸汽凝结而成。根据水平衡分析可知，本项目白酒锅底水平均产生量约为14.661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w:t>
            </w:r>
            <w:r>
              <w:rPr>
                <w:rFonts w:hint="eastAsia"/>
                <w:color w:val="000000" w:themeColor="text1"/>
                <w:sz w:val="24"/>
                <w14:textFill>
                  <w14:solidFill>
                    <w14:schemeClr w14:val="tx1"/>
                  </w14:solidFill>
                </w14:textFill>
              </w:rPr>
              <w:t>064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kern w:val="0"/>
                <w:sz w:val="24"/>
                <w14:textFill>
                  <w14:solidFill>
                    <w14:schemeClr w14:val="tx1"/>
                  </w14:solidFill>
                </w14:textFill>
              </w:rPr>
              <w:t>，在馏酒、蒸煮过程中会有一些料醅漏入锅底，致使锅底水含有大量的糖类、酸类、醇类、脂类等物质。根据《酿造工业废水治理工程技术规范》（HJ575-2010），锅底水属于高浓度废水；</w:t>
            </w:r>
            <w:r>
              <w:rPr>
                <w:rFonts w:hint="eastAsia"/>
                <w:color w:val="000000" w:themeColor="text1"/>
                <w:sz w:val="24"/>
                <w14:textFill>
                  <w14:solidFill>
                    <w14:schemeClr w14:val="tx1"/>
                  </w14:solidFill>
                </w14:textFill>
              </w:rPr>
              <w:t>参照《第二次全国污染源普查工业污染源排污系数手册》中白酒行业排污情况（规模＜2000千升/年）、《酿造工业废水治理工程技术规范》（HJ575-2010）以及类比同类企业，锅底水主要污染物为</w:t>
            </w:r>
            <w:r>
              <w:rPr>
                <w:color w:val="000000" w:themeColor="text1"/>
                <w:kern w:val="0"/>
                <w:sz w:val="24"/>
                <w14:textFill>
                  <w14:solidFill>
                    <w14:schemeClr w14:val="tx1"/>
                  </w14:solidFill>
                </w14:textFill>
              </w:rPr>
              <w:t>COD1</w:t>
            </w:r>
            <w:r>
              <w:rPr>
                <w:rFonts w:hint="eastAsia"/>
                <w:color w:val="000000" w:themeColor="text1"/>
                <w:kern w:val="0"/>
                <w:sz w:val="24"/>
                <w14:textFill>
                  <w14:solidFill>
                    <w14:schemeClr w14:val="tx1"/>
                  </w14:solidFill>
                </w14:textFill>
              </w:rPr>
              <w:t>2</w:t>
            </w:r>
            <w:r>
              <w:rPr>
                <w:color w:val="000000" w:themeColor="text1"/>
                <w:kern w:val="0"/>
                <w:sz w:val="24"/>
                <w14:textFill>
                  <w14:solidFill>
                    <w14:schemeClr w14:val="tx1"/>
                  </w14:solidFill>
                </w14:textFill>
              </w:rPr>
              <w:t>000mg/L、BOD</w:t>
            </w:r>
            <w:r>
              <w:rPr>
                <w:color w:val="000000" w:themeColor="text1"/>
                <w:kern w:val="0"/>
                <w:sz w:val="24"/>
                <w:vertAlign w:val="subscript"/>
                <w14:textFill>
                  <w14:solidFill>
                    <w14:schemeClr w14:val="tx1"/>
                  </w14:solidFill>
                </w14:textFill>
              </w:rPr>
              <w:t>5</w:t>
            </w:r>
            <w:r>
              <w:rPr>
                <w:rFonts w:hint="eastAsia"/>
                <w:color w:val="000000" w:themeColor="text1"/>
                <w:kern w:val="0"/>
                <w:sz w:val="24"/>
                <w14:textFill>
                  <w14:solidFill>
                    <w14:schemeClr w14:val="tx1"/>
                  </w14:solidFill>
                </w14:textFill>
              </w:rPr>
              <w:t>85</w:t>
            </w:r>
            <w:r>
              <w:rPr>
                <w:color w:val="000000" w:themeColor="text1"/>
                <w:kern w:val="0"/>
                <w:sz w:val="24"/>
                <w14:textFill>
                  <w14:solidFill>
                    <w14:schemeClr w14:val="tx1"/>
                  </w14:solidFill>
                </w14:textFill>
              </w:rPr>
              <w:t>00mg/L</w:t>
            </w:r>
            <w:r>
              <w:rPr>
                <w:rFonts w:hint="eastAsia"/>
                <w:color w:val="000000" w:themeColor="text1"/>
                <w:sz w:val="24"/>
                <w14:textFill>
                  <w14:solidFill>
                    <w14:schemeClr w14:val="tx1"/>
                  </w14:solidFill>
                </w14:textFill>
              </w:rPr>
              <w:t>、SS3000mg/L、NH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-N200mg/L、TN300mg/L、TP130mg/L。</w:t>
            </w:r>
            <w:r>
              <w:rPr>
                <w:rFonts w:hint="eastAsia"/>
                <w:color w:val="000000" w:themeColor="text1"/>
                <w:kern w:val="0"/>
                <w:sz w:val="24"/>
                <w14:textFill>
                  <w14:solidFill>
                    <w14:schemeClr w14:val="tx1"/>
                  </w14:solidFill>
                </w14:textFill>
              </w:rPr>
              <w:t>锅底水</w:t>
            </w:r>
            <w:r>
              <w:rPr>
                <w:rFonts w:hint="eastAsia"/>
                <w:color w:val="000000" w:themeColor="text1"/>
                <w:sz w:val="24"/>
                <w14:textFill>
                  <w14:solidFill>
                    <w14:schemeClr w14:val="tx1"/>
                  </w14:solidFill>
                </w14:textFill>
              </w:rPr>
              <w:t>经厂区污水处理站处理后经厂区总排口排入市政污水管网，镇平县第二污水处理厂处理达标后排放。</w:t>
            </w:r>
          </w:p>
          <w:p w14:paraId="5DBA41E0">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⑤</w:t>
            </w:r>
            <w:r>
              <w:rPr>
                <w:rFonts w:hint="eastAsia"/>
                <w:color w:val="000000" w:themeColor="text1"/>
                <w:sz w:val="24"/>
                <w14:textFill>
                  <w14:solidFill>
                    <w14:schemeClr w14:val="tx1"/>
                  </w14:solidFill>
                </w14:textFill>
              </w:rPr>
              <w:t>晾床</w:t>
            </w:r>
            <w:r>
              <w:rPr>
                <w:color w:val="000000" w:themeColor="text1"/>
                <w:sz w:val="24"/>
                <w14:textFill>
                  <w14:solidFill>
                    <w14:schemeClr w14:val="tx1"/>
                  </w14:solidFill>
                </w14:textFill>
              </w:rPr>
              <w:t>、硅藻土过滤机</w:t>
            </w:r>
            <w:r>
              <w:rPr>
                <w:rFonts w:hint="eastAsia"/>
                <w:color w:val="000000" w:themeColor="text1"/>
                <w:sz w:val="24"/>
                <w14:textFill>
                  <w14:solidFill>
                    <w14:schemeClr w14:val="tx1"/>
                  </w14:solidFill>
                </w14:textFill>
              </w:rPr>
              <w:t>及灌装线</w:t>
            </w:r>
            <w:r>
              <w:rPr>
                <w:color w:val="000000" w:themeColor="text1"/>
                <w:sz w:val="24"/>
                <w14:textFill>
                  <w14:solidFill>
                    <w14:schemeClr w14:val="tx1"/>
                  </w14:solidFill>
                </w14:textFill>
              </w:rPr>
              <w:t>清洗废水</w:t>
            </w:r>
          </w:p>
          <w:p w14:paraId="6567C053">
            <w:pPr>
              <w:spacing w:line="360" w:lineRule="auto"/>
              <w:ind w:firstLine="480" w:firstLineChars="200"/>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晾床</w:t>
            </w:r>
            <w:r>
              <w:rPr>
                <w:color w:val="000000" w:themeColor="text1"/>
                <w:sz w:val="24"/>
                <w14:textFill>
                  <w14:solidFill>
                    <w14:schemeClr w14:val="tx1"/>
                  </w14:solidFill>
                </w14:textFill>
              </w:rPr>
              <w:t>、硅藻土过滤机</w:t>
            </w:r>
            <w:r>
              <w:rPr>
                <w:rFonts w:hint="eastAsia"/>
                <w:color w:val="000000" w:themeColor="text1"/>
                <w:sz w:val="24"/>
                <w14:textFill>
                  <w14:solidFill>
                    <w14:schemeClr w14:val="tx1"/>
                  </w14:solidFill>
                </w14:textFill>
              </w:rPr>
              <w:t>及灌装线</w:t>
            </w:r>
            <w:r>
              <w:rPr>
                <w:color w:val="000000" w:themeColor="text1"/>
                <w:sz w:val="24"/>
                <w14:textFill>
                  <w14:solidFill>
                    <w14:schemeClr w14:val="tx1"/>
                  </w14:solidFill>
                </w14:textFill>
              </w:rPr>
              <w:t>清洗</w:t>
            </w:r>
            <w:r>
              <w:rPr>
                <w:color w:val="000000" w:themeColor="text1"/>
                <w:kern w:val="0"/>
                <w:sz w:val="24"/>
                <w14:textFill>
                  <w14:solidFill>
                    <w14:schemeClr w14:val="tx1"/>
                  </w14:solidFill>
                </w14:textFill>
              </w:rPr>
              <w:t>用水约</w:t>
            </w:r>
            <w:r>
              <w:rPr>
                <w:rFonts w:hint="eastAsia"/>
                <w:color w:val="000000" w:themeColor="text1"/>
                <w:kern w:val="0"/>
                <w:sz w:val="24"/>
                <w14:textFill>
                  <w14:solidFill>
                    <w14:schemeClr w14:val="tx1"/>
                  </w14:solidFill>
                </w14:textFill>
              </w:rPr>
              <w:t>17.36</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rFonts w:eastAsia="Times"/>
                <w:color w:val="000000" w:themeColor="text1"/>
                <w:kern w:val="0"/>
                <w:sz w:val="24"/>
                <w14:textFill>
                  <w14:solidFill>
                    <w14:schemeClr w14:val="tx1"/>
                  </w14:solidFill>
                </w14:textFill>
              </w:rPr>
              <w:t>/a</w:t>
            </w:r>
            <w:r>
              <w:rPr>
                <w:color w:val="000000" w:themeColor="text1"/>
                <w:sz w:val="24"/>
                <w14:textFill>
                  <w14:solidFill>
                    <w14:schemeClr w14:val="tx1"/>
                  </w14:solidFill>
                </w14:textFill>
              </w:rPr>
              <w:t>（0.0</w:t>
            </w:r>
            <w:r>
              <w:rPr>
                <w:rFonts w:hint="eastAsia"/>
                <w:color w:val="000000" w:themeColor="text1"/>
                <w:sz w:val="24"/>
                <w14:textFill>
                  <w14:solidFill>
                    <w14:schemeClr w14:val="tx1"/>
                  </w14:solidFill>
                </w14:textFill>
              </w:rPr>
              <w:t>76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w:t>
            </w:r>
            <w:r>
              <w:rPr>
                <w:rFonts w:hint="eastAsia"/>
                <w:color w:val="000000" w:themeColor="text1"/>
                <w:sz w:val="24"/>
                <w14:textFill>
                  <w14:solidFill>
                    <w14:schemeClr w14:val="tx1"/>
                  </w14:solidFill>
                </w14:textFill>
              </w:rPr>
              <w:t>晾床</w:t>
            </w:r>
            <w:r>
              <w:rPr>
                <w:color w:val="000000" w:themeColor="text1"/>
                <w:sz w:val="24"/>
                <w14:textFill>
                  <w14:solidFill>
                    <w14:schemeClr w14:val="tx1"/>
                  </w14:solidFill>
                </w14:textFill>
              </w:rPr>
              <w:t>、硅藻土过滤机</w:t>
            </w:r>
            <w:r>
              <w:rPr>
                <w:rFonts w:hint="eastAsia"/>
                <w:color w:val="000000" w:themeColor="text1"/>
                <w:sz w:val="24"/>
                <w14:textFill>
                  <w14:solidFill>
                    <w14:schemeClr w14:val="tx1"/>
                  </w14:solidFill>
                </w14:textFill>
              </w:rPr>
              <w:t>及灌装线</w:t>
            </w:r>
            <w:r>
              <w:rPr>
                <w:color w:val="000000" w:themeColor="text1"/>
                <w:kern w:val="0"/>
                <w:sz w:val="24"/>
                <w14:textFill>
                  <w14:solidFill>
                    <w14:schemeClr w14:val="tx1"/>
                  </w14:solidFill>
                </w14:textFill>
              </w:rPr>
              <w:t>清洗废水产生量为用水量的</w:t>
            </w:r>
            <w:r>
              <w:rPr>
                <w:rFonts w:eastAsia="Times"/>
                <w:color w:val="000000" w:themeColor="text1"/>
                <w:kern w:val="0"/>
                <w:sz w:val="24"/>
                <w14:textFill>
                  <w14:solidFill>
                    <w14:schemeClr w14:val="tx1"/>
                  </w14:solidFill>
                </w14:textFill>
              </w:rPr>
              <w:t>90%</w:t>
            </w:r>
            <w:r>
              <w:rPr>
                <w:color w:val="000000" w:themeColor="text1"/>
                <w:kern w:val="0"/>
                <w:sz w:val="24"/>
                <w14:textFill>
                  <w14:solidFill>
                    <w14:schemeClr w14:val="tx1"/>
                  </w14:solidFill>
                </w14:textFill>
              </w:rPr>
              <w:t>，即</w:t>
            </w:r>
            <w:r>
              <w:rPr>
                <w:rFonts w:hint="eastAsia"/>
                <w:color w:val="000000" w:themeColor="text1"/>
                <w:kern w:val="0"/>
                <w:sz w:val="24"/>
                <w14:textFill>
                  <w14:solidFill>
                    <w14:schemeClr w14:val="tx1"/>
                  </w14:solidFill>
                </w14:textFill>
              </w:rPr>
              <w:t>15.624</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rFonts w:eastAsia="Times"/>
                <w:color w:val="000000" w:themeColor="text1"/>
                <w:kern w:val="0"/>
                <w:sz w:val="24"/>
                <w14:textFill>
                  <w14:solidFill>
                    <w14:schemeClr w14:val="tx1"/>
                  </w14:solidFill>
                </w14:textFill>
              </w:rPr>
              <w:t>/a</w:t>
            </w:r>
            <w:r>
              <w:rPr>
                <w:color w:val="000000" w:themeColor="text1"/>
                <w:sz w:val="24"/>
                <w14:textFill>
                  <w14:solidFill>
                    <w14:schemeClr w14:val="tx1"/>
                  </w14:solidFill>
                </w14:textFill>
              </w:rPr>
              <w:t>（0.0</w:t>
            </w:r>
            <w:r>
              <w:rPr>
                <w:rFonts w:hint="eastAsia"/>
                <w:color w:val="000000" w:themeColor="text1"/>
                <w:sz w:val="24"/>
                <w14:textFill>
                  <w14:solidFill>
                    <w14:schemeClr w14:val="tx1"/>
                  </w14:solidFill>
                </w14:textFill>
              </w:rPr>
              <w:t>69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w:t>
            </w:r>
            <w:r>
              <w:rPr>
                <w:rFonts w:hint="eastAsia"/>
                <w:color w:val="000000" w:themeColor="text1"/>
                <w:sz w:val="24"/>
                <w14:textFill>
                  <w14:solidFill>
                    <w14:schemeClr w14:val="tx1"/>
                  </w14:solidFill>
                </w14:textFill>
              </w:rPr>
              <w:t>晾床</w:t>
            </w:r>
            <w:r>
              <w:rPr>
                <w:color w:val="000000" w:themeColor="text1"/>
                <w:sz w:val="24"/>
                <w14:textFill>
                  <w14:solidFill>
                    <w14:schemeClr w14:val="tx1"/>
                  </w14:solidFill>
                </w14:textFill>
              </w:rPr>
              <w:t>、硅藻土过滤机</w:t>
            </w:r>
            <w:r>
              <w:rPr>
                <w:rFonts w:hint="eastAsia"/>
                <w:color w:val="000000" w:themeColor="text1"/>
                <w:sz w:val="24"/>
                <w14:textFill>
                  <w14:solidFill>
                    <w14:schemeClr w14:val="tx1"/>
                  </w14:solidFill>
                </w14:textFill>
              </w:rPr>
              <w:t>及灌装线</w:t>
            </w:r>
            <w:r>
              <w:rPr>
                <w:color w:val="000000" w:themeColor="text1"/>
                <w:kern w:val="0"/>
                <w:sz w:val="24"/>
                <w14:textFill>
                  <w14:solidFill>
                    <w14:schemeClr w14:val="tx1"/>
                  </w14:solidFill>
                </w14:textFill>
              </w:rPr>
              <w:t>清洗废水中</w:t>
            </w:r>
            <w:r>
              <w:rPr>
                <w:rFonts w:hint="eastAsia"/>
                <w:color w:val="000000" w:themeColor="text1"/>
                <w:kern w:val="0"/>
                <w:sz w:val="24"/>
                <w14:textFill>
                  <w14:solidFill>
                    <w14:schemeClr w14:val="tx1"/>
                  </w14:solidFill>
                </w14:textFill>
              </w:rPr>
              <w:t>主要污染物及浓度</w:t>
            </w:r>
            <w:r>
              <w:rPr>
                <w:color w:val="000000" w:themeColor="text1"/>
                <w:kern w:val="0"/>
                <w:sz w:val="24"/>
                <w14:textFill>
                  <w14:solidFill>
                    <w14:schemeClr w14:val="tx1"/>
                  </w14:solidFill>
                </w14:textFill>
              </w:rPr>
              <w:t>为：</w:t>
            </w:r>
            <w:r>
              <w:rPr>
                <w:rFonts w:hint="eastAsia"/>
                <w:color w:val="000000" w:themeColor="text1"/>
                <w:sz w:val="24"/>
                <w14:textFill>
                  <w14:solidFill>
                    <w14:schemeClr w14:val="tx1"/>
                  </w14:solidFill>
                </w14:textFill>
              </w:rPr>
              <w:t>COD4000mg/L、BOD</w:t>
            </w:r>
            <w:r>
              <w:rPr>
                <w:rFonts w:hint="eastAsia"/>
                <w:color w:val="000000" w:themeColor="text1"/>
                <w:sz w:val="24"/>
                <w:vertAlign w:val="subscript"/>
                <w14:textFill>
                  <w14:solidFill>
                    <w14:schemeClr w14:val="tx1"/>
                  </w14:solidFill>
                </w14:textFill>
              </w:rPr>
              <w:t>5</w:t>
            </w:r>
            <w:r>
              <w:rPr>
                <w:rFonts w:hint="eastAsia"/>
                <w:color w:val="000000" w:themeColor="text1"/>
                <w:sz w:val="24"/>
                <w14:textFill>
                  <w14:solidFill>
                    <w14:schemeClr w14:val="tx1"/>
                  </w14:solidFill>
                </w14:textFill>
              </w:rPr>
              <w:t>600mg/L、SS2000mg/L、NH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-N100mg/L、TN150mg/L、TP20mg/L。晾床</w:t>
            </w:r>
            <w:r>
              <w:rPr>
                <w:color w:val="000000" w:themeColor="text1"/>
                <w:sz w:val="24"/>
                <w14:textFill>
                  <w14:solidFill>
                    <w14:schemeClr w14:val="tx1"/>
                  </w14:solidFill>
                </w14:textFill>
              </w:rPr>
              <w:t>、硅藻土过滤机</w:t>
            </w:r>
            <w:r>
              <w:rPr>
                <w:rFonts w:hint="eastAsia"/>
                <w:color w:val="000000" w:themeColor="text1"/>
                <w:sz w:val="24"/>
                <w14:textFill>
                  <w14:solidFill>
                    <w14:schemeClr w14:val="tx1"/>
                  </w14:solidFill>
                </w14:textFill>
              </w:rPr>
              <w:t>及灌装线</w:t>
            </w:r>
            <w:r>
              <w:rPr>
                <w:color w:val="000000" w:themeColor="text1"/>
                <w:sz w:val="24"/>
                <w14:textFill>
                  <w14:solidFill>
                    <w14:schemeClr w14:val="tx1"/>
                  </w14:solidFill>
                </w14:textFill>
              </w:rPr>
              <w:t>清洗废水</w:t>
            </w:r>
            <w:r>
              <w:rPr>
                <w:rFonts w:hint="eastAsia"/>
                <w:color w:val="000000" w:themeColor="text1"/>
                <w:sz w:val="24"/>
                <w14:textFill>
                  <w14:solidFill>
                    <w14:schemeClr w14:val="tx1"/>
                  </w14:solidFill>
                </w14:textFill>
              </w:rPr>
              <w:t>经厂区污水处理站处理后经厂区总排口排入市政污水管网，镇平县第二污水处理厂处理达标后排放。</w:t>
            </w:r>
          </w:p>
          <w:p w14:paraId="3DC013D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color w:val="000000" w:themeColor="text1"/>
                <w:kern w:val="0"/>
                <w:sz w:val="24"/>
                <w14:textFill>
                  <w14:solidFill>
                    <w14:schemeClr w14:val="tx1"/>
                  </w14:solidFill>
                </w14:textFill>
              </w:rPr>
              <w:t>⑥</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窖池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产生的黄水</w:t>
            </w:r>
          </w:p>
          <w:p w14:paraId="78046BF6">
            <w:pPr>
              <w:keepNext w:val="0"/>
              <w:keepLines w:val="0"/>
              <w:pageBreakBefore w:val="0"/>
              <w:kinsoku/>
              <w:wordWrap/>
              <w:overflowPunct/>
              <w:topLinePunct w:val="0"/>
              <w:bidi w:val="0"/>
              <w:snapToGrid/>
              <w:spacing w:line="360" w:lineRule="auto"/>
              <w:ind w:firstLine="480" w:firstLineChars="200"/>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本项目发酵过程中</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窖池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会产生一定量的黄水，根据建设单位提供的资料，</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窖池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黄水产生量约为</w:t>
            </w:r>
            <w:r>
              <w:rPr>
                <w:rFonts w:hint="eastAsia" w:cs="Times New Roman"/>
                <w:color w:val="000000" w:themeColor="text1"/>
                <w:kern w:val="0"/>
                <w:sz w:val="24"/>
                <w:szCs w:val="24"/>
                <w:lang w:val="en-US" w:eastAsia="zh-CN" w:bidi="ar"/>
                <w14:textFill>
                  <w14:solidFill>
                    <w14:schemeClr w14:val="tx1"/>
                  </w14:solidFill>
                </w14:textFill>
              </w:rPr>
              <w:t>29.462</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黄水是发酵过程中的必然产物，其成分复杂，除酒精外还含有酸类、脂类、醇类、醛类、还原糖、蛋白质等含氮化合物，另外还有大量经长期驯养的梭状芽孢杆菌，是产生乙酸和乙酸乙酯不可缺少的有益菌种。黄水可回用于集中后和面糟一起蒸得黄水酒，与酒尾一起回窖发酵，最终以淘汰底锅水形式外排。</w:t>
            </w:r>
          </w:p>
          <w:p w14:paraId="3CE9634D">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⑦</w:t>
            </w:r>
            <w:r>
              <w:rPr>
                <w:color w:val="000000" w:themeColor="text1"/>
                <w:kern w:val="0"/>
                <w:sz w:val="24"/>
                <w14:textFill>
                  <w14:solidFill>
                    <w14:schemeClr w14:val="tx1"/>
                  </w14:solidFill>
                </w14:textFill>
              </w:rPr>
              <w:t>循环冷却废水</w:t>
            </w:r>
          </w:p>
          <w:p w14:paraId="41D9CFFB">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w:t>
            </w:r>
            <w:r>
              <w:rPr>
                <w:color w:val="000000" w:themeColor="text1"/>
                <w:sz w:val="24"/>
                <w14:textFill>
                  <w14:solidFill>
                    <w14:schemeClr w14:val="tx1"/>
                  </w14:solidFill>
                </w14:textFill>
              </w:rPr>
              <w:t>冷却水循环使用后，不可回用部分废水量约为</w:t>
            </w:r>
            <w:r>
              <w:rPr>
                <w:rFonts w:hint="eastAsia"/>
                <w:color w:val="000000" w:themeColor="text1"/>
                <w:sz w:val="24"/>
                <w14:textFill>
                  <w14:solidFill>
                    <w14:schemeClr w14:val="tx1"/>
                  </w14:solidFill>
                </w14:textFill>
              </w:rPr>
              <w:t>0.255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14:textFill>
                  <w14:solidFill>
                    <w14:schemeClr w14:val="tx1"/>
                  </w14:solidFill>
                </w14:textFill>
              </w:rPr>
              <w:t>（58.149m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/a）</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其主要污染因子为富集的钙镁阳离子及SS，钙镁阳离子不作污染因子考虑，其悬浮物SS浓度为20mg/L</w:t>
            </w:r>
            <w:r>
              <w:rPr>
                <w:color w:val="000000" w:themeColor="text1"/>
                <w:kern w:val="0"/>
                <w:sz w:val="24"/>
                <w14:textFill>
                  <w14:solidFill>
                    <w14:schemeClr w14:val="tx1"/>
                  </w14:solidFill>
                </w14:textFill>
              </w:rPr>
              <w:t>；循环冷却水</w:t>
            </w:r>
            <w:r>
              <w:rPr>
                <w:color w:val="000000" w:themeColor="text1"/>
                <w:sz w:val="24"/>
                <w14:textFill>
                  <w14:solidFill>
                    <w14:schemeClr w14:val="tx1"/>
                  </w14:solidFill>
                </w14:textFill>
              </w:rPr>
              <w:t>经厂区污水处理站处理后经厂区总排口排入市政污水管网，镇平县第二污水处理厂处理达标后排放。</w:t>
            </w:r>
          </w:p>
          <w:p w14:paraId="15099071">
            <w:pPr>
              <w:widowControl/>
              <w:spacing w:line="360" w:lineRule="auto"/>
              <w:ind w:firstLine="480" w:firstLineChars="200"/>
              <w:jc w:val="left"/>
              <w:rPr>
                <w:color w:val="000000" w:themeColor="text1"/>
                <w:sz w:val="24"/>
                <w14:textFill>
                  <w14:solidFill>
                    <w14:schemeClr w14:val="tx1"/>
                  </w14:solidFill>
                </w14:textFill>
              </w:rPr>
            </w:pPr>
            <w:r>
              <w:rPr>
                <w:rFonts w:hint="eastAsia" w:ascii="宋体" w:hAnsi="宋体" w:eastAsia="宋体" w:cs="宋体"/>
                <w:color w:val="000000" w:themeColor="text1"/>
                <w:kern w:val="0"/>
                <w:sz w:val="24"/>
                <w14:textFill>
                  <w14:solidFill>
                    <w14:schemeClr w14:val="tx1"/>
                  </w14:solidFill>
                </w14:textFill>
              </w:rPr>
              <w:t>⑧</w:t>
            </w:r>
            <w:r>
              <w:rPr>
                <w:color w:val="000000" w:themeColor="text1"/>
                <w:kern w:val="0"/>
                <w:sz w:val="24"/>
                <w14:textFill>
                  <w14:solidFill>
                    <w14:schemeClr w14:val="tx1"/>
                  </w14:solidFill>
                </w14:textFill>
              </w:rPr>
              <w:t>洗瓶废水</w:t>
            </w:r>
          </w:p>
          <w:p w14:paraId="71B9005B">
            <w:pPr>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本项目</w:t>
            </w:r>
            <w:r>
              <w:rPr>
                <w:color w:val="000000" w:themeColor="text1"/>
                <w:sz w:val="24"/>
                <w14:textFill>
                  <w14:solidFill>
                    <w14:schemeClr w14:val="tx1"/>
                  </w14:solidFill>
                </w14:textFill>
              </w:rPr>
              <w:t>洗瓶用纯水</w:t>
            </w:r>
            <w:r>
              <w:rPr>
                <w:color w:val="000000" w:themeColor="text1"/>
                <w:kern w:val="0"/>
                <w:sz w:val="24"/>
                <w14:textFill>
                  <w14:solidFill>
                    <w14:schemeClr w14:val="tx1"/>
                  </w14:solidFill>
                </w14:textFill>
              </w:rPr>
              <w:t>量为</w:t>
            </w:r>
            <w:r>
              <w:rPr>
                <w:rFonts w:hint="eastAsia"/>
                <w:color w:val="000000" w:themeColor="text1"/>
                <w:kern w:val="0"/>
                <w:sz w:val="24"/>
                <w14:textFill>
                  <w14:solidFill>
                    <w14:schemeClr w14:val="tx1"/>
                  </w14:solidFill>
                </w14:textFill>
              </w:rPr>
              <w:t>86.374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0.379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排污系数为0.9，则洗瓶废水量为</w:t>
            </w:r>
            <w:r>
              <w:rPr>
                <w:rFonts w:hint="eastAsia"/>
                <w:color w:val="000000" w:themeColor="text1"/>
                <w:kern w:val="0"/>
                <w:sz w:val="24"/>
                <w14:textFill>
                  <w14:solidFill>
                    <w14:schemeClr w14:val="tx1"/>
                  </w14:solidFill>
                </w14:textFill>
              </w:rPr>
              <w:t>77.737</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0.341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/d）。项目洗瓶废水参照</w:t>
            </w:r>
            <w:r>
              <w:rPr>
                <w:color w:val="000000" w:themeColor="text1"/>
                <w:kern w:val="0"/>
                <w:sz w:val="24"/>
                <w14:textFill>
                  <w14:solidFill>
                    <w14:schemeClr w14:val="tx1"/>
                  </w14:solidFill>
                </w14:textFill>
              </w:rPr>
              <w:t>《葡萄酒、黄酒工业水污染物排放标准》（征求意见稿）编制说明中</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表6黄酒生产废水排放量及污染物浓度</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以及类比同类企业，</w:t>
            </w:r>
            <w:r>
              <w:rPr>
                <w:color w:val="000000" w:themeColor="text1"/>
                <w:sz w:val="24"/>
                <w14:textFill>
                  <w14:solidFill>
                    <w14:schemeClr w14:val="tx1"/>
                  </w14:solidFill>
                </w14:textFill>
              </w:rPr>
              <w:t>洗瓶废水</w:t>
            </w:r>
            <w:r>
              <w:rPr>
                <w:color w:val="000000" w:themeColor="text1"/>
                <w:kern w:val="0"/>
                <w:sz w:val="24"/>
                <w14:textFill>
                  <w14:solidFill>
                    <w14:schemeClr w14:val="tx1"/>
                  </w14:solidFill>
                </w14:textFill>
              </w:rPr>
              <w:t>主要污染物为COD105mg/L，BOD</w:t>
            </w:r>
            <w:r>
              <w:rPr>
                <w:color w:val="000000" w:themeColor="text1"/>
                <w:kern w:val="0"/>
                <w:sz w:val="24"/>
                <w:vertAlign w:val="subscript"/>
                <w14:textFill>
                  <w14:solidFill>
                    <w14:schemeClr w14:val="tx1"/>
                  </w14:solidFill>
                </w14:textFill>
              </w:rPr>
              <w:t>5</w:t>
            </w:r>
            <w:r>
              <w:rPr>
                <w:color w:val="000000" w:themeColor="text1"/>
                <w:kern w:val="0"/>
                <w:sz w:val="24"/>
                <w14:textFill>
                  <w14:solidFill>
                    <w14:schemeClr w14:val="tx1"/>
                  </w14:solidFill>
                </w14:textFill>
              </w:rPr>
              <w:t>35mg/L，SS70mg/L。</w:t>
            </w:r>
            <w:r>
              <w:rPr>
                <w:color w:val="000000" w:themeColor="text1"/>
                <w:sz w:val="24"/>
                <w14:textFill>
                  <w14:solidFill>
                    <w14:schemeClr w14:val="tx1"/>
                  </w14:solidFill>
                </w14:textFill>
              </w:rPr>
              <w:t>洗瓶废水经厂区污水处理站处理后经厂区总排口排入市政污水管网，镇平县第二污水处理厂处理达标后排放。</w:t>
            </w:r>
          </w:p>
          <w:p w14:paraId="6D945B8F">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（4）黄酒生产线废水</w:t>
            </w:r>
          </w:p>
          <w:p w14:paraId="4BBB0FFD">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①浸米缸、发酵缸清洗废水</w:t>
            </w:r>
          </w:p>
          <w:p w14:paraId="32BDD1EA">
            <w:pPr>
              <w:widowControl/>
              <w:spacing w:line="360" w:lineRule="auto"/>
              <w:ind w:firstLine="480" w:firstLineChars="200"/>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1）浸米缸：根据建设单位提供资料，浸米缸</w:t>
            </w:r>
            <w:r>
              <w:rPr>
                <w:color w:val="000000" w:themeColor="text1"/>
                <w:kern w:val="0"/>
                <w:sz w:val="24"/>
                <w14:textFill>
                  <w14:solidFill>
                    <w14:schemeClr w14:val="tx1"/>
                  </w14:solidFill>
                </w14:textFill>
              </w:rPr>
              <w:t>清洗用水量约</w:t>
            </w:r>
            <w:r>
              <w:rPr>
                <w:rFonts w:hint="eastAsia"/>
                <w:color w:val="000000" w:themeColor="text1"/>
                <w:kern w:val="0"/>
                <w:sz w:val="24"/>
                <w14:textFill>
                  <w14:solidFill>
                    <w14:schemeClr w14:val="tx1"/>
                  </w14:solidFill>
                </w14:textFill>
              </w:rPr>
              <w:t>7.6</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/a（0.</w:t>
            </w:r>
            <w:r>
              <w:rPr>
                <w:rFonts w:hint="eastAsia"/>
                <w:color w:val="000000" w:themeColor="text1"/>
                <w:kern w:val="0"/>
                <w:sz w:val="24"/>
                <w14:textFill>
                  <w14:solidFill>
                    <w14:schemeClr w14:val="tx1"/>
                  </w14:solidFill>
                </w14:textFill>
              </w:rPr>
              <w:t>033</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/d），产污系数按0.9计，则</w:t>
            </w:r>
            <w:r>
              <w:rPr>
                <w:color w:val="000000" w:themeColor="text1"/>
                <w:sz w:val="24"/>
                <w14:textFill>
                  <w14:solidFill>
                    <w14:schemeClr w14:val="tx1"/>
                  </w14:solidFill>
                </w14:textFill>
              </w:rPr>
              <w:t>浸米缸</w:t>
            </w:r>
            <w:r>
              <w:rPr>
                <w:color w:val="000000" w:themeColor="text1"/>
                <w:kern w:val="0"/>
                <w:sz w:val="24"/>
                <w14:textFill>
                  <w14:solidFill>
                    <w14:schemeClr w14:val="tx1"/>
                  </w14:solidFill>
                </w14:textFill>
              </w:rPr>
              <w:t>清洗废水量约</w:t>
            </w:r>
            <w:r>
              <w:rPr>
                <w:rFonts w:hint="eastAsia"/>
                <w:color w:val="000000" w:themeColor="text1"/>
                <w:kern w:val="0"/>
                <w:sz w:val="24"/>
                <w14:textFill>
                  <w14:solidFill>
                    <w14:schemeClr w14:val="tx1"/>
                  </w14:solidFill>
                </w14:textFill>
              </w:rPr>
              <w:t>6.84</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/a（0.</w:t>
            </w:r>
            <w:r>
              <w:rPr>
                <w:rFonts w:hint="eastAsia"/>
                <w:color w:val="000000" w:themeColor="text1"/>
                <w:kern w:val="0"/>
                <w:sz w:val="24"/>
                <w14:textFill>
                  <w14:solidFill>
                    <w14:schemeClr w14:val="tx1"/>
                  </w14:solidFill>
                </w14:textFill>
              </w:rPr>
              <w:t>03</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d）。根据《酿造工业废水治理工程技术规范》（HJ575-2010），该部分废水属于中低浓度工艺废水。参照《排放源统计调查产排污核算方法和系数手册》（部公告2021年第24号）、《酿造工业废水治理工程技术规范》（HJ575-2010）以及类比同类企业，</w:t>
            </w:r>
            <w:r>
              <w:rPr>
                <w:color w:val="000000" w:themeColor="text1"/>
                <w:sz w:val="24"/>
                <w14:textFill>
                  <w14:solidFill>
                    <w14:schemeClr w14:val="tx1"/>
                  </w14:solidFill>
                </w14:textFill>
              </w:rPr>
              <w:t>浸米缸</w:t>
            </w:r>
            <w:r>
              <w:rPr>
                <w:color w:val="000000" w:themeColor="text1"/>
                <w:kern w:val="0"/>
                <w:sz w:val="24"/>
                <w14:textFill>
                  <w14:solidFill>
                    <w14:schemeClr w14:val="tx1"/>
                  </w14:solidFill>
                </w14:textFill>
              </w:rPr>
              <w:t>清洗废水主要污染物为COD500mg/L、BOD</w:t>
            </w:r>
            <w:r>
              <w:rPr>
                <w:color w:val="000000" w:themeColor="text1"/>
                <w:kern w:val="0"/>
                <w:sz w:val="24"/>
                <w:vertAlign w:val="subscript"/>
                <w14:textFill>
                  <w14:solidFill>
                    <w14:schemeClr w14:val="tx1"/>
                  </w14:solidFill>
                </w14:textFill>
              </w:rPr>
              <w:t>5</w:t>
            </w:r>
            <w:r>
              <w:rPr>
                <w:rFonts w:hint="eastAsia"/>
                <w:color w:val="000000" w:themeColor="text1"/>
                <w:kern w:val="0"/>
                <w:sz w:val="24"/>
                <w14:textFill>
                  <w14:solidFill>
                    <w14:schemeClr w14:val="tx1"/>
                  </w14:solidFill>
                </w14:textFill>
              </w:rPr>
              <w:t>35</w:t>
            </w:r>
            <w:r>
              <w:rPr>
                <w:color w:val="000000" w:themeColor="text1"/>
                <w:kern w:val="0"/>
                <w:sz w:val="24"/>
                <w14:textFill>
                  <w14:solidFill>
                    <w14:schemeClr w14:val="tx1"/>
                  </w14:solidFill>
                </w14:textFill>
              </w:rPr>
              <w:t>0mg/L、SS</w:t>
            </w:r>
            <w:r>
              <w:rPr>
                <w:rFonts w:hint="eastAsia"/>
                <w:color w:val="000000" w:themeColor="text1"/>
                <w:kern w:val="0"/>
                <w:sz w:val="24"/>
                <w14:textFill>
                  <w14:solidFill>
                    <w14:schemeClr w14:val="tx1"/>
                  </w14:solidFill>
                </w14:textFill>
              </w:rPr>
              <w:t>2</w:t>
            </w:r>
            <w:r>
              <w:rPr>
                <w:color w:val="000000" w:themeColor="text1"/>
                <w:kern w:val="0"/>
                <w:sz w:val="24"/>
                <w14:textFill>
                  <w14:solidFill>
                    <w14:schemeClr w14:val="tx1"/>
                  </w14:solidFill>
                </w14:textFill>
              </w:rPr>
              <w:t>00mg/L。</w:t>
            </w:r>
          </w:p>
          <w:p w14:paraId="1196E659">
            <w:pPr>
              <w:widowControl/>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w:t>
            </w:r>
            <w:r>
              <w:rPr>
                <w:color w:val="000000" w:themeColor="text1"/>
                <w:sz w:val="24"/>
                <w14:textFill>
                  <w14:solidFill>
                    <w14:schemeClr w14:val="tx1"/>
                  </w14:solidFill>
                </w14:textFill>
              </w:rPr>
              <w:t>发酵缸：</w:t>
            </w:r>
            <w:r>
              <w:rPr>
                <w:color w:val="000000" w:themeColor="text1"/>
                <w:kern w:val="0"/>
                <w:sz w:val="24"/>
                <w14:textFill>
                  <w14:solidFill>
                    <w14:schemeClr w14:val="tx1"/>
                  </w14:solidFill>
                </w14:textFill>
              </w:rPr>
              <w:t>项目发酵缸需要定期清洗，根据《葡萄酒、黄酒工业水污染物排放标准》（征求意见稿）编制说明中</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表5黄酒生产废水排放量及排污负荷</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中</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机械化黄酒生产线</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：前发酵罐清洗废水产生量0.03m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/t产品，污染负荷：COD0.85kg/t、BOD50.52kg/t、SS0.22kg/t；后发酵罐清洗废水产生量0.03m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/t·产品，污染负荷：COD0.25kg/t、BOD50.15kg/t、SS0.06kg/t”。</w:t>
            </w:r>
          </w:p>
          <w:p w14:paraId="6199B448">
            <w:pPr>
              <w:pStyle w:val="13"/>
              <w:spacing w:before="0" w:after="0"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项目发酵缸清洗废水产生量如下：前发酵缸：0.03m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/t-产品×200t/a=6m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/a，废水水质分别为：COD850mg/L，BOD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520mg/L，SS220mg/L；后发酵缸：0.03m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/t·产品×200t/a=6m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/a，废水水质分别为：COD250mg/L，BOD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150mg/L，SS60mg/L。浸米缸、发酵缸清洗废水</w:t>
            </w:r>
            <w:r>
              <w:rPr>
                <w:rFonts w:hint="eastAsia"/>
                <w:color w:val="000000" w:themeColor="text1"/>
                <w14:textFill>
                  <w14:solidFill>
                    <w14:schemeClr w14:val="tx1"/>
                  </w14:solidFill>
                </w14:textFill>
              </w:rPr>
              <w:t>经厂区污水处理站处理后经厂区总排口排入市政污水管网，镇平县第二污水处理厂处理达标后排放。</w:t>
            </w:r>
          </w:p>
          <w:p w14:paraId="3F45959B">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②滤布清洗废水</w:t>
            </w:r>
          </w:p>
          <w:p w14:paraId="5603122D">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项目采用压滤机进行压滤，</w:t>
            </w:r>
            <w:r>
              <w:rPr>
                <w:color w:val="000000" w:themeColor="text1"/>
                <w:sz w:val="24"/>
                <w14:textFill>
                  <w14:solidFill>
                    <w14:schemeClr w14:val="tx1"/>
                  </w14:solidFill>
                </w14:textFill>
              </w:rPr>
              <w:t>压滤机滤布在生产作业完成后需要定期进行清洗</w:t>
            </w:r>
            <w:r>
              <w:rPr>
                <w:color w:val="000000" w:themeColor="text1"/>
                <w:kern w:val="0"/>
                <w:sz w:val="24"/>
                <w14:textFill>
                  <w14:solidFill>
                    <w14:schemeClr w14:val="tx1"/>
                  </w14:solidFill>
                </w14:textFill>
              </w:rPr>
              <w:t>。根据《葡萄酒、黄酒工业水污染物排放标准》（征求意见稿）编制说明中</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表5 黄酒生产废水排放量及排污负荷</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中</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机械化黄酒生产线—洗滤布废水产生量0.02m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/t·产品，污染负荷：COD0.05kg/t、BOD</w:t>
            </w:r>
            <w:r>
              <w:rPr>
                <w:color w:val="000000" w:themeColor="text1"/>
                <w:kern w:val="0"/>
                <w:sz w:val="24"/>
                <w:vertAlign w:val="subscript"/>
                <w14:textFill>
                  <w14:solidFill>
                    <w14:schemeClr w14:val="tx1"/>
                  </w14:solidFill>
                </w14:textFill>
              </w:rPr>
              <w:t>5</w:t>
            </w:r>
            <w:r>
              <w:rPr>
                <w:color w:val="000000" w:themeColor="text1"/>
                <w:kern w:val="0"/>
                <w:sz w:val="24"/>
                <w14:textFill>
                  <w14:solidFill>
                    <w14:schemeClr w14:val="tx1"/>
                  </w14:solidFill>
                </w14:textFill>
              </w:rPr>
              <w:t>0.03kg/t、SS0.02kg/t</w:t>
            </w:r>
            <w:r>
              <w:rPr>
                <w:rFonts w:hint="eastAsia"/>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w:t>
            </w:r>
          </w:p>
          <w:p w14:paraId="69601674">
            <w:pPr>
              <w:pStyle w:val="13"/>
              <w:spacing w:before="0" w:after="0"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本项目滤布清洗废水产生量为：0.02m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/t·产品×200t/a=4m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/a（0.018m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/d），废水水质分别为：COD</w:t>
            </w:r>
            <w:r>
              <w:rPr>
                <w:rFonts w:hint="eastAsia"/>
                <w:color w:val="000000" w:themeColor="text1"/>
                <w:lang w:val="en-US" w:eastAsia="zh-CN"/>
                <w14:textFill>
                  <w14:solidFill>
                    <w14:schemeClr w14:val="tx1"/>
                  </w14:solidFill>
                </w14:textFill>
              </w:rPr>
              <w:t>250</w:t>
            </w:r>
            <w:r>
              <w:rPr>
                <w:color w:val="000000" w:themeColor="text1"/>
                <w14:textFill>
                  <w14:solidFill>
                    <w14:schemeClr w14:val="tx1"/>
                  </w14:solidFill>
                </w14:textFill>
              </w:rPr>
              <w:t>0mg/L，BOD</w:t>
            </w:r>
            <w:r>
              <w:rPr>
                <w:color w:val="000000" w:themeColor="text1"/>
                <w:vertAlign w:val="subscript"/>
                <w14:textFill>
                  <w14:solidFill>
                    <w14:schemeClr w14:val="tx1"/>
                  </w14:solidFill>
                </w14:textFill>
              </w:rPr>
              <w:t>5</w:t>
            </w:r>
            <w:r>
              <w:rPr>
                <w:rFonts w:hint="eastAsia"/>
                <w:color w:val="000000" w:themeColor="text1"/>
                <w:lang w:val="en-US" w:eastAsia="zh-CN"/>
                <w14:textFill>
                  <w14:solidFill>
                    <w14:schemeClr w14:val="tx1"/>
                  </w14:solidFill>
                </w14:textFill>
              </w:rPr>
              <w:t>150</w:t>
            </w:r>
            <w:r>
              <w:rPr>
                <w:color w:val="000000" w:themeColor="text1"/>
                <w14:textFill>
                  <w14:solidFill>
                    <w14:schemeClr w14:val="tx1"/>
                  </w14:solidFill>
                </w14:textFill>
              </w:rPr>
              <w:t>0mg/L，SS</w:t>
            </w:r>
            <w:r>
              <w:rPr>
                <w:rFonts w:hint="eastAsia"/>
                <w:color w:val="000000" w:themeColor="text1"/>
                <w:lang w:val="en-US" w:eastAsia="zh-CN"/>
                <w14:textFill>
                  <w14:solidFill>
                    <w14:schemeClr w14:val="tx1"/>
                  </w14:solidFill>
                </w14:textFill>
              </w:rPr>
              <w:t>100</w:t>
            </w:r>
            <w:r>
              <w:rPr>
                <w:color w:val="000000" w:themeColor="text1"/>
                <w14:textFill>
                  <w14:solidFill>
                    <w14:schemeClr w14:val="tx1"/>
                  </w14:solidFill>
                </w14:textFill>
              </w:rPr>
              <w:t>0mg/L。滤布清洗废水</w:t>
            </w:r>
            <w:r>
              <w:rPr>
                <w:rFonts w:hint="eastAsia"/>
                <w:color w:val="000000" w:themeColor="text1"/>
                <w14:textFill>
                  <w14:solidFill>
                    <w14:schemeClr w14:val="tx1"/>
                  </w14:solidFill>
                </w14:textFill>
              </w:rPr>
              <w:t>经厂区污水处理站处理后经厂区总排口排入市政污水管网，镇平县第二污水处理厂处理达标后排放。</w:t>
            </w:r>
          </w:p>
          <w:p w14:paraId="47203636">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⑤硅藻土过滤机清洗废水</w:t>
            </w:r>
          </w:p>
          <w:p w14:paraId="04FC0B3E">
            <w:pPr>
              <w:pStyle w:val="13"/>
              <w:spacing w:before="0" w:after="0"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本项目硅藻土过滤机清洗用水约</w:t>
            </w:r>
            <w:r>
              <w:rPr>
                <w:rFonts w:eastAsia="Times"/>
                <w:color w:val="000000" w:themeColor="text1"/>
                <w14:textFill>
                  <w14:solidFill>
                    <w14:schemeClr w14:val="tx1"/>
                  </w14:solidFill>
                </w14:textFill>
              </w:rPr>
              <w:t>6.4</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eastAsia="Times"/>
                <w:color w:val="000000" w:themeColor="text1"/>
                <w14:textFill>
                  <w14:solidFill>
                    <w14:schemeClr w14:val="tx1"/>
                  </w14:solidFill>
                </w14:textFill>
              </w:rPr>
              <w:t>/a</w:t>
            </w:r>
            <w:r>
              <w:rPr>
                <w:color w:val="000000" w:themeColor="text1"/>
                <w14:textFill>
                  <w14:solidFill>
                    <w14:schemeClr w14:val="tx1"/>
                  </w14:solidFill>
                </w14:textFill>
              </w:rPr>
              <w:t>（0.028m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/d），硅藻土清洗废水产生量为用水量的</w:t>
            </w:r>
            <w:r>
              <w:rPr>
                <w:rFonts w:eastAsia="Times"/>
                <w:color w:val="000000" w:themeColor="text1"/>
                <w14:textFill>
                  <w14:solidFill>
                    <w14:schemeClr w14:val="tx1"/>
                  </w14:solidFill>
                </w14:textFill>
              </w:rPr>
              <w:t>90%</w:t>
            </w:r>
            <w:r>
              <w:rPr>
                <w:color w:val="000000" w:themeColor="text1"/>
                <w14:textFill>
                  <w14:solidFill>
                    <w14:schemeClr w14:val="tx1"/>
                  </w14:solidFill>
                </w14:textFill>
              </w:rPr>
              <w:t>，即</w:t>
            </w:r>
            <w:r>
              <w:rPr>
                <w:rFonts w:eastAsia="Times"/>
                <w:color w:val="000000" w:themeColor="text1"/>
                <w14:textFill>
                  <w14:solidFill>
                    <w14:schemeClr w14:val="tx1"/>
                  </w14:solidFill>
                </w14:textFill>
              </w:rPr>
              <w:t>5.76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rFonts w:eastAsia="Times"/>
                <w:color w:val="000000" w:themeColor="text1"/>
                <w14:textFill>
                  <w14:solidFill>
                    <w14:schemeClr w14:val="tx1"/>
                  </w14:solidFill>
                </w14:textFill>
              </w:rPr>
              <w:t>/a</w:t>
            </w:r>
            <w:r>
              <w:rPr>
                <w:color w:val="000000" w:themeColor="text1"/>
                <w14:textFill>
                  <w14:solidFill>
                    <w14:schemeClr w14:val="tx1"/>
                  </w14:solidFill>
                </w14:textFill>
              </w:rPr>
              <w:t>（0.025m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/d）。硅藻土清洗废水中有机物浓度较高，废水水质为：</w:t>
            </w:r>
            <w:r>
              <w:rPr>
                <w:rFonts w:eastAsia="Times"/>
                <w:color w:val="000000" w:themeColor="text1"/>
                <w14:textFill>
                  <w14:solidFill>
                    <w14:schemeClr w14:val="tx1"/>
                  </w14:solidFill>
                </w14:textFill>
              </w:rPr>
              <w:t>COD2200mg/L</w:t>
            </w:r>
            <w:r>
              <w:rPr>
                <w:color w:val="000000" w:themeColor="text1"/>
                <w14:textFill>
                  <w14:solidFill>
                    <w14:schemeClr w14:val="tx1"/>
                  </w14:solidFill>
                </w14:textFill>
              </w:rPr>
              <w:t>、</w:t>
            </w:r>
            <w:r>
              <w:rPr>
                <w:rFonts w:eastAsia="Times"/>
                <w:color w:val="000000" w:themeColor="text1"/>
                <w14:textFill>
                  <w14:solidFill>
                    <w14:schemeClr w14:val="tx1"/>
                  </w14:solidFill>
                </w14:textFill>
              </w:rPr>
              <w:t>BOD</w:t>
            </w:r>
            <w:r>
              <w:rPr>
                <w:rFonts w:eastAsia="Times"/>
                <w:color w:val="000000" w:themeColor="text1"/>
                <w:vertAlign w:val="subscript"/>
                <w14:textFill>
                  <w14:solidFill>
                    <w14:schemeClr w14:val="tx1"/>
                  </w14:solidFill>
                </w14:textFill>
              </w:rPr>
              <w:t>5</w:t>
            </w:r>
            <w:r>
              <w:rPr>
                <w:rFonts w:eastAsia="Times"/>
                <w:color w:val="000000" w:themeColor="text1"/>
                <w14:textFill>
                  <w14:solidFill>
                    <w14:schemeClr w14:val="tx1"/>
                  </w14:solidFill>
                </w14:textFill>
              </w:rPr>
              <w:t>800mg/L</w:t>
            </w:r>
            <w:r>
              <w:rPr>
                <w:color w:val="000000" w:themeColor="text1"/>
                <w14:textFill>
                  <w14:solidFill>
                    <w14:schemeClr w14:val="tx1"/>
                  </w14:solidFill>
                </w14:textFill>
              </w:rPr>
              <w:t>、</w:t>
            </w:r>
            <w:r>
              <w:rPr>
                <w:rFonts w:eastAsia="Times"/>
                <w:color w:val="000000" w:themeColor="text1"/>
                <w14:textFill>
                  <w14:solidFill>
                    <w14:schemeClr w14:val="tx1"/>
                  </w14:solidFill>
                </w14:textFill>
              </w:rPr>
              <w:t>SS200mg/L</w:t>
            </w:r>
            <w:r>
              <w:rPr>
                <w:color w:val="000000" w:themeColor="text1"/>
                <w14:textFill>
                  <w14:solidFill>
                    <w14:schemeClr w14:val="tx1"/>
                  </w14:solidFill>
                </w14:textFill>
              </w:rPr>
              <w:t>。硅藻土过滤机清洗废水</w:t>
            </w:r>
            <w:r>
              <w:rPr>
                <w:rFonts w:hint="eastAsia"/>
                <w:color w:val="000000" w:themeColor="text1"/>
                <w14:textFill>
                  <w14:solidFill>
                    <w14:schemeClr w14:val="tx1"/>
                  </w14:solidFill>
                </w14:textFill>
              </w:rPr>
              <w:t>经厂区污水处理站处理后经厂区总排口排入市政污水管网，镇平县第二污水处理厂处理达标后排放。</w:t>
            </w:r>
          </w:p>
          <w:p w14:paraId="4F9C0940">
            <w:pPr>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⑥</w:t>
            </w:r>
            <w:r>
              <w:rPr>
                <w:rFonts w:hint="eastAsia"/>
                <w:color w:val="000000" w:themeColor="text1"/>
                <w:sz w:val="24"/>
                <w14:textFill>
                  <w14:solidFill>
                    <w14:schemeClr w14:val="tx1"/>
                  </w14:solidFill>
                </w14:textFill>
              </w:rPr>
              <w:t>灌装线</w:t>
            </w:r>
            <w:r>
              <w:rPr>
                <w:color w:val="000000" w:themeColor="text1"/>
                <w:sz w:val="24"/>
                <w14:textFill>
                  <w14:solidFill>
                    <w14:schemeClr w14:val="tx1"/>
                  </w14:solidFill>
                </w14:textFill>
              </w:rPr>
              <w:t>清洗废水</w:t>
            </w:r>
          </w:p>
          <w:p w14:paraId="4FD7A0E2">
            <w:pPr>
              <w:spacing w:line="360" w:lineRule="auto"/>
              <w:ind w:firstLine="480" w:firstLineChars="200"/>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灌装线</w:t>
            </w:r>
            <w:r>
              <w:rPr>
                <w:color w:val="000000" w:themeColor="text1"/>
                <w:sz w:val="24"/>
                <w14:textFill>
                  <w14:solidFill>
                    <w14:schemeClr w14:val="tx1"/>
                  </w14:solidFill>
                </w14:textFill>
              </w:rPr>
              <w:t>清洗</w:t>
            </w:r>
            <w:r>
              <w:rPr>
                <w:color w:val="000000" w:themeColor="text1"/>
                <w:kern w:val="0"/>
                <w:sz w:val="24"/>
                <w14:textFill>
                  <w14:solidFill>
                    <w14:schemeClr w14:val="tx1"/>
                  </w14:solidFill>
                </w14:textFill>
              </w:rPr>
              <w:t>用水约</w:t>
            </w:r>
            <w:r>
              <w:rPr>
                <w:rFonts w:hint="eastAsia"/>
                <w:color w:val="000000" w:themeColor="text1"/>
                <w:kern w:val="0"/>
                <w:sz w:val="24"/>
                <w14:textFill>
                  <w14:solidFill>
                    <w14:schemeClr w14:val="tx1"/>
                  </w14:solidFill>
                </w14:textFill>
              </w:rPr>
              <w:t>12.8</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rFonts w:eastAsia="Times"/>
                <w:color w:val="000000" w:themeColor="text1"/>
                <w:kern w:val="0"/>
                <w:sz w:val="24"/>
                <w14:textFill>
                  <w14:solidFill>
                    <w14:schemeClr w14:val="tx1"/>
                  </w14:solidFill>
                </w14:textFill>
              </w:rPr>
              <w:t>/a</w:t>
            </w:r>
            <w:r>
              <w:rPr>
                <w:color w:val="000000" w:themeColor="text1"/>
                <w:sz w:val="24"/>
                <w14:textFill>
                  <w14:solidFill>
                    <w14:schemeClr w14:val="tx1"/>
                  </w14:solidFill>
                </w14:textFill>
              </w:rPr>
              <w:t>（0.0</w:t>
            </w:r>
            <w:r>
              <w:rPr>
                <w:rFonts w:hint="eastAsia"/>
                <w:color w:val="000000" w:themeColor="text1"/>
                <w:sz w:val="24"/>
                <w14:textFill>
                  <w14:solidFill>
                    <w14:schemeClr w14:val="tx1"/>
                  </w14:solidFill>
                </w14:textFill>
              </w:rPr>
              <w:t>56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w:t>
            </w:r>
            <w:r>
              <w:rPr>
                <w:rFonts w:hint="eastAsia"/>
                <w:color w:val="000000" w:themeColor="text1"/>
                <w:sz w:val="24"/>
                <w14:textFill>
                  <w14:solidFill>
                    <w14:schemeClr w14:val="tx1"/>
                  </w14:solidFill>
                </w14:textFill>
              </w:rPr>
              <w:t>灌装线</w:t>
            </w:r>
            <w:r>
              <w:rPr>
                <w:color w:val="000000" w:themeColor="text1"/>
                <w:kern w:val="0"/>
                <w:sz w:val="24"/>
                <w14:textFill>
                  <w14:solidFill>
                    <w14:schemeClr w14:val="tx1"/>
                  </w14:solidFill>
                </w14:textFill>
              </w:rPr>
              <w:t>清洗废水产生量为用水量的</w:t>
            </w:r>
            <w:r>
              <w:rPr>
                <w:rFonts w:eastAsia="Times"/>
                <w:color w:val="000000" w:themeColor="text1"/>
                <w:kern w:val="0"/>
                <w:sz w:val="24"/>
                <w14:textFill>
                  <w14:solidFill>
                    <w14:schemeClr w14:val="tx1"/>
                  </w14:solidFill>
                </w14:textFill>
              </w:rPr>
              <w:t>90%</w:t>
            </w:r>
            <w:r>
              <w:rPr>
                <w:color w:val="000000" w:themeColor="text1"/>
                <w:kern w:val="0"/>
                <w:sz w:val="24"/>
                <w14:textFill>
                  <w14:solidFill>
                    <w14:schemeClr w14:val="tx1"/>
                  </w14:solidFill>
                </w14:textFill>
              </w:rPr>
              <w:t>，即</w:t>
            </w:r>
            <w:r>
              <w:rPr>
                <w:rFonts w:hint="eastAsia"/>
                <w:color w:val="000000" w:themeColor="text1"/>
                <w:kern w:val="0"/>
                <w:sz w:val="24"/>
                <w14:textFill>
                  <w14:solidFill>
                    <w14:schemeClr w14:val="tx1"/>
                  </w14:solidFill>
                </w14:textFill>
              </w:rPr>
              <w:t>11.52</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rFonts w:eastAsia="Times"/>
                <w:color w:val="000000" w:themeColor="text1"/>
                <w:kern w:val="0"/>
                <w:sz w:val="24"/>
                <w14:textFill>
                  <w14:solidFill>
                    <w14:schemeClr w14:val="tx1"/>
                  </w14:solidFill>
                </w14:textFill>
              </w:rPr>
              <w:t>/a</w:t>
            </w:r>
            <w:r>
              <w:rPr>
                <w:color w:val="000000" w:themeColor="text1"/>
                <w:sz w:val="24"/>
                <w14:textFill>
                  <w14:solidFill>
                    <w14:schemeClr w14:val="tx1"/>
                  </w14:solidFill>
                </w14:textFill>
              </w:rPr>
              <w:t>（0.0</w:t>
            </w:r>
            <w:r>
              <w:rPr>
                <w:rFonts w:hint="eastAsia"/>
                <w:color w:val="000000" w:themeColor="text1"/>
                <w:sz w:val="24"/>
                <w14:textFill>
                  <w14:solidFill>
                    <w14:schemeClr w14:val="tx1"/>
                  </w14:solidFill>
                </w14:textFill>
              </w:rPr>
              <w:t>51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w:t>
            </w:r>
            <w:r>
              <w:rPr>
                <w:rFonts w:hint="eastAsia"/>
                <w:color w:val="000000" w:themeColor="text1"/>
                <w:sz w:val="24"/>
                <w14:textFill>
                  <w14:solidFill>
                    <w14:schemeClr w14:val="tx1"/>
                  </w14:solidFill>
                </w14:textFill>
              </w:rPr>
              <w:t>灌装线</w:t>
            </w:r>
            <w:r>
              <w:rPr>
                <w:color w:val="000000" w:themeColor="text1"/>
                <w:kern w:val="0"/>
                <w:sz w:val="24"/>
                <w14:textFill>
                  <w14:solidFill>
                    <w14:schemeClr w14:val="tx1"/>
                  </w14:solidFill>
                </w14:textFill>
              </w:rPr>
              <w:t>清洗废水中</w:t>
            </w:r>
            <w:r>
              <w:rPr>
                <w:rFonts w:hint="eastAsia"/>
                <w:color w:val="000000" w:themeColor="text1"/>
                <w:kern w:val="0"/>
                <w:sz w:val="24"/>
                <w14:textFill>
                  <w14:solidFill>
                    <w14:schemeClr w14:val="tx1"/>
                  </w14:solidFill>
                </w14:textFill>
              </w:rPr>
              <w:t>主要污染物及浓度</w:t>
            </w:r>
            <w:r>
              <w:rPr>
                <w:color w:val="000000" w:themeColor="text1"/>
                <w:kern w:val="0"/>
                <w:sz w:val="24"/>
                <w14:textFill>
                  <w14:solidFill>
                    <w14:schemeClr w14:val="tx1"/>
                  </w14:solidFill>
                </w14:textFill>
              </w:rPr>
              <w:t>为：</w:t>
            </w:r>
            <w:r>
              <w:rPr>
                <w:rFonts w:hint="eastAsia"/>
                <w:color w:val="000000" w:themeColor="text1"/>
                <w:sz w:val="24"/>
                <w14:textFill>
                  <w14:solidFill>
                    <w14:schemeClr w14:val="tx1"/>
                  </w14:solidFill>
                </w14:textFill>
              </w:rPr>
              <w:t>COD1800mg/L、BOD</w:t>
            </w:r>
            <w:r>
              <w:rPr>
                <w:rFonts w:hint="eastAsia"/>
                <w:color w:val="000000" w:themeColor="text1"/>
                <w:sz w:val="24"/>
                <w:vertAlign w:val="subscript"/>
                <w14:textFill>
                  <w14:solidFill>
                    <w14:schemeClr w14:val="tx1"/>
                  </w14:solidFill>
                </w14:textFill>
              </w:rPr>
              <w:t>5</w:t>
            </w:r>
            <w:r>
              <w:rPr>
                <w:rFonts w:hint="eastAsia"/>
                <w:color w:val="000000" w:themeColor="text1"/>
                <w:sz w:val="24"/>
                <w14:textFill>
                  <w14:solidFill>
                    <w14:schemeClr w14:val="tx1"/>
                  </w14:solidFill>
                </w14:textFill>
              </w:rPr>
              <w:t>600mg/L、SS200mg/L。灌装线</w:t>
            </w:r>
            <w:r>
              <w:rPr>
                <w:color w:val="000000" w:themeColor="text1"/>
                <w:sz w:val="24"/>
                <w14:textFill>
                  <w14:solidFill>
                    <w14:schemeClr w14:val="tx1"/>
                  </w14:solidFill>
                </w14:textFill>
              </w:rPr>
              <w:t>清洗废水</w:t>
            </w:r>
            <w:r>
              <w:rPr>
                <w:rFonts w:hint="eastAsia"/>
                <w:color w:val="000000" w:themeColor="text1"/>
                <w:sz w:val="24"/>
                <w14:textFill>
                  <w14:solidFill>
                    <w14:schemeClr w14:val="tx1"/>
                  </w14:solidFill>
                </w14:textFill>
              </w:rPr>
              <w:t>经厂区污水处理站处理后经厂区总排口排入市政污水管网，镇平县第二污水处理厂处理达标后排放。</w:t>
            </w:r>
          </w:p>
          <w:p w14:paraId="352862A4">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⑦</w:t>
            </w:r>
            <w:r>
              <w:rPr>
                <w:rFonts w:hint="eastAsia"/>
                <w:color w:val="000000" w:themeColor="text1"/>
                <w:kern w:val="0"/>
                <w:sz w:val="24"/>
                <w14:textFill>
                  <w14:solidFill>
                    <w14:schemeClr w14:val="tx1"/>
                  </w14:solidFill>
                </w14:textFill>
              </w:rPr>
              <w:t>酒</w:t>
            </w:r>
            <w:r>
              <w:rPr>
                <w:rFonts w:hint="eastAsia"/>
                <w:color w:val="000000" w:themeColor="text1"/>
                <w:sz w:val="24"/>
                <w14:textFill>
                  <w14:solidFill>
                    <w14:schemeClr w14:val="tx1"/>
                  </w14:solidFill>
                </w14:textFill>
              </w:rPr>
              <w:t>糟渗滤液</w:t>
            </w:r>
          </w:p>
          <w:p w14:paraId="7F797D65">
            <w:pPr>
              <w:pStyle w:val="13"/>
              <w:spacing w:before="0" w:after="0" w:line="360" w:lineRule="auto"/>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由于本项目生产产生的</w:t>
            </w:r>
            <w:r>
              <w:rPr>
                <w:rFonts w:hint="eastAsia"/>
                <w:color w:val="000000" w:themeColor="text1"/>
                <w:lang w:val="en-US" w:eastAsia="zh-CN"/>
                <w14:textFill>
                  <w14:solidFill>
                    <w14:schemeClr w14:val="tx1"/>
                  </w14:solidFill>
                </w14:textFill>
              </w:rPr>
              <w:t>酒糟</w:t>
            </w:r>
            <w:r>
              <w:rPr>
                <w:rFonts w:hint="eastAsia"/>
                <w:color w:val="000000" w:themeColor="text1"/>
                <w14:textFill>
                  <w14:solidFill>
                    <w14:schemeClr w14:val="tx1"/>
                  </w14:solidFill>
                </w14:textFill>
              </w:rPr>
              <w:t>含水率较高，在暂存间堆存期间其内部含水会随重力渗沥作用形成渗滤液，其渗滤液产生量约占</w:t>
            </w:r>
            <w:r>
              <w:rPr>
                <w:rFonts w:hint="eastAsia"/>
                <w:color w:val="000000" w:themeColor="text1"/>
                <w:lang w:val="en-US" w:eastAsia="zh-CN"/>
                <w14:textFill>
                  <w14:solidFill>
                    <w14:schemeClr w14:val="tx1"/>
                  </w14:solidFill>
                </w14:textFill>
              </w:rPr>
              <w:t>酒糟</w:t>
            </w:r>
            <w:r>
              <w:rPr>
                <w:rFonts w:hint="eastAsia"/>
                <w:color w:val="000000" w:themeColor="text1"/>
                <w14:textFill>
                  <w14:solidFill>
                    <w14:schemeClr w14:val="tx1"/>
                  </w14:solidFill>
                </w14:textFill>
              </w:rPr>
              <w:t>含水率的</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0%左右，即</w:t>
            </w:r>
            <w:r>
              <w:rPr>
                <w:rFonts w:hint="eastAsia"/>
                <w:color w:val="000000" w:themeColor="text1"/>
                <w:lang w:val="en-US" w:eastAsia="zh-CN"/>
                <w14:textFill>
                  <w14:solidFill>
                    <w14:schemeClr w14:val="tx1"/>
                  </w14:solidFill>
                </w14:textFill>
              </w:rPr>
              <w:t>2.656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szCs w:val="21"/>
                <w:lang w:val="en-US" w:eastAsia="zh-CN"/>
                <w14:textFill>
                  <w14:solidFill>
                    <w14:schemeClr w14:val="tx1"/>
                  </w14:solidFill>
                </w14:textFill>
              </w:rPr>
              <w:t>0.012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。根据《酿造工业废水治理工程技术规范》（HJ575-2010），</w:t>
            </w:r>
            <w:r>
              <w:rPr>
                <w:rFonts w:hint="eastAsia"/>
                <w:color w:val="000000" w:themeColor="text1"/>
                <w:lang w:val="en-US" w:eastAsia="zh-CN"/>
                <w14:textFill>
                  <w14:solidFill>
                    <w14:schemeClr w14:val="tx1"/>
                  </w14:solidFill>
                </w14:textFill>
              </w:rPr>
              <w:t>酒糟渗滤液</w:t>
            </w:r>
            <w:r>
              <w:rPr>
                <w:rFonts w:hint="eastAsia"/>
                <w:color w:val="000000" w:themeColor="text1"/>
                <w14:textFill>
                  <w14:solidFill>
                    <w14:schemeClr w14:val="tx1"/>
                  </w14:solidFill>
                </w14:textFill>
              </w:rPr>
              <w:t>属于高浓度废水；参照《第二次全国污染源普查工业污染源排污系数手册》、《酿造工业废水治理工程技术规范》（HJ575-2010）以及类比同类企业，</w:t>
            </w:r>
            <w:r>
              <w:rPr>
                <w:rFonts w:hint="eastAsia"/>
                <w:color w:val="000000" w:themeColor="text1"/>
                <w:lang w:val="en-US" w:eastAsia="zh-CN"/>
                <w14:textFill>
                  <w14:solidFill>
                    <w14:schemeClr w14:val="tx1"/>
                  </w14:solidFill>
                </w14:textFill>
              </w:rPr>
              <w:t>酒糟渗滤液</w:t>
            </w:r>
            <w:r>
              <w:rPr>
                <w:rFonts w:hint="eastAsia"/>
                <w:color w:val="000000" w:themeColor="text1"/>
                <w14:textFill>
                  <w14:solidFill>
                    <w14:schemeClr w14:val="tx1"/>
                  </w14:solidFill>
                </w14:textFill>
              </w:rPr>
              <w:t>主要污染物为COD1</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000mg/L、BOD</w:t>
            </w:r>
            <w:r>
              <w:rPr>
                <w:rFonts w:hint="eastAsia"/>
                <w:color w:val="000000" w:themeColor="text1"/>
                <w:vertAlign w:val="subscript"/>
                <w14:textFill>
                  <w14:solidFill>
                    <w14:schemeClr w14:val="tx1"/>
                  </w14:solidFill>
                </w14:textFill>
              </w:rPr>
              <w:t>5</w:t>
            </w:r>
            <w:r>
              <w:rPr>
                <w:rFonts w:hint="eastAsia"/>
                <w:color w:val="000000" w:themeColor="text1"/>
                <w:lang w:val="en-US" w:eastAsia="zh-CN"/>
                <w14:textFill>
                  <w14:solidFill>
                    <w14:schemeClr w14:val="tx1"/>
                  </w14:solidFill>
                </w14:textFill>
              </w:rPr>
              <w:t>85</w:t>
            </w:r>
            <w:r>
              <w:rPr>
                <w:rFonts w:hint="eastAsia"/>
                <w:color w:val="000000" w:themeColor="text1"/>
                <w14:textFill>
                  <w14:solidFill>
                    <w14:schemeClr w14:val="tx1"/>
                  </w14:solidFill>
                </w14:textFill>
              </w:rPr>
              <w:t>00mg/L、SS</w:t>
            </w:r>
            <w:r>
              <w:rPr>
                <w:rFonts w:hint="eastAsia"/>
                <w:color w:val="000000" w:themeColor="text1"/>
                <w:lang w:val="en-US" w:eastAsia="zh-CN"/>
                <w14:textFill>
                  <w14:solidFill>
                    <w14:schemeClr w14:val="tx1"/>
                  </w14:solidFill>
                </w14:textFill>
              </w:rPr>
              <w:t>30</w:t>
            </w:r>
            <w:r>
              <w:rPr>
                <w:rFonts w:hint="eastAsia"/>
                <w:color w:val="000000" w:themeColor="text1"/>
                <w14:textFill>
                  <w14:solidFill>
                    <w14:schemeClr w14:val="tx1"/>
                  </w14:solidFill>
                </w14:textFill>
              </w:rPr>
              <w:t>00mg/L、NH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00mg/L、TN</w:t>
            </w:r>
            <w:r>
              <w:rPr>
                <w:rFonts w:hint="eastAsia"/>
                <w:color w:val="000000" w:themeColor="text1"/>
                <w:lang w:val="en-US" w:eastAsia="zh-CN"/>
                <w14:textFill>
                  <w14:solidFill>
                    <w14:schemeClr w14:val="tx1"/>
                  </w14:solidFill>
                </w14:textFill>
              </w:rPr>
              <w:t>30</w:t>
            </w:r>
            <w:r>
              <w:rPr>
                <w:rFonts w:hint="eastAsia"/>
                <w:color w:val="000000" w:themeColor="text1"/>
                <w14:textFill>
                  <w14:solidFill>
                    <w14:schemeClr w14:val="tx1"/>
                  </w14:solidFill>
                </w14:textFill>
              </w:rPr>
              <w:t>0mg/L、TP</w:t>
            </w:r>
            <w:r>
              <w:rPr>
                <w:rFonts w:hint="eastAsia"/>
                <w:color w:val="000000" w:themeColor="text1"/>
                <w:lang w:val="en-US" w:eastAsia="zh-CN"/>
                <w14:textFill>
                  <w14:solidFill>
                    <w14:schemeClr w14:val="tx1"/>
                  </w14:solidFill>
                </w14:textFill>
              </w:rPr>
              <w:t>110</w:t>
            </w:r>
            <w:r>
              <w:rPr>
                <w:rFonts w:hint="eastAsia"/>
                <w:color w:val="000000" w:themeColor="text1"/>
                <w14:textFill>
                  <w14:solidFill>
                    <w14:schemeClr w14:val="tx1"/>
                  </w14:solidFill>
                </w14:textFill>
              </w:rPr>
              <w:t>mg/L。</w:t>
            </w:r>
            <w:r>
              <w:rPr>
                <w:rFonts w:hint="eastAsia"/>
                <w:color w:val="000000" w:themeColor="text1"/>
                <w:lang w:val="en-US" w:eastAsia="zh-CN"/>
                <w14:textFill>
                  <w14:solidFill>
                    <w14:schemeClr w14:val="tx1"/>
                  </w14:solidFill>
                </w14:textFill>
              </w:rPr>
              <w:t>酒糟渗滤液</w:t>
            </w:r>
            <w:r>
              <w:rPr>
                <w:rFonts w:hint="eastAsia"/>
                <w:color w:val="000000" w:themeColor="text1"/>
                <w14:textFill>
                  <w14:solidFill>
                    <w14:schemeClr w14:val="tx1"/>
                  </w14:solidFill>
                </w14:textFill>
              </w:rPr>
              <w:t>经厂区污水处理站处理后经厂区总排口排入市政污水管网，镇平县第二污水处理厂处理达标后排放。</w:t>
            </w:r>
          </w:p>
          <w:p w14:paraId="262E4F4D">
            <w:pPr>
              <w:spacing w:line="360" w:lineRule="auto"/>
              <w:ind w:firstLine="480" w:firstLineChars="200"/>
              <w:rPr>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⑧</w:t>
            </w:r>
            <w:r>
              <w:rPr>
                <w:color w:val="000000" w:themeColor="text1"/>
                <w:sz w:val="24"/>
                <w14:textFill>
                  <w14:solidFill>
                    <w14:schemeClr w14:val="tx1"/>
                  </w14:solidFill>
                </w14:textFill>
              </w:rPr>
              <w:t>洗瓶废水</w:t>
            </w:r>
          </w:p>
          <w:p w14:paraId="7FF620E2">
            <w:pPr>
              <w:pStyle w:val="13"/>
              <w:spacing w:before="0" w:after="0"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本项目洗瓶用纯水量为</w:t>
            </w:r>
            <w:r>
              <w:rPr>
                <w:color w:val="000000" w:themeColor="text1"/>
                <w:lang w:val="en-US" w:eastAsia="zh-CN"/>
                <w14:textFill>
                  <w14:solidFill>
                    <w14:schemeClr w14:val="tx1"/>
                  </w14:solidFill>
                </w14:textFill>
              </w:rPr>
              <w:t>163.405</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color w:val="000000" w:themeColor="text1"/>
                <w:lang w:val="en-US" w:eastAsia="zh-CN"/>
                <w14:textFill>
                  <w14:solidFill>
                    <w14:schemeClr w14:val="tx1"/>
                  </w14:solidFill>
                </w14:textFill>
              </w:rPr>
              <w:t>0.717</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/d）。排污系数为0.9，则容器清洗废水排放量约</w:t>
            </w:r>
            <w:r>
              <w:rPr>
                <w:rFonts w:hint="eastAsia"/>
                <w:color w:val="000000" w:themeColor="text1"/>
                <w:lang w:val="en-US" w:eastAsia="zh-CN"/>
                <w14:textFill>
                  <w14:solidFill>
                    <w14:schemeClr w14:val="tx1"/>
                  </w14:solidFill>
                </w14:textFill>
              </w:rPr>
              <w:t>147.065</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/a（0.</w:t>
            </w:r>
            <w:r>
              <w:rPr>
                <w:rFonts w:hint="eastAsia"/>
                <w:color w:val="000000" w:themeColor="text1"/>
                <w:lang w:val="en-US" w:eastAsia="zh-CN"/>
                <w14:textFill>
                  <w14:solidFill>
                    <w14:schemeClr w14:val="tx1"/>
                  </w14:solidFill>
                </w14:textFill>
              </w:rPr>
              <w:t>645</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/d）。根据《葡萄酒、黄酒工业水污染物排放标准》（征求意见稿）编制说明中</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表6黄酒生产废水排放量及污染物浓度</w:t>
            </w:r>
            <w:r>
              <w:rPr>
                <w:rFonts w:hint="eastAsia"/>
                <w:color w:val="000000" w:themeColor="text1"/>
                <w:lang w:eastAsia="zh-CN"/>
                <w14:textFill>
                  <w14:solidFill>
                    <w14:schemeClr w14:val="tx1"/>
                  </w14:solidFill>
                </w14:textFill>
              </w:rPr>
              <w:t>”</w:t>
            </w:r>
            <w:r>
              <w:rPr>
                <w:color w:val="000000" w:themeColor="text1"/>
                <w14:textFill>
                  <w14:solidFill>
                    <w14:schemeClr w14:val="tx1"/>
                  </w14:solidFill>
                </w14:textFill>
              </w:rPr>
              <w:t>可知，洗瓶废水水质为COD105mg/L，BOD</w:t>
            </w:r>
            <w:r>
              <w:rPr>
                <w:color w:val="000000" w:themeColor="text1"/>
                <w:vertAlign w:val="subscript"/>
                <w14:textFill>
                  <w14:solidFill>
                    <w14:schemeClr w14:val="tx1"/>
                  </w14:solidFill>
                </w14:textFill>
              </w:rPr>
              <w:t>5</w:t>
            </w:r>
            <w:r>
              <w:rPr>
                <w:color w:val="000000" w:themeColor="text1"/>
                <w14:textFill>
                  <w14:solidFill>
                    <w14:schemeClr w14:val="tx1"/>
                  </w14:solidFill>
                </w14:textFill>
              </w:rPr>
              <w:t>35mg/L，SS70mg/L。洗瓶废水</w:t>
            </w:r>
            <w:r>
              <w:rPr>
                <w:rFonts w:hint="eastAsia"/>
                <w:color w:val="000000" w:themeColor="text1"/>
                <w14:textFill>
                  <w14:solidFill>
                    <w14:schemeClr w14:val="tx1"/>
                  </w14:solidFill>
                </w14:textFill>
              </w:rPr>
              <w:t>经厂区污水处理站处理后经厂区总排口排入市政污水管网，镇平县第二污水处理厂处理达标后排放。</w:t>
            </w:r>
          </w:p>
          <w:p w14:paraId="69FDCF5F">
            <w:pPr>
              <w:widowControl/>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（5）啤酒生产线废水</w:t>
            </w:r>
          </w:p>
          <w:p w14:paraId="36749775">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①麦糟、废酵母、废啤酒花及热凝固物渗滤液</w:t>
            </w:r>
            <w:r>
              <w:rPr>
                <w:rFonts w:hint="eastAsia"/>
                <w:color w:val="000000" w:themeColor="text1"/>
                <w:sz w:val="24"/>
                <w14:textFill>
                  <w14:solidFill>
                    <w14:schemeClr w14:val="tx1"/>
                  </w14:solidFill>
                </w14:textFill>
              </w:rPr>
              <w:t>及CIP系统清洗废水</w:t>
            </w:r>
          </w:p>
          <w:p w14:paraId="2EEA1216">
            <w:pPr>
              <w:pStyle w:val="13"/>
              <w:spacing w:before="0" w:after="0" w:line="360" w:lineRule="auto"/>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由于本项目生产产生的</w:t>
            </w:r>
            <w:r>
              <w:rPr>
                <w:color w:val="000000" w:themeColor="text1"/>
                <w14:textFill>
                  <w14:solidFill>
                    <w14:schemeClr w14:val="tx1"/>
                  </w14:solidFill>
                </w14:textFill>
              </w:rPr>
              <w:t>麦糟、废酵母、废啤酒花及热凝固物</w:t>
            </w:r>
            <w:r>
              <w:rPr>
                <w:rFonts w:hint="eastAsia"/>
                <w:color w:val="000000" w:themeColor="text1"/>
                <w14:textFill>
                  <w14:solidFill>
                    <w14:schemeClr w14:val="tx1"/>
                  </w14:solidFill>
                </w14:textFill>
              </w:rPr>
              <w:t>含水率较高，在暂存间堆存期间其内部含水会随重力渗沥作用形成渗滤液，其渗滤液产生量约占</w:t>
            </w:r>
            <w:r>
              <w:rPr>
                <w:color w:val="000000" w:themeColor="text1"/>
                <w14:textFill>
                  <w14:solidFill>
                    <w14:schemeClr w14:val="tx1"/>
                  </w14:solidFill>
                </w14:textFill>
              </w:rPr>
              <w:t>麦糟、废酵母、废啤酒花及热凝固物</w:t>
            </w:r>
            <w:r>
              <w:rPr>
                <w:rFonts w:hint="eastAsia"/>
                <w:color w:val="000000" w:themeColor="text1"/>
                <w14:textFill>
                  <w14:solidFill>
                    <w14:schemeClr w14:val="tx1"/>
                  </w14:solidFill>
                </w14:textFill>
              </w:rPr>
              <w:t>含水率的</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0%左右，即</w:t>
            </w:r>
            <w:r>
              <w:rPr>
                <w:rFonts w:hint="eastAsia"/>
                <w:color w:val="000000" w:themeColor="text1"/>
                <w:lang w:val="en-US" w:eastAsia="zh-CN"/>
                <w14:textFill>
                  <w14:solidFill>
                    <w14:schemeClr w14:val="tx1"/>
                  </w14:solidFill>
                </w14:textFill>
              </w:rPr>
              <w:t>12.103</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szCs w:val="21"/>
                <w:lang w:val="en-US" w:eastAsia="zh-CN"/>
                <w14:textFill>
                  <w14:solidFill>
                    <w14:schemeClr w14:val="tx1"/>
                  </w14:solidFill>
                </w14:textFill>
              </w:rPr>
              <w:t>0.053</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。根据《酿造工业废水治理工程技术规范》（HJ575-2010），</w:t>
            </w:r>
            <w:r>
              <w:rPr>
                <w:color w:val="000000" w:themeColor="text1"/>
                <w14:textFill>
                  <w14:solidFill>
                    <w14:schemeClr w14:val="tx1"/>
                  </w14:solidFill>
                </w14:textFill>
              </w:rPr>
              <w:t>麦糟、废酵母、废啤酒花及热凝固物</w:t>
            </w:r>
            <w:r>
              <w:rPr>
                <w:rFonts w:hint="eastAsia"/>
                <w:color w:val="000000" w:themeColor="text1"/>
                <w:lang w:val="en-US" w:eastAsia="zh-CN"/>
                <w14:textFill>
                  <w14:solidFill>
                    <w14:schemeClr w14:val="tx1"/>
                  </w14:solidFill>
                </w14:textFill>
              </w:rPr>
              <w:t>渗滤液</w:t>
            </w:r>
            <w:r>
              <w:rPr>
                <w:rFonts w:hint="eastAsia"/>
                <w:color w:val="000000" w:themeColor="text1"/>
                <w14:textFill>
                  <w14:solidFill>
                    <w14:schemeClr w14:val="tx1"/>
                  </w14:solidFill>
                </w14:textFill>
              </w:rPr>
              <w:t>属于高浓度废水；参照《第二次全国污染源普查工业污染源排污系数手册》、《酿造工业废水治理工程技术规范》（HJ575-2010）以及类比同类企业，</w:t>
            </w:r>
            <w:r>
              <w:rPr>
                <w:color w:val="000000" w:themeColor="text1"/>
                <w14:textFill>
                  <w14:solidFill>
                    <w14:schemeClr w14:val="tx1"/>
                  </w14:solidFill>
                </w14:textFill>
              </w:rPr>
              <w:t>麦糟、废酵母、废啤酒花及热凝固物</w:t>
            </w:r>
            <w:r>
              <w:rPr>
                <w:rFonts w:hint="eastAsia"/>
                <w:color w:val="000000" w:themeColor="text1"/>
                <w:lang w:val="en-US" w:eastAsia="zh-CN"/>
                <w14:textFill>
                  <w14:solidFill>
                    <w14:schemeClr w14:val="tx1"/>
                  </w14:solidFill>
                </w14:textFill>
              </w:rPr>
              <w:t>渗滤液</w:t>
            </w:r>
            <w:r>
              <w:rPr>
                <w:rFonts w:hint="eastAsia"/>
                <w:color w:val="000000" w:themeColor="text1"/>
                <w14:textFill>
                  <w14:solidFill>
                    <w14:schemeClr w14:val="tx1"/>
                  </w14:solidFill>
                </w14:textFill>
              </w:rPr>
              <w:t>主要污染物</w:t>
            </w:r>
            <w:r>
              <w:rPr>
                <w:rFonts w:hint="eastAsia"/>
                <w:color w:val="000000" w:themeColor="text1"/>
                <w:lang w:val="en-US" w:eastAsia="zh-CN"/>
                <w14:textFill>
                  <w14:solidFill>
                    <w14:schemeClr w14:val="tx1"/>
                  </w14:solidFill>
                </w14:textFill>
              </w:rPr>
              <w:t>pH5.0、</w:t>
            </w:r>
            <w:r>
              <w:rPr>
                <w:rFonts w:hint="eastAsia"/>
                <w:color w:val="000000" w:themeColor="text1"/>
                <w14:textFill>
                  <w14:solidFill>
                    <w14:schemeClr w14:val="tx1"/>
                  </w14:solidFill>
                </w14:textFill>
              </w:rPr>
              <w:t>COD</w:t>
            </w:r>
            <w:r>
              <w:rPr>
                <w:rFonts w:hint="eastAsia"/>
                <w:color w:val="000000" w:themeColor="text1"/>
                <w:lang w:val="en-US" w:eastAsia="zh-CN"/>
                <w14:textFill>
                  <w14:solidFill>
                    <w14:schemeClr w14:val="tx1"/>
                  </w14:solidFill>
                </w14:textFill>
              </w:rPr>
              <w:t>16</w:t>
            </w:r>
            <w:r>
              <w:rPr>
                <w:rFonts w:hint="eastAsia"/>
                <w:color w:val="000000" w:themeColor="text1"/>
                <w14:textFill>
                  <w14:solidFill>
                    <w14:schemeClr w14:val="tx1"/>
                  </w14:solidFill>
                </w14:textFill>
              </w:rPr>
              <w:t>000mg/L、BOD</w:t>
            </w:r>
            <w:r>
              <w:rPr>
                <w:rFonts w:hint="eastAsia"/>
                <w:color w:val="000000" w:themeColor="text1"/>
                <w:vertAlign w:val="subscript"/>
                <w14:textFill>
                  <w14:solidFill>
                    <w14:schemeClr w14:val="tx1"/>
                  </w14:solidFill>
                </w14:textFill>
              </w:rPr>
              <w:t>5</w:t>
            </w:r>
            <w:r>
              <w:rPr>
                <w:rFonts w:hint="eastAsia"/>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000mg/L、SS</w:t>
            </w:r>
            <w:r>
              <w:rPr>
                <w:rFonts w:hint="eastAsia"/>
                <w:color w:val="000000" w:themeColor="text1"/>
                <w:lang w:val="en-US" w:eastAsia="zh-CN"/>
                <w14:textFill>
                  <w14:solidFill>
                    <w14:schemeClr w14:val="tx1"/>
                  </w14:solidFill>
                </w14:textFill>
              </w:rPr>
              <w:t>20</w:t>
            </w:r>
            <w:r>
              <w:rPr>
                <w:rFonts w:hint="eastAsia"/>
                <w:color w:val="000000" w:themeColor="text1"/>
                <w14:textFill>
                  <w14:solidFill>
                    <w14:schemeClr w14:val="tx1"/>
                  </w14:solidFill>
                </w14:textFill>
              </w:rPr>
              <w:t>00mg/L、NH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r>
              <w:rPr>
                <w:rFonts w:hint="eastAsia"/>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0mg/L、TN</w:t>
            </w:r>
            <w:r>
              <w:rPr>
                <w:rFonts w:hint="eastAsia"/>
                <w:color w:val="000000" w:themeColor="text1"/>
                <w:lang w:val="en-US" w:eastAsia="zh-CN"/>
                <w14:textFill>
                  <w14:solidFill>
                    <w14:schemeClr w14:val="tx1"/>
                  </w14:solidFill>
                </w14:textFill>
              </w:rPr>
              <w:t>33</w:t>
            </w:r>
            <w:r>
              <w:rPr>
                <w:rFonts w:hint="eastAsia"/>
                <w:color w:val="000000" w:themeColor="text1"/>
                <w14:textFill>
                  <w14:solidFill>
                    <w14:schemeClr w14:val="tx1"/>
                  </w14:solidFill>
                </w14:textFill>
              </w:rPr>
              <w:t>0mg/L、TP</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mg/L。</w:t>
            </w:r>
          </w:p>
          <w:p w14:paraId="69044D81">
            <w:pPr>
              <w:pStyle w:val="13"/>
              <w:spacing w:before="0" w:after="0" w:line="360" w:lineRule="auto"/>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根据《酿造工业废水治理工程技术规范》（HJ575-2010），本项目每个批次生产结束后需对设备进行清洗，CIP系统和容器管路第一次清洗废水产生量为</w:t>
            </w:r>
            <w:r>
              <w:rPr>
                <w:rFonts w:hint="eastAsia"/>
                <w:color w:val="000000" w:themeColor="text1"/>
                <w:lang w:val="en-US" w:eastAsia="zh-CN"/>
                <w14:textFill>
                  <w14:solidFill>
                    <w14:schemeClr w14:val="tx1"/>
                  </w14:solidFill>
                </w14:textFill>
              </w:rPr>
              <w:t>54.0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lang w:val="en-US" w:eastAsia="zh-CN"/>
                <w14:textFill>
                  <w14:solidFill>
                    <w14:schemeClr w14:val="tx1"/>
                  </w14:solidFill>
                </w14:textFill>
              </w:rPr>
              <w:t>0.237</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（第一次CIP系统清洗废水含有啤酒原液，属于高浓度工艺废水），主要污染物浓度为 COD20000mg/L、BOD</w:t>
            </w:r>
            <w:r>
              <w:rPr>
                <w:rFonts w:hint="eastAsia"/>
                <w:color w:val="000000" w:themeColor="text1"/>
                <w:vertAlign w:val="subscript"/>
                <w14:textFill>
                  <w14:solidFill>
                    <w14:schemeClr w14:val="tx1"/>
                  </w14:solidFill>
                </w14:textFill>
              </w:rPr>
              <w:t>5</w:t>
            </w:r>
            <w:r>
              <w:rPr>
                <w:rFonts w:hint="eastAsia"/>
                <w:color w:val="000000" w:themeColor="text1"/>
                <w14:textFill>
                  <w14:solidFill>
                    <w14:schemeClr w14:val="tx1"/>
                  </w14:solidFill>
                </w14:textFill>
              </w:rPr>
              <w:t>9000mg/L、SS2000mg/L、TN330mg/L、氨氮260mg/L、TP6mg/L。结合《酿造工业废水治理工程技术规范》（HJ575-2010）中 6.1.3采取削减有机污染负荷的工艺废水单独收集、处理措施，控制综合废水处理系统的进水水质下第（7）条数量少、非间歇排放，或不易分别收集的高浓度工艺废水（如啤酒行业的麦糟滤液、废酵母滤液、一次洗涤水等），在不影响综合废水处理系统进水水质要求的前提下，宜直接混入综合废水集中处理。本项目第一次CIP清洗废水水量为</w:t>
            </w:r>
            <w:r>
              <w:rPr>
                <w:rFonts w:hint="eastAsia"/>
                <w:color w:val="000000" w:themeColor="text1"/>
                <w:lang w:val="en-US" w:eastAsia="zh-CN"/>
                <w14:textFill>
                  <w14:solidFill>
                    <w14:schemeClr w14:val="tx1"/>
                  </w14:solidFill>
                </w14:textFill>
              </w:rPr>
              <w:t>54.0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lang w:val="en-US" w:eastAsia="zh-CN"/>
                <w14:textFill>
                  <w14:solidFill>
                    <w14:schemeClr w14:val="tx1"/>
                  </w14:solidFill>
                </w14:textFill>
              </w:rPr>
              <w:t>0.237</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麦糟、废酵母、废啤酒花及热凝固物</w:t>
            </w:r>
            <w:r>
              <w:rPr>
                <w:color w:val="000000" w:themeColor="text1"/>
                <w:lang w:val="en-US" w:eastAsia="zh-CN"/>
                <w14:textFill>
                  <w14:solidFill>
                    <w14:schemeClr w14:val="tx1"/>
                  </w14:solidFill>
                </w14:textFill>
              </w:rPr>
              <w:t>渗滤液产生量</w:t>
            </w:r>
            <w:r>
              <w:rPr>
                <w:rFonts w:hint="eastAsia"/>
                <w:color w:val="000000" w:themeColor="text1"/>
                <w:lang w:val="en-US" w:eastAsia="zh-CN"/>
                <w14:textFill>
                  <w14:solidFill>
                    <w14:schemeClr w14:val="tx1"/>
                  </w14:solidFill>
                </w14:textFill>
              </w:rPr>
              <w:t>为12.103</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szCs w:val="21"/>
                <w:lang w:val="en-US" w:eastAsia="zh-CN"/>
                <w14:textFill>
                  <w14:solidFill>
                    <w14:schemeClr w14:val="tx1"/>
                  </w14:solidFill>
                </w14:textFill>
              </w:rPr>
              <w:t>0.053</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lang w:eastAsia="zh-CN"/>
                <w14:textFill>
                  <w14:solidFill>
                    <w14:schemeClr w14:val="tx1"/>
                  </w14:solidFill>
                </w14:textFill>
              </w:rPr>
              <w:t>；</w:t>
            </w:r>
            <w:r>
              <w:rPr>
                <w:rFonts w:hint="eastAsia"/>
                <w:color w:val="000000" w:themeColor="text1"/>
                <w14:textFill>
                  <w14:solidFill>
                    <w14:schemeClr w14:val="tx1"/>
                  </w14:solidFill>
                </w14:textFill>
              </w:rPr>
              <w:t>而生产废水水量为</w:t>
            </w:r>
            <w:r>
              <w:rPr>
                <w:rFonts w:hint="eastAsia"/>
                <w:color w:val="000000" w:themeColor="text1"/>
                <w:lang w:val="en-US" w:eastAsia="zh-CN"/>
                <w14:textFill>
                  <w14:solidFill>
                    <w14:schemeClr w14:val="tx1"/>
                  </w14:solidFill>
                </w14:textFill>
              </w:rPr>
              <w:t>5954.065</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lang w:val="en-US" w:eastAsia="zh-CN"/>
                <w14:textFill>
                  <w14:solidFill>
                    <w14:schemeClr w14:val="tx1"/>
                  </w14:solidFill>
                </w14:textFill>
              </w:rPr>
              <w:t>26.116</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，第一次CIP清洗废水水量</w:t>
            </w:r>
            <w:r>
              <w:rPr>
                <w:rFonts w:hint="eastAsia"/>
                <w:color w:val="000000" w:themeColor="text1"/>
                <w:lang w:val="en-US" w:eastAsia="zh-CN"/>
                <w14:textFill>
                  <w14:solidFill>
                    <w14:schemeClr w14:val="tx1"/>
                  </w14:solidFill>
                </w14:textFill>
              </w:rPr>
              <w:t>及</w:t>
            </w:r>
            <w:r>
              <w:rPr>
                <w:color w:val="000000" w:themeColor="text1"/>
                <w14:textFill>
                  <w14:solidFill>
                    <w14:schemeClr w14:val="tx1"/>
                  </w14:solidFill>
                </w14:textFill>
              </w:rPr>
              <w:t>麦糟、废酵母、废啤酒花及热凝固物</w:t>
            </w:r>
            <w:r>
              <w:rPr>
                <w:color w:val="000000" w:themeColor="text1"/>
                <w:lang w:val="en-US" w:eastAsia="zh-CN"/>
                <w14:textFill>
                  <w14:solidFill>
                    <w14:schemeClr w14:val="tx1"/>
                  </w14:solidFill>
                </w14:textFill>
              </w:rPr>
              <w:t>渗滤液</w:t>
            </w:r>
            <w:r>
              <w:rPr>
                <w:rFonts w:hint="eastAsia"/>
                <w:color w:val="000000" w:themeColor="text1"/>
                <w:lang w:val="en-US" w:eastAsia="zh-CN"/>
                <w14:textFill>
                  <w14:solidFill>
                    <w14:schemeClr w14:val="tx1"/>
                  </w14:solidFill>
                </w14:textFill>
              </w:rPr>
              <w:t>量</w:t>
            </w:r>
            <w:r>
              <w:rPr>
                <w:rFonts w:hint="eastAsia"/>
                <w:color w:val="000000" w:themeColor="text1"/>
                <w14:textFill>
                  <w14:solidFill>
                    <w14:schemeClr w14:val="tx1"/>
                  </w14:solidFill>
                </w14:textFill>
              </w:rPr>
              <w:t>较小，混合入总体生产废水后对生产废水水质影响较小，可直接混入综合生产废水进入污水处理设备集中处理。</w:t>
            </w:r>
            <w:r>
              <w:rPr>
                <w:color w:val="000000" w:themeColor="text1"/>
                <w14:textFill>
                  <w14:solidFill>
                    <w14:schemeClr w14:val="tx1"/>
                  </w14:solidFill>
                </w14:textFill>
              </w:rPr>
              <w:t>麦糟、废酵母、废啤酒花及热凝固物</w:t>
            </w:r>
            <w:r>
              <w:rPr>
                <w:color w:val="000000" w:themeColor="text1"/>
                <w:lang w:val="en-US" w:eastAsia="zh-CN"/>
                <w14:textFill>
                  <w14:solidFill>
                    <w14:schemeClr w14:val="tx1"/>
                  </w14:solidFill>
                </w14:textFill>
              </w:rPr>
              <w:t>渗滤液</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CIP热水冲洗废水</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酸罐</w:t>
            </w:r>
            <w:r>
              <w:rPr>
                <w:rFonts w:hint="eastAsia"/>
                <w:color w:val="000000" w:themeColor="text1"/>
                <w14:textFill>
                  <w14:solidFill>
                    <w14:schemeClr w14:val="tx1"/>
                  </w14:solidFill>
                </w14:textFill>
              </w:rPr>
              <w:t xml:space="preserve">及碱罐排放废水产生量为 </w:t>
            </w:r>
            <w:r>
              <w:rPr>
                <w:rFonts w:hint="eastAsia"/>
                <w:color w:val="000000" w:themeColor="text1"/>
                <w:lang w:val="en-US" w:eastAsia="zh-CN"/>
                <w14:textFill>
                  <w14:solidFill>
                    <w14:schemeClr w14:val="tx1"/>
                  </w14:solidFill>
                </w14:textFill>
              </w:rPr>
              <w:t>507.103</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lang w:val="en-US" w:eastAsia="zh-CN"/>
                <w14:textFill>
                  <w14:solidFill>
                    <w14:schemeClr w14:val="tx1"/>
                  </w14:solidFill>
                </w14:textFill>
              </w:rPr>
              <w:t>2.224</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，根据项目生产管理情况并参照《酿造工业废水治理工程技术规范》（HJ575-2010）中啤酒综合废水浓度参数，主要污染物浓度为 COD1</w:t>
            </w:r>
            <w:r>
              <w:rPr>
                <w:rFonts w:hint="eastAsia"/>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00mg/L、BOD</w:t>
            </w:r>
            <w:r>
              <w:rPr>
                <w:rFonts w:hint="eastAsia"/>
                <w:color w:val="000000" w:themeColor="text1"/>
                <w:vertAlign w:val="subscript"/>
                <w14:textFill>
                  <w14:solidFill>
                    <w14:schemeClr w14:val="tx1"/>
                  </w14:solidFill>
                </w14:textFill>
              </w:rPr>
              <w:t>5</w:t>
            </w:r>
            <w:r>
              <w:rPr>
                <w:rFonts w:hint="eastAsia"/>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00mg/L、SS200mg/L、NH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-N90mg/L、TN120mg/L、TP</w:t>
            </w:r>
            <w:r>
              <w:rPr>
                <w:rFonts w:hint="eastAsia"/>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mg/L。</w:t>
            </w:r>
            <w:r>
              <w:rPr>
                <w:color w:val="000000" w:themeColor="text1"/>
                <w14:textFill>
                  <w14:solidFill>
                    <w14:schemeClr w14:val="tx1"/>
                  </w14:solidFill>
                </w14:textFill>
              </w:rPr>
              <w:t>麦糟、废酵母、废啤酒花及热凝固物</w:t>
            </w:r>
            <w:r>
              <w:rPr>
                <w:color w:val="000000" w:themeColor="text1"/>
                <w:lang w:val="en-US" w:eastAsia="zh-CN"/>
                <w14:textFill>
                  <w14:solidFill>
                    <w14:schemeClr w14:val="tx1"/>
                  </w14:solidFill>
                </w14:textFill>
              </w:rPr>
              <w:t>渗滤液</w:t>
            </w:r>
            <w:r>
              <w:rPr>
                <w:rFonts w:hint="eastAsia"/>
                <w:color w:val="000000" w:themeColor="text1"/>
                <w:lang w:val="en-US" w:eastAsia="zh-CN"/>
                <w14:textFill>
                  <w14:solidFill>
                    <w14:schemeClr w14:val="tx1"/>
                  </w14:solidFill>
                </w14:textFill>
              </w:rPr>
              <w:t>、</w:t>
            </w:r>
            <w:r>
              <w:rPr>
                <w:rFonts w:hint="eastAsia"/>
                <w:color w:val="000000" w:themeColor="text1"/>
                <w14:textFill>
                  <w14:solidFill>
                    <w14:schemeClr w14:val="tx1"/>
                  </w14:solidFill>
                </w14:textFill>
              </w:rPr>
              <w:t>CIP热水冲洗废水</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酸罐</w:t>
            </w:r>
            <w:r>
              <w:rPr>
                <w:rFonts w:hint="eastAsia"/>
                <w:color w:val="000000" w:themeColor="text1"/>
                <w14:textFill>
                  <w14:solidFill>
                    <w14:schemeClr w14:val="tx1"/>
                  </w14:solidFill>
                </w14:textFill>
              </w:rPr>
              <w:t>及碱罐排放废水经厂区污水处理站处理后经厂区总排口排入市政污水管网，镇平县第二污水处理厂处理达标后排放。</w:t>
            </w:r>
          </w:p>
          <w:p w14:paraId="2A51D935">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②</w:t>
            </w:r>
            <w:r>
              <w:rPr>
                <w:color w:val="000000" w:themeColor="text1"/>
                <w:kern w:val="0"/>
                <w:sz w:val="24"/>
                <w14:textFill>
                  <w14:solidFill>
                    <w14:schemeClr w14:val="tx1"/>
                  </w14:solidFill>
                </w14:textFill>
              </w:rPr>
              <w:t>循环冷却废水</w:t>
            </w:r>
          </w:p>
          <w:p w14:paraId="2363F817">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w:t>
            </w:r>
            <w:r>
              <w:rPr>
                <w:color w:val="000000" w:themeColor="text1"/>
                <w:sz w:val="24"/>
                <w14:textFill>
                  <w14:solidFill>
                    <w14:schemeClr w14:val="tx1"/>
                  </w14:solidFill>
                </w14:textFill>
              </w:rPr>
              <w:t>冷却水循环使用后，不可回用部分废水量约为</w:t>
            </w:r>
            <w:r>
              <w:rPr>
                <w:rFonts w:hint="eastAsia"/>
                <w:color w:val="000000" w:themeColor="text1"/>
                <w:sz w:val="24"/>
                <w14:textFill>
                  <w14:solidFill>
                    <w14:schemeClr w14:val="tx1"/>
                  </w14:solidFill>
                </w14:textFill>
              </w:rPr>
              <w:t>0.658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14:textFill>
                  <w14:solidFill>
                    <w14:schemeClr w14:val="tx1"/>
                  </w14:solidFill>
                </w14:textFill>
              </w:rPr>
              <w:t>（150.0m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/a）</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其主要污染因子为富集的钙镁阳离子及SS，钙镁阳离子不作污染因子考虑，其悬浮物SS浓度为10mg/L</w:t>
            </w:r>
            <w:r>
              <w:rPr>
                <w:color w:val="000000" w:themeColor="text1"/>
                <w:kern w:val="0"/>
                <w:sz w:val="24"/>
                <w14:textFill>
                  <w14:solidFill>
                    <w14:schemeClr w14:val="tx1"/>
                  </w14:solidFill>
                </w14:textFill>
              </w:rPr>
              <w:t>；循环冷却水</w:t>
            </w:r>
            <w:r>
              <w:rPr>
                <w:color w:val="000000" w:themeColor="text1"/>
                <w:sz w:val="24"/>
                <w14:textFill>
                  <w14:solidFill>
                    <w14:schemeClr w14:val="tx1"/>
                  </w14:solidFill>
                </w14:textFill>
              </w:rPr>
              <w:t>经厂区污水处理站处理后经厂区总排口排入市政污水管网，镇平县第二污水处理厂处理达标后排放。</w:t>
            </w:r>
          </w:p>
          <w:p w14:paraId="71CBD783">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③洗瓶废水</w:t>
            </w:r>
          </w:p>
          <w:p w14:paraId="76773305">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本项目洗瓶用纯水量为182.811m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/a（0.802m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/d）。排污系数为0.9，则容器清洗废水排放量约</w:t>
            </w:r>
            <w:r>
              <w:rPr>
                <w:rFonts w:hint="eastAsia"/>
                <w:color w:val="000000" w:themeColor="text1"/>
                <w:sz w:val="24"/>
                <w14:textFill>
                  <w14:solidFill>
                    <w14:schemeClr w14:val="tx1"/>
                  </w14:solidFill>
                </w14:textFill>
              </w:rPr>
              <w:t>164.530</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w:t>
            </w:r>
            <w:r>
              <w:rPr>
                <w:rFonts w:hint="eastAsia"/>
                <w:color w:val="000000" w:themeColor="text1"/>
                <w:sz w:val="24"/>
                <w14:textFill>
                  <w14:solidFill>
                    <w14:schemeClr w14:val="tx1"/>
                  </w14:solidFill>
                </w14:textFill>
              </w:rPr>
              <w:t>722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14:textFill>
                  <w14:solidFill>
                    <w14:schemeClr w14:val="tx1"/>
                  </w14:solidFill>
                </w14:textFill>
              </w:rPr>
              <w:t>参考</w:t>
            </w:r>
            <w:r>
              <w:rPr>
                <w:color w:val="000000" w:themeColor="text1"/>
                <w:sz w:val="24"/>
                <w14:textFill>
                  <w14:solidFill>
                    <w14:schemeClr w14:val="tx1"/>
                  </w14:solidFill>
                </w14:textFill>
              </w:rPr>
              <w:t>《葡萄酒、黄酒工业水污染物排放标准》（征求意见稿）编制说明中</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表6黄酒生产废水排放量及污染物浓度</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可知，洗瓶废水水质为COD105mg/L，BOD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35mg/L，SS70mg/L。洗瓶废水</w:t>
            </w:r>
            <w:r>
              <w:rPr>
                <w:rFonts w:hint="eastAsia"/>
                <w:color w:val="000000" w:themeColor="text1"/>
                <w:sz w:val="24"/>
                <w14:textFill>
                  <w14:solidFill>
                    <w14:schemeClr w14:val="tx1"/>
                  </w14:solidFill>
                </w14:textFill>
              </w:rPr>
              <w:t>经厂区污水处理站处理后经厂区总排口排入市政污水管网，镇平县第二污水处理厂处理达标后排放。</w:t>
            </w:r>
          </w:p>
          <w:p w14:paraId="297C070E">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（6）果酒生产线废水</w:t>
            </w:r>
          </w:p>
          <w:p w14:paraId="107A00DD">
            <w:pPr>
              <w:pStyle w:val="43"/>
              <w:rPr>
                <w:color w:val="000000" w:themeColor="text1"/>
                <w14:textFill>
                  <w14:solidFill>
                    <w14:schemeClr w14:val="tx1"/>
                  </w14:solidFill>
                </w14:textFill>
              </w:rPr>
            </w:pPr>
            <w:r>
              <w:rPr>
                <w:color w:val="000000" w:themeColor="text1"/>
                <w14:textFill>
                  <w14:solidFill>
                    <w14:schemeClr w14:val="tx1"/>
                  </w14:solidFill>
                </w14:textFill>
              </w:rPr>
              <w:t>①</w:t>
            </w:r>
            <w:r>
              <w:rPr>
                <w:color w:val="000000" w:themeColor="text1"/>
                <w:kern w:val="0"/>
                <w14:textFill>
                  <w14:solidFill>
                    <w14:schemeClr w14:val="tx1"/>
                  </w14:solidFill>
                </w14:textFill>
              </w:rPr>
              <w:t>水果</w:t>
            </w:r>
            <w:r>
              <w:rPr>
                <w:color w:val="000000" w:themeColor="text1"/>
                <w14:textFill>
                  <w14:solidFill>
                    <w14:schemeClr w14:val="tx1"/>
                  </w14:solidFill>
                </w14:textFill>
              </w:rPr>
              <w:t>清洗废水</w:t>
            </w:r>
          </w:p>
          <w:p w14:paraId="1BD549D1">
            <w:pPr>
              <w:spacing w:line="360" w:lineRule="auto"/>
              <w:ind w:firstLine="480" w:firstLineChars="200"/>
              <w:rPr>
                <w:color w:val="000000" w:themeColor="text1"/>
                <w:sz w:val="24"/>
                <w14:textFill>
                  <w14:solidFill>
                    <w14:schemeClr w14:val="tx1"/>
                  </w14:solidFill>
                </w14:textFill>
              </w:rPr>
            </w:pPr>
            <w:r>
              <w:rPr>
                <w:bCs/>
                <w:color w:val="000000" w:themeColor="text1"/>
                <w:sz w:val="24"/>
                <w14:textFill>
                  <w14:solidFill>
                    <w14:schemeClr w14:val="tx1"/>
                  </w14:solidFill>
                </w14:textFill>
              </w:rPr>
              <w:t>根据企业提供资料，本项目</w:t>
            </w:r>
            <w:r>
              <w:rPr>
                <w:rFonts w:hint="eastAsia"/>
                <w:bCs/>
                <w:color w:val="000000" w:themeColor="text1"/>
                <w:sz w:val="24"/>
                <w14:textFill>
                  <w14:solidFill>
                    <w14:schemeClr w14:val="tx1"/>
                  </w14:solidFill>
                </w14:textFill>
              </w:rPr>
              <w:t>水果</w:t>
            </w:r>
            <w:r>
              <w:rPr>
                <w:bCs/>
                <w:color w:val="000000" w:themeColor="text1"/>
                <w:sz w:val="24"/>
                <w14:textFill>
                  <w14:solidFill>
                    <w14:schemeClr w14:val="tx1"/>
                  </w14:solidFill>
                </w14:textFill>
              </w:rPr>
              <w:t>清洗机内水槽</w:t>
            </w:r>
            <w:r>
              <w:rPr>
                <w:color w:val="000000" w:themeColor="text1"/>
                <w:sz w:val="24"/>
                <w14:textFill>
                  <w14:solidFill>
                    <w14:schemeClr w14:val="tx1"/>
                  </w14:solidFill>
                </w14:textFill>
              </w:rPr>
              <w:t>容积为3m</w:t>
            </w:r>
            <w:r>
              <w:rPr>
                <w:color w:val="000000" w:themeColor="text1"/>
                <w:sz w:val="24"/>
                <w:vertAlign w:val="superscript"/>
                <w14:textFill>
                  <w14:solidFill>
                    <w14:schemeClr w14:val="tx1"/>
                  </w14:solidFill>
                </w14:textFill>
              </w:rPr>
              <w:t>3</w:t>
            </w: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水果</w:t>
            </w:r>
            <w:r>
              <w:rPr>
                <w:bCs/>
                <w:color w:val="000000" w:themeColor="text1"/>
                <w:sz w:val="24"/>
                <w14:textFill>
                  <w14:solidFill>
                    <w14:schemeClr w14:val="tx1"/>
                  </w14:solidFill>
                </w14:textFill>
              </w:rPr>
              <w:t>清洗机充水量占有效容积</w:t>
            </w:r>
            <w:r>
              <w:rPr>
                <w:rFonts w:hint="eastAsia"/>
                <w:bCs/>
                <w:color w:val="000000" w:themeColor="text1"/>
                <w:sz w:val="24"/>
                <w14:textFill>
                  <w14:solidFill>
                    <w14:schemeClr w14:val="tx1"/>
                  </w14:solidFill>
                </w14:textFill>
              </w:rPr>
              <w:t>6</w:t>
            </w:r>
            <w:r>
              <w:rPr>
                <w:bCs/>
                <w:color w:val="000000" w:themeColor="text1"/>
                <w:sz w:val="24"/>
                <w14:textFill>
                  <w14:solidFill>
                    <w14:schemeClr w14:val="tx1"/>
                  </w14:solidFill>
                </w14:textFill>
              </w:rPr>
              <w:t>0%，本项目原料清洗工序每天用水量为410.4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1.8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bCs/>
                <w:color w:val="000000" w:themeColor="text1"/>
                <w:sz w:val="24"/>
                <w14:textFill>
                  <w14:solidFill>
                    <w14:schemeClr w14:val="tx1"/>
                  </w14:solidFill>
                </w14:textFill>
              </w:rPr>
              <w:t>，根据企业提供资料，每天排放1次废水，废水排污系数取0.9，则清洗工序废水排放量为</w:t>
            </w:r>
            <w:r>
              <w:rPr>
                <w:rFonts w:hint="eastAsia"/>
                <w:bCs/>
                <w:color w:val="000000" w:themeColor="text1"/>
                <w:sz w:val="24"/>
                <w14:textFill>
                  <w14:solidFill>
                    <w14:schemeClr w14:val="tx1"/>
                  </w14:solidFill>
                </w14:textFill>
              </w:rPr>
              <w:t>369.36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1.62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bCs/>
                <w:color w:val="000000" w:themeColor="text1"/>
                <w:sz w:val="24"/>
                <w14:textFill>
                  <w14:solidFill>
                    <w14:schemeClr w14:val="tx1"/>
                  </w14:solidFill>
                </w14:textFill>
              </w:rPr>
              <w:t>，参照《二污排放源统计调查产排污核算方法和系数手册-137蔬菜、菌类、水果和坚果加工行业系数手册》，并类比同类项目，原料清洗废水</w:t>
            </w:r>
            <w:r>
              <w:rPr>
                <w:color w:val="000000" w:themeColor="text1"/>
                <w:sz w:val="24"/>
                <w14:textFill>
                  <w14:solidFill>
                    <w14:schemeClr w14:val="tx1"/>
                  </w14:solidFill>
                </w14:textFill>
              </w:rPr>
              <w:t>水质为COD</w:t>
            </w:r>
            <w:r>
              <w:rPr>
                <w:bCs/>
                <w:color w:val="000000" w:themeColor="text1"/>
                <w:sz w:val="24"/>
                <w14:textFill>
                  <w14:solidFill>
                    <w14:schemeClr w14:val="tx1"/>
                  </w14:solidFill>
                </w14:textFill>
              </w:rPr>
              <w:t>2</w:t>
            </w:r>
            <w:r>
              <w:rPr>
                <w:rFonts w:hint="eastAsia"/>
                <w:bCs/>
                <w:color w:val="000000" w:themeColor="text1"/>
                <w:sz w:val="24"/>
                <w14:textFill>
                  <w14:solidFill>
                    <w14:schemeClr w14:val="tx1"/>
                  </w14:solidFill>
                </w14:textFill>
              </w:rPr>
              <w:t>5</w:t>
            </w:r>
            <w:r>
              <w:rPr>
                <w:bCs/>
                <w:color w:val="000000" w:themeColor="text1"/>
                <w:sz w:val="24"/>
                <w14:textFill>
                  <w14:solidFill>
                    <w14:schemeClr w14:val="tx1"/>
                  </w14:solidFill>
                </w14:textFill>
              </w:rPr>
              <w:t>0mg/L、</w:t>
            </w:r>
            <w:r>
              <w:rPr>
                <w:color w:val="000000" w:themeColor="text1"/>
                <w:sz w:val="24"/>
                <w14:textFill>
                  <w14:solidFill>
                    <w14:schemeClr w14:val="tx1"/>
                  </w14:solidFill>
                </w14:textFill>
              </w:rPr>
              <w:t>BOD</w:t>
            </w:r>
            <w:r>
              <w:rPr>
                <w:color w:val="000000" w:themeColor="text1"/>
                <w:sz w:val="24"/>
                <w:vertAlign w:val="subscript"/>
                <w14:textFill>
                  <w14:solidFill>
                    <w14:schemeClr w14:val="tx1"/>
                  </w14:solidFill>
                </w14:textFill>
              </w:rPr>
              <w:t>5</w:t>
            </w:r>
            <w:r>
              <w:rPr>
                <w:rFonts w:hint="eastAsia"/>
                <w:bCs/>
                <w:color w:val="000000" w:themeColor="text1"/>
                <w:sz w:val="24"/>
                <w14:textFill>
                  <w14:solidFill>
                    <w14:schemeClr w14:val="tx1"/>
                  </w14:solidFill>
                </w14:textFill>
              </w:rPr>
              <w:t>15</w:t>
            </w:r>
            <w:r>
              <w:rPr>
                <w:bCs/>
                <w:color w:val="000000" w:themeColor="text1"/>
                <w:sz w:val="24"/>
                <w14:textFill>
                  <w14:solidFill>
                    <w14:schemeClr w14:val="tx1"/>
                  </w14:solidFill>
                </w14:textFill>
              </w:rPr>
              <w:t>0mg/L、</w:t>
            </w:r>
            <w:r>
              <w:rPr>
                <w:color w:val="000000" w:themeColor="text1"/>
                <w:sz w:val="24"/>
                <w14:textFill>
                  <w14:solidFill>
                    <w14:schemeClr w14:val="tx1"/>
                  </w14:solidFill>
                </w14:textFill>
              </w:rPr>
              <w:t>SS</w:t>
            </w:r>
            <w:r>
              <w:rPr>
                <w:bCs/>
                <w:color w:val="000000" w:themeColor="text1"/>
                <w:sz w:val="24"/>
                <w14:textFill>
                  <w14:solidFill>
                    <w14:schemeClr w14:val="tx1"/>
                  </w14:solidFill>
                </w14:textFill>
              </w:rPr>
              <w:t>170mg/L、</w:t>
            </w:r>
            <w:r>
              <w:rPr>
                <w:rFonts w:hint="eastAsia"/>
                <w:color w:val="000000" w:themeColor="text1"/>
                <w:sz w:val="24"/>
                <w14:textFill>
                  <w14:solidFill>
                    <w14:schemeClr w14:val="tx1"/>
                  </w14:solidFill>
                </w14:textFill>
              </w:rPr>
              <w:t>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w:t>
            </w:r>
            <w:r>
              <w:rPr>
                <w:bCs/>
                <w:color w:val="000000" w:themeColor="text1"/>
                <w:sz w:val="24"/>
                <w14:textFill>
                  <w14:solidFill>
                    <w14:schemeClr w14:val="tx1"/>
                  </w14:solidFill>
                </w14:textFill>
              </w:rPr>
              <w:t>9mg/L，水果清洗废水</w:t>
            </w:r>
            <w:r>
              <w:rPr>
                <w:rFonts w:hint="eastAsia"/>
                <w:color w:val="000000" w:themeColor="text1"/>
                <w:sz w:val="24"/>
                <w14:textFill>
                  <w14:solidFill>
                    <w14:schemeClr w14:val="tx1"/>
                  </w14:solidFill>
                </w14:textFill>
              </w:rPr>
              <w:t>经厂区污水处理站处理后经厂区总排口排入市政污水管网，镇平县第二污水处理厂处理达标后排放。</w:t>
            </w:r>
          </w:p>
          <w:p w14:paraId="3013BD38">
            <w:pPr>
              <w:pStyle w:val="43"/>
              <w:rPr>
                <w:bCs/>
                <w:color w:val="000000" w:themeColor="text1"/>
                <w14:textFill>
                  <w14:solidFill>
                    <w14:schemeClr w14:val="tx1"/>
                  </w14:solidFill>
                </w14:textFill>
              </w:rPr>
            </w:pPr>
            <w:r>
              <w:rPr>
                <w:bCs/>
                <w:color w:val="000000" w:themeColor="text1"/>
                <w14:textFill>
                  <w14:solidFill>
                    <w14:schemeClr w14:val="tx1"/>
                  </w14:solidFill>
                </w14:textFill>
              </w:rPr>
              <w:t>②果酒糟</w:t>
            </w:r>
            <w:r>
              <w:rPr>
                <w:rFonts w:hint="eastAsia"/>
                <w:bCs/>
                <w:color w:val="000000" w:themeColor="text1"/>
                <w14:textFill>
                  <w14:solidFill>
                    <w14:schemeClr w14:val="tx1"/>
                  </w14:solidFill>
                </w14:textFill>
              </w:rPr>
              <w:t>、果皮、果渣及果梗渗滤液</w:t>
            </w:r>
          </w:p>
          <w:p w14:paraId="1FB8FC7E">
            <w:pPr>
              <w:pStyle w:val="13"/>
              <w:spacing w:before="0" w:after="0" w:line="360" w:lineRule="auto"/>
              <w:ind w:firstLine="480" w:firstLineChars="200"/>
              <w:rPr>
                <w:color w:val="000000" w:themeColor="text1"/>
                <w14:textFill>
                  <w14:solidFill>
                    <w14:schemeClr w14:val="tx1"/>
                  </w14:solidFill>
                </w14:textFill>
              </w:rPr>
            </w:pPr>
            <w:r>
              <w:rPr>
                <w:rFonts w:hint="eastAsia"/>
                <w:color w:val="000000" w:themeColor="text1"/>
                <w14:textFill>
                  <w14:solidFill>
                    <w14:schemeClr w14:val="tx1"/>
                  </w14:solidFill>
                </w14:textFill>
              </w:rPr>
              <w:t>由于本项目生产产生的</w:t>
            </w:r>
            <w:r>
              <w:rPr>
                <w:bCs/>
                <w:color w:val="000000" w:themeColor="text1"/>
                <w:lang w:val="en-US" w:eastAsia="zh-CN"/>
                <w14:textFill>
                  <w14:solidFill>
                    <w14:schemeClr w14:val="tx1"/>
                  </w14:solidFill>
                </w14:textFill>
              </w:rPr>
              <w:t>果酒糟</w:t>
            </w:r>
            <w:r>
              <w:rPr>
                <w:rFonts w:hint="eastAsia"/>
                <w:bCs/>
                <w:color w:val="000000" w:themeColor="text1"/>
                <w:lang w:val="en-US" w:eastAsia="zh-CN"/>
                <w14:textFill>
                  <w14:solidFill>
                    <w14:schemeClr w14:val="tx1"/>
                  </w14:solidFill>
                </w14:textFill>
              </w:rPr>
              <w:t>、果皮、果渣及果梗</w:t>
            </w:r>
            <w:r>
              <w:rPr>
                <w:rFonts w:hint="eastAsia"/>
                <w:color w:val="000000" w:themeColor="text1"/>
                <w14:textFill>
                  <w14:solidFill>
                    <w14:schemeClr w14:val="tx1"/>
                  </w14:solidFill>
                </w14:textFill>
              </w:rPr>
              <w:t>含水率较高，在暂存间堆存期间其内部含水会随重力渗沥作用形成渗滤液，其渗滤液产生量约占</w:t>
            </w:r>
            <w:r>
              <w:rPr>
                <w:bCs/>
                <w:color w:val="000000" w:themeColor="text1"/>
                <w:lang w:val="en-US" w:eastAsia="zh-CN"/>
                <w14:textFill>
                  <w14:solidFill>
                    <w14:schemeClr w14:val="tx1"/>
                  </w14:solidFill>
                </w14:textFill>
              </w:rPr>
              <w:t>果酒糟</w:t>
            </w:r>
            <w:r>
              <w:rPr>
                <w:rFonts w:hint="eastAsia"/>
                <w:bCs/>
                <w:color w:val="000000" w:themeColor="text1"/>
                <w:lang w:val="en-US" w:eastAsia="zh-CN"/>
                <w14:textFill>
                  <w14:solidFill>
                    <w14:schemeClr w14:val="tx1"/>
                  </w14:solidFill>
                </w14:textFill>
              </w:rPr>
              <w:t>、果皮、果渣及果梗</w:t>
            </w:r>
            <w:r>
              <w:rPr>
                <w:rFonts w:hint="eastAsia"/>
                <w:color w:val="000000" w:themeColor="text1"/>
                <w14:textFill>
                  <w14:solidFill>
                    <w14:schemeClr w14:val="tx1"/>
                  </w14:solidFill>
                </w14:textFill>
              </w:rPr>
              <w:t>含水率的</w:t>
            </w:r>
            <w:r>
              <w:rPr>
                <w:rFonts w:hint="eastAsia"/>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0%左右，即</w:t>
            </w:r>
            <w:r>
              <w:rPr>
                <w:rFonts w:hint="eastAsia"/>
                <w:color w:val="000000" w:themeColor="text1"/>
                <w:lang w:val="en-US" w:eastAsia="zh-CN"/>
                <w14:textFill>
                  <w14:solidFill>
                    <w14:schemeClr w14:val="tx1"/>
                  </w14:solidFill>
                </w14:textFill>
              </w:rPr>
              <w:t>11.850</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w:t>
            </w:r>
            <w:r>
              <w:rPr>
                <w:rFonts w:hint="eastAsia"/>
                <w:color w:val="000000" w:themeColor="text1"/>
                <w:szCs w:val="21"/>
                <w:lang w:val="en-US" w:eastAsia="zh-CN"/>
                <w14:textFill>
                  <w14:solidFill>
                    <w14:schemeClr w14:val="tx1"/>
                  </w14:solidFill>
                </w14:textFill>
              </w:rPr>
              <w:t>0.052</w:t>
            </w:r>
            <w:r>
              <w:rPr>
                <w:color w:val="000000" w:themeColor="text1"/>
                <w14:textFill>
                  <w14:solidFill>
                    <w14:schemeClr w14:val="tx1"/>
                  </w14:solidFill>
                </w14:textFill>
              </w:rPr>
              <w:t>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rFonts w:hint="eastAsia"/>
                <w:color w:val="000000" w:themeColor="text1"/>
                <w14:textFill>
                  <w14:solidFill>
                    <w14:schemeClr w14:val="tx1"/>
                  </w14:solidFill>
                </w14:textFill>
              </w:rPr>
              <w:t>。根据《酿造工业废水治理工程技术规范》（HJ575-2010），</w:t>
            </w:r>
            <w:r>
              <w:rPr>
                <w:bCs/>
                <w:color w:val="000000" w:themeColor="text1"/>
                <w:lang w:val="en-US" w:eastAsia="zh-CN"/>
                <w14:textFill>
                  <w14:solidFill>
                    <w14:schemeClr w14:val="tx1"/>
                  </w14:solidFill>
                </w14:textFill>
              </w:rPr>
              <w:t>果酒糟</w:t>
            </w:r>
            <w:r>
              <w:rPr>
                <w:rFonts w:hint="eastAsia"/>
                <w:bCs/>
                <w:color w:val="000000" w:themeColor="text1"/>
                <w:lang w:val="en-US" w:eastAsia="zh-CN"/>
                <w14:textFill>
                  <w14:solidFill>
                    <w14:schemeClr w14:val="tx1"/>
                  </w14:solidFill>
                </w14:textFill>
              </w:rPr>
              <w:t>、果皮、果渣及果梗</w:t>
            </w:r>
            <w:r>
              <w:rPr>
                <w:rFonts w:hint="eastAsia"/>
                <w:color w:val="000000" w:themeColor="text1"/>
                <w:lang w:val="en-US" w:eastAsia="zh-CN"/>
                <w14:textFill>
                  <w14:solidFill>
                    <w14:schemeClr w14:val="tx1"/>
                  </w14:solidFill>
                </w14:textFill>
              </w:rPr>
              <w:t>渗滤液</w:t>
            </w:r>
            <w:r>
              <w:rPr>
                <w:rFonts w:hint="eastAsia"/>
                <w:color w:val="000000" w:themeColor="text1"/>
                <w14:textFill>
                  <w14:solidFill>
                    <w14:schemeClr w14:val="tx1"/>
                  </w14:solidFill>
                </w14:textFill>
              </w:rPr>
              <w:t>属于高浓度废水；参照《第二次全国污染源普查工业污染源排污系数手册》、《酿造工业废水治理工程技术规范》（HJ575-2010）以及类比同类企业，</w:t>
            </w:r>
            <w:r>
              <w:rPr>
                <w:bCs/>
                <w:color w:val="000000" w:themeColor="text1"/>
                <w:lang w:val="en-US" w:eastAsia="zh-CN"/>
                <w14:textFill>
                  <w14:solidFill>
                    <w14:schemeClr w14:val="tx1"/>
                  </w14:solidFill>
                </w14:textFill>
              </w:rPr>
              <w:t>果酒糟</w:t>
            </w:r>
            <w:r>
              <w:rPr>
                <w:rFonts w:hint="eastAsia"/>
                <w:bCs/>
                <w:color w:val="000000" w:themeColor="text1"/>
                <w:lang w:val="en-US" w:eastAsia="zh-CN"/>
                <w14:textFill>
                  <w14:solidFill>
                    <w14:schemeClr w14:val="tx1"/>
                  </w14:solidFill>
                </w14:textFill>
              </w:rPr>
              <w:t>、果皮、果渣及果梗</w:t>
            </w:r>
            <w:r>
              <w:rPr>
                <w:rFonts w:hint="eastAsia"/>
                <w:color w:val="000000" w:themeColor="text1"/>
                <w:lang w:val="en-US" w:eastAsia="zh-CN"/>
                <w14:textFill>
                  <w14:solidFill>
                    <w14:schemeClr w14:val="tx1"/>
                  </w14:solidFill>
                </w14:textFill>
              </w:rPr>
              <w:t>渗滤液</w:t>
            </w:r>
            <w:r>
              <w:rPr>
                <w:rFonts w:hint="eastAsia"/>
                <w:color w:val="000000" w:themeColor="text1"/>
                <w14:textFill>
                  <w14:solidFill>
                    <w14:schemeClr w14:val="tx1"/>
                  </w14:solidFill>
                </w14:textFill>
              </w:rPr>
              <w:t>主要污染物为COD</w:t>
            </w:r>
            <w:r>
              <w:rPr>
                <w:rFonts w:hint="eastAsia"/>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000mg/L、BOD</w:t>
            </w:r>
            <w:r>
              <w:rPr>
                <w:rFonts w:hint="eastAsia"/>
                <w:color w:val="000000" w:themeColor="text1"/>
                <w:vertAlign w:val="subscript"/>
                <w14:textFill>
                  <w14:solidFill>
                    <w14:schemeClr w14:val="tx1"/>
                  </w14:solidFill>
                </w14:textFill>
              </w:rPr>
              <w:t>5</w:t>
            </w:r>
            <w:r>
              <w:rPr>
                <w:rFonts w:hint="eastAsia"/>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000mg/L、SS</w:t>
            </w:r>
            <w:r>
              <w:rPr>
                <w:rFonts w:hint="eastAsia"/>
                <w:color w:val="000000" w:themeColor="text1"/>
                <w:lang w:val="en-US" w:eastAsia="zh-CN"/>
                <w14:textFill>
                  <w14:solidFill>
                    <w14:schemeClr w14:val="tx1"/>
                  </w14:solidFill>
                </w14:textFill>
              </w:rPr>
              <w:t>15</w:t>
            </w:r>
            <w:r>
              <w:rPr>
                <w:rFonts w:hint="eastAsia"/>
                <w:color w:val="000000" w:themeColor="text1"/>
                <w14:textFill>
                  <w14:solidFill>
                    <w14:schemeClr w14:val="tx1"/>
                  </w14:solidFill>
                </w14:textFill>
              </w:rPr>
              <w:t>00mg/L、NH</w:t>
            </w:r>
            <w:r>
              <w:rPr>
                <w:rFonts w:hint="eastAsia"/>
                <w:color w:val="000000" w:themeColor="text1"/>
                <w:vertAlign w:val="subscript"/>
                <w14:textFill>
                  <w14:solidFill>
                    <w14:schemeClr w14:val="tx1"/>
                  </w14:solidFill>
                </w14:textFill>
              </w:rPr>
              <w:t>3</w:t>
            </w:r>
            <w:r>
              <w:rPr>
                <w:rFonts w:hint="eastAsia"/>
                <w:color w:val="000000" w:themeColor="text1"/>
                <w14:textFill>
                  <w14:solidFill>
                    <w14:schemeClr w14:val="tx1"/>
                  </w14:solidFill>
                </w14:textFill>
              </w:rPr>
              <w:t>-N</w:t>
            </w:r>
            <w:r>
              <w:rPr>
                <w:rFonts w:hint="eastAsia"/>
                <w:color w:val="000000" w:themeColor="text1"/>
                <w:lang w:val="en-US" w:eastAsia="zh-CN"/>
                <w14:textFill>
                  <w14:solidFill>
                    <w14:schemeClr w14:val="tx1"/>
                  </w14:solidFill>
                </w14:textFill>
              </w:rPr>
              <w:t>15</w:t>
            </w:r>
            <w:r>
              <w:rPr>
                <w:rFonts w:hint="eastAsia"/>
                <w:color w:val="000000" w:themeColor="text1"/>
                <w14:textFill>
                  <w14:solidFill>
                    <w14:schemeClr w14:val="tx1"/>
                  </w14:solidFill>
                </w14:textFill>
              </w:rPr>
              <w:t>0mg/L、TN</w:t>
            </w:r>
            <w:r>
              <w:rPr>
                <w:rFonts w:hint="eastAsia"/>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0mg/L、TP</w:t>
            </w:r>
            <w:r>
              <w:rPr>
                <w:rFonts w:hint="eastAsia"/>
                <w:color w:val="000000" w:themeColor="text1"/>
                <w:lang w:val="en-US" w:eastAsia="zh-CN"/>
                <w14:textFill>
                  <w14:solidFill>
                    <w14:schemeClr w14:val="tx1"/>
                  </w14:solidFill>
                </w14:textFill>
              </w:rPr>
              <w:t>100</w:t>
            </w:r>
            <w:r>
              <w:rPr>
                <w:rFonts w:hint="eastAsia"/>
                <w:color w:val="000000" w:themeColor="text1"/>
                <w14:textFill>
                  <w14:solidFill>
                    <w14:schemeClr w14:val="tx1"/>
                  </w14:solidFill>
                </w14:textFill>
              </w:rPr>
              <w:t>mg/L。</w:t>
            </w:r>
            <w:r>
              <w:rPr>
                <w:bCs/>
                <w:color w:val="000000" w:themeColor="text1"/>
                <w:lang w:val="en-US" w:eastAsia="zh-CN"/>
                <w14:textFill>
                  <w14:solidFill>
                    <w14:schemeClr w14:val="tx1"/>
                  </w14:solidFill>
                </w14:textFill>
              </w:rPr>
              <w:t>果酒糟</w:t>
            </w:r>
            <w:r>
              <w:rPr>
                <w:rFonts w:hint="eastAsia"/>
                <w:bCs/>
                <w:color w:val="000000" w:themeColor="text1"/>
                <w:lang w:val="en-US" w:eastAsia="zh-CN"/>
                <w14:textFill>
                  <w14:solidFill>
                    <w14:schemeClr w14:val="tx1"/>
                  </w14:solidFill>
                </w14:textFill>
              </w:rPr>
              <w:t>、果皮、果渣及果梗</w:t>
            </w:r>
            <w:r>
              <w:rPr>
                <w:rFonts w:hint="eastAsia"/>
                <w:color w:val="000000" w:themeColor="text1"/>
                <w:lang w:val="en-US" w:eastAsia="zh-CN"/>
                <w14:textFill>
                  <w14:solidFill>
                    <w14:schemeClr w14:val="tx1"/>
                  </w14:solidFill>
                </w14:textFill>
              </w:rPr>
              <w:t>渗滤液</w:t>
            </w:r>
            <w:r>
              <w:rPr>
                <w:rFonts w:hint="eastAsia"/>
                <w:color w:val="000000" w:themeColor="text1"/>
                <w14:textFill>
                  <w14:solidFill>
                    <w14:schemeClr w14:val="tx1"/>
                  </w14:solidFill>
                </w14:textFill>
              </w:rPr>
              <w:t>经厂区污水处理站处理后经厂区总排口排入市政污水管网，镇平县第二污水处理厂处理达标后排放。</w:t>
            </w:r>
          </w:p>
          <w:p w14:paraId="115439E9">
            <w:pPr>
              <w:pStyle w:val="13"/>
              <w:spacing w:before="0" w:after="0" w:line="360" w:lineRule="auto"/>
              <w:ind w:firstLine="480" w:firstLineChars="200"/>
              <w:rPr>
                <w:color w:val="000000" w:themeColor="text1"/>
                <w14:textFill>
                  <w14:solidFill>
                    <w14:schemeClr w14:val="tx1"/>
                  </w14:solidFill>
                </w14:textFill>
              </w:rPr>
            </w:pPr>
            <w:r>
              <w:rPr>
                <w:color w:val="000000" w:themeColor="text1"/>
                <w14:textFill>
                  <w14:solidFill>
                    <w14:schemeClr w14:val="tx1"/>
                  </w14:solidFill>
                </w14:textFill>
              </w:rPr>
              <w:t>③设备清洗废水</w:t>
            </w:r>
          </w:p>
          <w:p w14:paraId="78E611F1">
            <w:pPr>
              <w:pStyle w:val="43"/>
              <w:rPr>
                <w:color w:val="000000" w:themeColor="text1"/>
                <w14:textFill>
                  <w14:solidFill>
                    <w14:schemeClr w14:val="tx1"/>
                  </w14:solidFill>
                </w14:textFill>
              </w:rPr>
            </w:pPr>
            <w:r>
              <w:rPr>
                <w:color w:val="000000" w:themeColor="text1"/>
                <w14:textFill>
                  <w14:solidFill>
                    <w14:schemeClr w14:val="tx1"/>
                  </w14:solidFill>
                </w14:textFill>
              </w:rPr>
              <w:t>果酒生产线清洗机、粉碎机清洗用水量约228.0m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/a（1.0m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color w:val="000000" w:themeColor="text1"/>
                <w:kern w:val="0"/>
                <w14:textFill>
                  <w14:solidFill>
                    <w14:schemeClr w14:val="tx1"/>
                  </w14:solidFill>
                </w14:textFill>
              </w:rPr>
              <w:t>排污系数为0.9，则</w:t>
            </w:r>
            <w:r>
              <w:rPr>
                <w:color w:val="000000" w:themeColor="text1"/>
                <w14:textFill>
                  <w14:solidFill>
                    <w14:schemeClr w14:val="tx1"/>
                  </w14:solidFill>
                </w14:textFill>
              </w:rPr>
              <w:t>设备</w:t>
            </w:r>
            <w:r>
              <w:rPr>
                <w:color w:val="000000" w:themeColor="text1"/>
                <w:kern w:val="0"/>
                <w14:textFill>
                  <w14:solidFill>
                    <w14:schemeClr w14:val="tx1"/>
                  </w14:solidFill>
                </w14:textFill>
              </w:rPr>
              <w:t>清洗废水排放量约</w:t>
            </w:r>
            <w:r>
              <w:rPr>
                <w:color w:val="000000" w:themeColor="text1"/>
                <w14:textFill>
                  <w14:solidFill>
                    <w14:schemeClr w14:val="tx1"/>
                  </w14:solidFill>
                </w14:textFill>
              </w:rPr>
              <w:t>205.2m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/a（0.9m</w:t>
            </w:r>
            <w:r>
              <w:rPr>
                <w:color w:val="000000" w:themeColor="text1"/>
                <w:vertAlign w:val="superscript"/>
                <w14:textFill>
                  <w14:solidFill>
                    <w14:schemeClr w14:val="tx1"/>
                  </w14:solidFill>
                </w14:textFill>
              </w:rPr>
              <w:t>3</w:t>
            </w:r>
            <w:r>
              <w:rPr>
                <w:color w:val="000000" w:themeColor="text1"/>
                <w14:textFill>
                  <w14:solidFill>
                    <w14:schemeClr w14:val="tx1"/>
                  </w14:solidFill>
                </w14:textFill>
              </w:rPr>
              <w:t>/d）</w:t>
            </w:r>
            <w:r>
              <w:rPr>
                <w:color w:val="000000" w:themeColor="text1"/>
                <w:kern w:val="0"/>
                <w14:textFill>
                  <w14:solidFill>
                    <w14:schemeClr w14:val="tx1"/>
                  </w14:solidFill>
                </w14:textFill>
              </w:rPr>
              <w:t>。参照《排放源统计调查产排污核算方法和系数手册-1519其他酒制造行业》、《酿造工业废水治理工程技术规范》（HJ575—2010）以及类比同类企业，</w:t>
            </w:r>
            <w:r>
              <w:rPr>
                <w:color w:val="000000" w:themeColor="text1"/>
                <w14:textFill>
                  <w14:solidFill>
                    <w14:schemeClr w14:val="tx1"/>
                  </w14:solidFill>
                </w14:textFill>
              </w:rPr>
              <w:t>清洗机、粉碎机清洗废水</w:t>
            </w:r>
            <w:r>
              <w:rPr>
                <w:color w:val="000000" w:themeColor="text1"/>
                <w:kern w:val="0"/>
                <w14:textFill>
                  <w14:solidFill>
                    <w14:schemeClr w14:val="tx1"/>
                  </w14:solidFill>
                </w14:textFill>
              </w:rPr>
              <w:t>主要污染物为COD1</w:t>
            </w:r>
            <w:r>
              <w:rPr>
                <w:rFonts w:hint="eastAsia"/>
                <w:color w:val="000000" w:themeColor="text1"/>
                <w:kern w:val="0"/>
                <w14:textFill>
                  <w14:solidFill>
                    <w14:schemeClr w14:val="tx1"/>
                  </w14:solidFill>
                </w14:textFill>
              </w:rPr>
              <w:t>6</w:t>
            </w:r>
            <w:r>
              <w:rPr>
                <w:color w:val="000000" w:themeColor="text1"/>
                <w:kern w:val="0"/>
                <w14:textFill>
                  <w14:solidFill>
                    <w14:schemeClr w14:val="tx1"/>
                  </w14:solidFill>
                </w14:textFill>
              </w:rPr>
              <w:t>00mg/L、BOD</w:t>
            </w:r>
            <w:r>
              <w:rPr>
                <w:color w:val="000000" w:themeColor="text1"/>
                <w:kern w:val="0"/>
                <w:vertAlign w:val="subscript"/>
                <w14:textFill>
                  <w14:solidFill>
                    <w14:schemeClr w14:val="tx1"/>
                  </w14:solidFill>
                </w14:textFill>
              </w:rPr>
              <w:t>5</w:t>
            </w:r>
            <w:r>
              <w:rPr>
                <w:rFonts w:hint="eastAsia"/>
                <w:color w:val="000000" w:themeColor="text1"/>
                <w:kern w:val="0"/>
                <w14:textFill>
                  <w14:solidFill>
                    <w14:schemeClr w14:val="tx1"/>
                  </w14:solidFill>
                </w14:textFill>
              </w:rPr>
              <w:t>9</w:t>
            </w:r>
            <w:r>
              <w:rPr>
                <w:color w:val="000000" w:themeColor="text1"/>
                <w:kern w:val="0"/>
                <w14:textFill>
                  <w14:solidFill>
                    <w14:schemeClr w14:val="tx1"/>
                  </w14:solidFill>
                </w14:textFill>
              </w:rPr>
              <w:t>00mg/L、SS700mg/L、NH</w:t>
            </w:r>
            <w:r>
              <w:rPr>
                <w:color w:val="000000" w:themeColor="text1"/>
                <w:kern w:val="0"/>
                <w:vertAlign w:val="subscript"/>
                <w14:textFill>
                  <w14:solidFill>
                    <w14:schemeClr w14:val="tx1"/>
                  </w14:solidFill>
                </w14:textFill>
              </w:rPr>
              <w:t>3</w:t>
            </w:r>
            <w:r>
              <w:rPr>
                <w:color w:val="000000" w:themeColor="text1"/>
                <w:kern w:val="0"/>
                <w14:textFill>
                  <w14:solidFill>
                    <w14:schemeClr w14:val="tx1"/>
                  </w14:solidFill>
                </w14:textFill>
              </w:rPr>
              <w:t>-N20mg/L、TN120mg/L、TP</w:t>
            </w:r>
            <w:r>
              <w:rPr>
                <w:rFonts w:hint="eastAsia"/>
                <w:color w:val="000000" w:themeColor="text1"/>
                <w:kern w:val="0"/>
                <w14:textFill>
                  <w14:solidFill>
                    <w14:schemeClr w14:val="tx1"/>
                  </w14:solidFill>
                </w14:textFill>
              </w:rPr>
              <w:t>15</w:t>
            </w:r>
            <w:r>
              <w:rPr>
                <w:color w:val="000000" w:themeColor="text1"/>
                <w:kern w:val="0"/>
                <w14:textFill>
                  <w14:solidFill>
                    <w14:schemeClr w14:val="tx1"/>
                  </w14:solidFill>
                </w14:textFill>
              </w:rPr>
              <w:t>mg/L。</w:t>
            </w:r>
          </w:p>
          <w:p w14:paraId="00A0AB65">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果酒生产线中发酵（浸渍）罐、陈酿罐、压榨机、过滤机</w:t>
            </w:r>
            <w:r>
              <w:rPr>
                <w:rFonts w:hint="eastAsia"/>
                <w:color w:val="000000" w:themeColor="text1"/>
                <w:sz w:val="24"/>
                <w14:textFill>
                  <w14:solidFill>
                    <w14:schemeClr w14:val="tx1"/>
                  </w14:solidFill>
                </w14:textFill>
              </w:rPr>
              <w:t>、灌装机</w:t>
            </w:r>
            <w:r>
              <w:rPr>
                <w:color w:val="000000" w:themeColor="text1"/>
                <w:sz w:val="24"/>
                <w14:textFill>
                  <w14:solidFill>
                    <w14:schemeClr w14:val="tx1"/>
                  </w14:solidFill>
                </w14:textFill>
              </w:rPr>
              <w:t>等设备清洗用水量约</w:t>
            </w:r>
            <w:r>
              <w:rPr>
                <w:rFonts w:hint="eastAsia"/>
                <w:color w:val="000000" w:themeColor="text1"/>
                <w:sz w:val="24"/>
                <w14:textFill>
                  <w14:solidFill>
                    <w14:schemeClr w14:val="tx1"/>
                  </w14:solidFill>
                </w14:textFill>
              </w:rPr>
              <w:t>17</w:t>
            </w:r>
            <w:r>
              <w:rPr>
                <w:color w:val="000000" w:themeColor="text1"/>
                <w:sz w:val="24"/>
                <w14:textFill>
                  <w14:solidFill>
                    <w14:schemeClr w14:val="tx1"/>
                  </w14:solidFill>
                </w14:textFill>
              </w:rPr>
              <w:t>8m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w:t>
            </w:r>
            <w:r>
              <w:rPr>
                <w:rFonts w:hint="eastAsia"/>
                <w:color w:val="000000" w:themeColor="text1"/>
                <w:sz w:val="24"/>
                <w14:textFill>
                  <w14:solidFill>
                    <w14:schemeClr w14:val="tx1"/>
                  </w14:solidFill>
                </w14:textFill>
              </w:rPr>
              <w:t>078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排污系数为0.9，则</w:t>
            </w:r>
            <w:r>
              <w:rPr>
                <w:color w:val="000000" w:themeColor="text1"/>
                <w:sz w:val="24"/>
                <w14:textFill>
                  <w14:solidFill>
                    <w14:schemeClr w14:val="tx1"/>
                  </w14:solidFill>
                </w14:textFill>
              </w:rPr>
              <w:t>设备</w:t>
            </w:r>
            <w:r>
              <w:rPr>
                <w:color w:val="000000" w:themeColor="text1"/>
                <w:kern w:val="0"/>
                <w:sz w:val="24"/>
                <w14:textFill>
                  <w14:solidFill>
                    <w14:schemeClr w14:val="tx1"/>
                  </w14:solidFill>
                </w14:textFill>
              </w:rPr>
              <w:t>清洗废水排放量约</w:t>
            </w:r>
            <w:r>
              <w:rPr>
                <w:rFonts w:hint="eastAsia"/>
                <w:color w:val="000000" w:themeColor="text1"/>
                <w:sz w:val="24"/>
                <w14:textFill>
                  <w14:solidFill>
                    <w14:schemeClr w14:val="tx1"/>
                  </w14:solidFill>
                </w14:textFill>
              </w:rPr>
              <w:t>160.2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w:t>
            </w:r>
            <w:r>
              <w:rPr>
                <w:rFonts w:hint="eastAsia"/>
                <w:color w:val="000000" w:themeColor="text1"/>
                <w:sz w:val="24"/>
                <w14:textFill>
                  <w14:solidFill>
                    <w14:schemeClr w14:val="tx1"/>
                  </w14:solidFill>
                </w14:textFill>
              </w:rPr>
              <w:t>703</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。参照《排放源统计调查产排污核算方法和系数手册-1519其他酒制造行业》、《酿造工业废水治理工程技术规范》（HJ575—2010）以及类比同类企业，</w:t>
            </w:r>
            <w:r>
              <w:rPr>
                <w:color w:val="000000" w:themeColor="text1"/>
                <w:sz w:val="24"/>
                <w14:textFill>
                  <w14:solidFill>
                    <w14:schemeClr w14:val="tx1"/>
                  </w14:solidFill>
                </w14:textFill>
              </w:rPr>
              <w:t>发酵（浸渍）罐、陈酿罐、压榨机、过滤机等设备清洗废水</w:t>
            </w:r>
            <w:r>
              <w:rPr>
                <w:color w:val="000000" w:themeColor="text1"/>
                <w:kern w:val="0"/>
                <w:sz w:val="24"/>
                <w14:textFill>
                  <w14:solidFill>
                    <w14:schemeClr w14:val="tx1"/>
                  </w14:solidFill>
                </w14:textFill>
              </w:rPr>
              <w:t>主要污染物为</w:t>
            </w:r>
            <w:r>
              <w:rPr>
                <w:color w:val="000000" w:themeColor="text1"/>
                <w:sz w:val="24"/>
                <w14:textFill>
                  <w14:solidFill>
                    <w14:schemeClr w14:val="tx1"/>
                  </w14:solidFill>
                </w14:textFill>
              </w:rPr>
              <w:t>COD</w:t>
            </w:r>
            <w:r>
              <w:rPr>
                <w:rFonts w:hint="eastAsia"/>
                <w:color w:val="000000" w:themeColor="text1"/>
                <w:sz w:val="24"/>
                <w14:textFill>
                  <w14:solidFill>
                    <w14:schemeClr w14:val="tx1"/>
                  </w14:solidFill>
                </w14:textFill>
              </w:rPr>
              <w:t>25</w:t>
            </w:r>
            <w:r>
              <w:rPr>
                <w:color w:val="000000" w:themeColor="text1"/>
                <w:sz w:val="24"/>
                <w14:textFill>
                  <w14:solidFill>
                    <w14:schemeClr w14:val="tx1"/>
                  </w14:solidFill>
                </w14:textFill>
              </w:rPr>
              <w:t>00mg/L、BOD</w:t>
            </w:r>
            <w:r>
              <w:rPr>
                <w:color w:val="000000" w:themeColor="text1"/>
                <w:sz w:val="24"/>
                <w:vertAlign w:val="subscript"/>
                <w14:textFill>
                  <w14:solidFill>
                    <w14:schemeClr w14:val="tx1"/>
                  </w14:solidFill>
                </w14:textFill>
              </w:rPr>
              <w:t>5</w:t>
            </w:r>
            <w:r>
              <w:rPr>
                <w:rFonts w:hint="eastAsia"/>
                <w:color w:val="000000" w:themeColor="text1"/>
                <w:sz w:val="24"/>
                <w14:textFill>
                  <w14:solidFill>
                    <w14:schemeClr w14:val="tx1"/>
                  </w14:solidFill>
                </w14:textFill>
              </w:rPr>
              <w:t>16</w:t>
            </w:r>
            <w:r>
              <w:rPr>
                <w:color w:val="000000" w:themeColor="text1"/>
                <w:sz w:val="24"/>
                <w14:textFill>
                  <w14:solidFill>
                    <w14:schemeClr w14:val="tx1"/>
                  </w14:solidFill>
                </w14:textFill>
              </w:rPr>
              <w:t>00mg/L、SS900mg/L、NH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-N45mg/L，TN160mg/L、TP</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0mg/L</w:t>
            </w:r>
            <w:r>
              <w:rPr>
                <w:color w:val="000000" w:themeColor="text1"/>
                <w:kern w:val="0"/>
                <w:sz w:val="24"/>
                <w14:textFill>
                  <w14:solidFill>
                    <w14:schemeClr w14:val="tx1"/>
                  </w14:solidFill>
                </w14:textFill>
              </w:rPr>
              <w:t>。</w:t>
            </w:r>
          </w:p>
          <w:p w14:paraId="20084CE0">
            <w:pPr>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④</w:t>
            </w:r>
            <w:r>
              <w:rPr>
                <w:color w:val="000000" w:themeColor="text1"/>
                <w:sz w:val="24"/>
                <w14:textFill>
                  <w14:solidFill>
                    <w14:schemeClr w14:val="tx1"/>
                  </w14:solidFill>
                </w14:textFill>
              </w:rPr>
              <w:t>洗瓶废水</w:t>
            </w:r>
          </w:p>
          <w:p w14:paraId="35AAE5E6">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本项目洗瓶用纯水量为</w:t>
            </w:r>
            <w:r>
              <w:rPr>
                <w:rFonts w:hint="eastAsia"/>
                <w:color w:val="000000" w:themeColor="text1"/>
                <w:sz w:val="24"/>
                <w14:textFill>
                  <w14:solidFill>
                    <w14:schemeClr w14:val="tx1"/>
                  </w14:solidFill>
                </w14:textFill>
              </w:rPr>
              <w:t>188.604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/a（0.8</w:t>
            </w:r>
            <w:r>
              <w:rPr>
                <w:rFonts w:hint="eastAsia"/>
                <w:color w:val="000000" w:themeColor="text1"/>
                <w:sz w:val="24"/>
                <w14:textFill>
                  <w14:solidFill>
                    <w14:schemeClr w14:val="tx1"/>
                  </w14:solidFill>
                </w14:textFill>
              </w:rPr>
              <w:t>27</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/d）。排污系数为0.9，则容器清洗废水排放量约</w:t>
            </w:r>
            <w:r>
              <w:rPr>
                <w:rFonts w:hint="eastAsia"/>
                <w:color w:val="000000" w:themeColor="text1"/>
                <w:sz w:val="24"/>
                <w14:textFill>
                  <w14:solidFill>
                    <w14:schemeClr w14:val="tx1"/>
                  </w14:solidFill>
                </w14:textFill>
              </w:rPr>
              <w:t>166.744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w:t>
            </w:r>
            <w:r>
              <w:rPr>
                <w:rFonts w:hint="eastAsia"/>
                <w:color w:val="000000" w:themeColor="text1"/>
                <w:sz w:val="24"/>
                <w14:textFill>
                  <w14:solidFill>
                    <w14:schemeClr w14:val="tx1"/>
                  </w14:solidFill>
                </w14:textFill>
              </w:rPr>
              <w:t>744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14:textFill>
                  <w14:solidFill>
                    <w14:schemeClr w14:val="tx1"/>
                  </w14:solidFill>
                </w14:textFill>
              </w:rPr>
              <w:t>参考</w:t>
            </w:r>
            <w:r>
              <w:rPr>
                <w:color w:val="000000" w:themeColor="text1"/>
                <w:sz w:val="24"/>
                <w14:textFill>
                  <w14:solidFill>
                    <w14:schemeClr w14:val="tx1"/>
                  </w14:solidFill>
                </w14:textFill>
              </w:rPr>
              <w:t>《葡萄酒、黄酒工业水污染物排放标准》（征求意见稿）编制说明中</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表6黄酒生产废水排放量及污染物浓度</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可知，洗瓶废水水质为COD105mg/L，BOD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35mg/L，SS70mg/L。洗瓶废水</w:t>
            </w:r>
            <w:r>
              <w:rPr>
                <w:rFonts w:hint="eastAsia"/>
                <w:color w:val="000000" w:themeColor="text1"/>
                <w:sz w:val="24"/>
                <w14:textFill>
                  <w14:solidFill>
                    <w14:schemeClr w14:val="tx1"/>
                  </w14:solidFill>
                </w14:textFill>
              </w:rPr>
              <w:t>经厂区污水处理站处理后经厂区总排口排入市政污水管网，镇平县第二污水处理厂处理达标后排放。</w:t>
            </w:r>
          </w:p>
          <w:p w14:paraId="5BE1CEF5">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（7）植物饮料生产线</w:t>
            </w:r>
          </w:p>
          <w:p w14:paraId="1D448B88">
            <w:pPr>
              <w:pStyle w:val="43"/>
              <w:rPr>
                <w:color w:val="000000" w:themeColor="text1"/>
                <w14:textFill>
                  <w14:solidFill>
                    <w14:schemeClr w14:val="tx1"/>
                  </w14:solidFill>
                </w14:textFill>
              </w:rPr>
            </w:pPr>
            <w:r>
              <w:rPr>
                <w:color w:val="000000" w:themeColor="text1"/>
                <w14:textFill>
                  <w14:solidFill>
                    <w14:schemeClr w14:val="tx1"/>
                  </w14:solidFill>
                </w14:textFill>
              </w:rPr>
              <w:t>①</w:t>
            </w:r>
            <w:r>
              <w:rPr>
                <w:rFonts w:hint="eastAsia"/>
                <w:color w:val="000000" w:themeColor="text1"/>
                <w14:textFill>
                  <w14:solidFill>
                    <w14:schemeClr w14:val="tx1"/>
                  </w14:solidFill>
                </w14:textFill>
              </w:rPr>
              <w:t>原料</w:t>
            </w:r>
            <w:r>
              <w:rPr>
                <w:color w:val="000000" w:themeColor="text1"/>
                <w14:textFill>
                  <w14:solidFill>
                    <w14:schemeClr w14:val="tx1"/>
                  </w14:solidFill>
                </w14:textFill>
              </w:rPr>
              <w:t>清洗废水</w:t>
            </w:r>
          </w:p>
          <w:p w14:paraId="639647F5">
            <w:pPr>
              <w:spacing w:line="360" w:lineRule="auto"/>
              <w:ind w:firstLine="480" w:firstLineChars="200"/>
              <w:rPr>
                <w:color w:val="000000" w:themeColor="text1"/>
                <w:sz w:val="24"/>
                <w14:textFill>
                  <w14:solidFill>
                    <w14:schemeClr w14:val="tx1"/>
                  </w14:solidFill>
                </w14:textFill>
              </w:rPr>
            </w:pPr>
            <w:r>
              <w:rPr>
                <w:bCs/>
                <w:color w:val="000000" w:themeColor="text1"/>
                <w:sz w:val="24"/>
                <w14:textFill>
                  <w14:solidFill>
                    <w14:schemeClr w14:val="tx1"/>
                  </w14:solidFill>
                </w14:textFill>
              </w:rPr>
              <w:t>根据企业提供资料，本项目清洗机内水槽</w:t>
            </w:r>
            <w:r>
              <w:rPr>
                <w:color w:val="000000" w:themeColor="text1"/>
                <w:sz w:val="24"/>
                <w14:textFill>
                  <w14:solidFill>
                    <w14:schemeClr w14:val="tx1"/>
                  </w14:solidFill>
                </w14:textFill>
              </w:rPr>
              <w:t>容积为3m</w:t>
            </w:r>
            <w:r>
              <w:rPr>
                <w:color w:val="000000" w:themeColor="text1"/>
                <w:sz w:val="24"/>
                <w:vertAlign w:val="superscript"/>
                <w14:textFill>
                  <w14:solidFill>
                    <w14:schemeClr w14:val="tx1"/>
                  </w14:solidFill>
                </w14:textFill>
              </w:rPr>
              <w:t>3</w:t>
            </w:r>
            <w:r>
              <w:rPr>
                <w:bCs/>
                <w:color w:val="000000" w:themeColor="text1"/>
                <w:sz w:val="24"/>
                <w14:textFill>
                  <w14:solidFill>
                    <w14:schemeClr w14:val="tx1"/>
                  </w14:solidFill>
                </w14:textFill>
              </w:rPr>
              <w:t>，清洗机充水量占有效容积</w:t>
            </w:r>
            <w:r>
              <w:rPr>
                <w:rFonts w:hint="eastAsia"/>
                <w:bCs/>
                <w:color w:val="000000" w:themeColor="text1"/>
                <w:sz w:val="24"/>
                <w14:textFill>
                  <w14:solidFill>
                    <w14:schemeClr w14:val="tx1"/>
                  </w14:solidFill>
                </w14:textFill>
              </w:rPr>
              <w:t>6</w:t>
            </w:r>
            <w:r>
              <w:rPr>
                <w:bCs/>
                <w:color w:val="000000" w:themeColor="text1"/>
                <w:sz w:val="24"/>
                <w14:textFill>
                  <w14:solidFill>
                    <w14:schemeClr w14:val="tx1"/>
                  </w14:solidFill>
                </w14:textFill>
              </w:rPr>
              <w:t>0%，本项目原料清洗工序每天用水量为</w:t>
            </w:r>
            <w:r>
              <w:rPr>
                <w:rFonts w:hint="eastAsia"/>
                <w:bCs/>
                <w:color w:val="000000" w:themeColor="text1"/>
                <w:sz w:val="24"/>
                <w14:textFill>
                  <w14:solidFill>
                    <w14:schemeClr w14:val="tx1"/>
                  </w14:solidFill>
                </w14:textFill>
              </w:rPr>
              <w:t>273.6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1.</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bCs/>
                <w:color w:val="000000" w:themeColor="text1"/>
                <w:sz w:val="24"/>
                <w14:textFill>
                  <w14:solidFill>
                    <w14:schemeClr w14:val="tx1"/>
                  </w14:solidFill>
                </w14:textFill>
              </w:rPr>
              <w:t>，根据企业提供资料，每天排放1次废水，废水排污系数取0.9，则清洗工序废水排放量为</w:t>
            </w:r>
            <w:r>
              <w:rPr>
                <w:rFonts w:hint="eastAsia"/>
                <w:bCs/>
                <w:color w:val="000000" w:themeColor="text1"/>
                <w:sz w:val="24"/>
                <w14:textFill>
                  <w14:solidFill>
                    <w14:schemeClr w14:val="tx1"/>
                  </w14:solidFill>
                </w14:textFill>
              </w:rPr>
              <w:t>246.24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1.08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bCs/>
                <w:color w:val="000000" w:themeColor="text1"/>
                <w:sz w:val="24"/>
                <w14:textFill>
                  <w14:solidFill>
                    <w14:schemeClr w14:val="tx1"/>
                  </w14:solidFill>
                </w14:textFill>
              </w:rPr>
              <w:t>，参照《二污排放源统计调查产排污核算方法和系数手册-137蔬菜、菌类、水果和坚果加工行业系数手册》，并类比同类项目，原料清洗废水</w:t>
            </w:r>
            <w:r>
              <w:rPr>
                <w:color w:val="000000" w:themeColor="text1"/>
                <w:sz w:val="24"/>
                <w14:textFill>
                  <w14:solidFill>
                    <w14:schemeClr w14:val="tx1"/>
                  </w14:solidFill>
                </w14:textFill>
              </w:rPr>
              <w:t>水质为COD</w:t>
            </w:r>
            <w:r>
              <w:rPr>
                <w:bCs/>
                <w:color w:val="000000" w:themeColor="text1"/>
                <w:sz w:val="24"/>
                <w14:textFill>
                  <w14:solidFill>
                    <w14:schemeClr w14:val="tx1"/>
                  </w14:solidFill>
                </w14:textFill>
              </w:rPr>
              <w:t>280mg/L、</w:t>
            </w:r>
            <w:r>
              <w:rPr>
                <w:color w:val="000000" w:themeColor="text1"/>
                <w:sz w:val="24"/>
                <w14:textFill>
                  <w14:solidFill>
                    <w14:schemeClr w14:val="tx1"/>
                  </w14:solidFill>
                </w14:textFill>
              </w:rPr>
              <w:t>BOD</w:t>
            </w:r>
            <w:r>
              <w:rPr>
                <w:color w:val="000000" w:themeColor="text1"/>
                <w:sz w:val="24"/>
                <w:vertAlign w:val="subscript"/>
                <w14:textFill>
                  <w14:solidFill>
                    <w14:schemeClr w14:val="tx1"/>
                  </w14:solidFill>
                </w14:textFill>
              </w:rPr>
              <w:t>5</w:t>
            </w:r>
            <w:r>
              <w:rPr>
                <w:bCs/>
                <w:color w:val="000000" w:themeColor="text1"/>
                <w:sz w:val="24"/>
                <w14:textFill>
                  <w14:solidFill>
                    <w14:schemeClr w14:val="tx1"/>
                  </w14:solidFill>
                </w14:textFill>
              </w:rPr>
              <w:t>200mg/L、</w:t>
            </w:r>
            <w:r>
              <w:rPr>
                <w:color w:val="000000" w:themeColor="text1"/>
                <w:sz w:val="24"/>
                <w14:textFill>
                  <w14:solidFill>
                    <w14:schemeClr w14:val="tx1"/>
                  </w14:solidFill>
                </w14:textFill>
              </w:rPr>
              <w:t>SS</w:t>
            </w:r>
            <w:r>
              <w:rPr>
                <w:bCs/>
                <w:color w:val="000000" w:themeColor="text1"/>
                <w:sz w:val="24"/>
                <w14:textFill>
                  <w14:solidFill>
                    <w14:schemeClr w14:val="tx1"/>
                  </w14:solidFill>
                </w14:textFill>
              </w:rPr>
              <w:t>170mg/L、</w:t>
            </w:r>
            <w:r>
              <w:rPr>
                <w:rFonts w:hint="eastAsia"/>
                <w:color w:val="000000" w:themeColor="text1"/>
                <w:sz w:val="24"/>
                <w14:textFill>
                  <w14:solidFill>
                    <w14:schemeClr w14:val="tx1"/>
                  </w14:solidFill>
                </w14:textFill>
              </w:rPr>
              <w:t>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w:t>
            </w:r>
            <w:r>
              <w:rPr>
                <w:bCs/>
                <w:color w:val="000000" w:themeColor="text1"/>
                <w:sz w:val="24"/>
                <w14:textFill>
                  <w14:solidFill>
                    <w14:schemeClr w14:val="tx1"/>
                  </w14:solidFill>
                </w14:textFill>
              </w:rPr>
              <w:t>9mg/L，</w:t>
            </w:r>
            <w:r>
              <w:rPr>
                <w:rFonts w:hint="eastAsia"/>
                <w:bCs/>
                <w:color w:val="000000" w:themeColor="text1"/>
                <w:sz w:val="24"/>
                <w:lang w:val="en-US" w:eastAsia="zh-CN"/>
                <w14:textFill>
                  <w14:solidFill>
                    <w14:schemeClr w14:val="tx1"/>
                  </w14:solidFill>
                </w14:textFill>
              </w:rPr>
              <w:t>原料</w:t>
            </w:r>
            <w:r>
              <w:rPr>
                <w:bCs/>
                <w:color w:val="000000" w:themeColor="text1"/>
                <w:sz w:val="24"/>
                <w14:textFill>
                  <w14:solidFill>
                    <w14:schemeClr w14:val="tx1"/>
                  </w14:solidFill>
                </w14:textFill>
              </w:rPr>
              <w:t>清洗废水</w:t>
            </w:r>
            <w:r>
              <w:rPr>
                <w:rFonts w:hint="eastAsia"/>
                <w:color w:val="000000" w:themeColor="text1"/>
                <w:sz w:val="24"/>
                <w14:textFill>
                  <w14:solidFill>
                    <w14:schemeClr w14:val="tx1"/>
                  </w14:solidFill>
                </w14:textFill>
              </w:rPr>
              <w:t>经厂区污水处理站处理后经厂区总排口排入市政污水管网，镇平县第二污水处理厂处理达标后排放。</w:t>
            </w:r>
          </w:p>
          <w:p w14:paraId="0536EAE9">
            <w:pPr>
              <w:pStyle w:val="13"/>
              <w:spacing w:before="0" w:after="0" w:line="360" w:lineRule="auto"/>
              <w:ind w:firstLine="480" w:firstLineChars="200"/>
              <w:rPr>
                <w:color w:val="000000" w:themeColor="text1"/>
                <w14:textFill>
                  <w14:solidFill>
                    <w14:schemeClr w14:val="tx1"/>
                  </w14:solidFill>
                </w14:textFill>
              </w:rPr>
            </w:pPr>
            <w:r>
              <w:rPr>
                <w:bCs/>
                <w:color w:val="000000" w:themeColor="text1"/>
                <w:lang w:val="en-US" w:eastAsia="zh-CN"/>
                <w14:textFill>
                  <w14:solidFill>
                    <w14:schemeClr w14:val="tx1"/>
                  </w14:solidFill>
                </w14:textFill>
              </w:rPr>
              <w:t>②</w:t>
            </w:r>
            <w:r>
              <w:rPr>
                <w:color w:val="000000" w:themeColor="text1"/>
                <w14:textFill>
                  <w14:solidFill>
                    <w14:schemeClr w14:val="tx1"/>
                  </w14:solidFill>
                </w14:textFill>
              </w:rPr>
              <w:t>设备清洗废水</w:t>
            </w:r>
          </w:p>
          <w:p w14:paraId="3AD80888">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植物饮料</w:t>
            </w:r>
            <w:r>
              <w:rPr>
                <w:color w:val="000000" w:themeColor="text1"/>
                <w:sz w:val="24"/>
                <w14:textFill>
                  <w14:solidFill>
                    <w14:schemeClr w14:val="tx1"/>
                  </w14:solidFill>
                </w14:textFill>
              </w:rPr>
              <w:t>生产线</w:t>
            </w:r>
            <w:r>
              <w:rPr>
                <w:rFonts w:hint="eastAsia"/>
                <w:color w:val="000000" w:themeColor="text1"/>
                <w:sz w:val="24"/>
                <w14:textFill>
                  <w14:solidFill>
                    <w14:schemeClr w14:val="tx1"/>
                  </w14:solidFill>
                </w14:textFill>
              </w:rPr>
              <w:t>清洗机、粉碎机、混合罐等</w:t>
            </w:r>
            <w:r>
              <w:rPr>
                <w:color w:val="000000" w:themeColor="text1"/>
                <w:sz w:val="24"/>
                <w14:textFill>
                  <w14:solidFill>
                    <w14:schemeClr w14:val="tx1"/>
                  </w14:solidFill>
                </w14:textFill>
              </w:rPr>
              <w:t>清洗用水量约</w:t>
            </w:r>
            <w:r>
              <w:rPr>
                <w:rFonts w:hint="eastAsia"/>
                <w:color w:val="000000" w:themeColor="text1"/>
                <w:sz w:val="24"/>
                <w14:textFill>
                  <w14:solidFill>
                    <w14:schemeClr w14:val="tx1"/>
                  </w14:solidFill>
                </w14:textFill>
              </w:rPr>
              <w:t>38.0</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0.167</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排污系数为0.9，则</w:t>
            </w:r>
            <w:r>
              <w:rPr>
                <w:color w:val="000000" w:themeColor="text1"/>
                <w:sz w:val="24"/>
                <w14:textFill>
                  <w14:solidFill>
                    <w14:schemeClr w14:val="tx1"/>
                  </w14:solidFill>
                </w14:textFill>
              </w:rPr>
              <w:t>设备</w:t>
            </w:r>
            <w:r>
              <w:rPr>
                <w:color w:val="000000" w:themeColor="text1"/>
                <w:kern w:val="0"/>
                <w:sz w:val="24"/>
                <w14:textFill>
                  <w14:solidFill>
                    <w14:schemeClr w14:val="tx1"/>
                  </w14:solidFill>
                </w14:textFill>
              </w:rPr>
              <w:t>清洗废水排放量约</w:t>
            </w:r>
            <w:r>
              <w:rPr>
                <w:rFonts w:hint="eastAsia"/>
                <w:color w:val="000000" w:themeColor="text1"/>
                <w:sz w:val="24"/>
                <w14:textFill>
                  <w14:solidFill>
                    <w14:schemeClr w14:val="tx1"/>
                  </w14:solidFill>
                </w14:textFill>
              </w:rPr>
              <w:t>34.2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w:t>
            </w:r>
            <w:r>
              <w:rPr>
                <w:rFonts w:hint="eastAsia"/>
                <w:color w:val="000000" w:themeColor="text1"/>
                <w:sz w:val="24"/>
                <w14:textFill>
                  <w14:solidFill>
                    <w14:schemeClr w14:val="tx1"/>
                  </w14:solidFill>
                </w14:textFill>
              </w:rPr>
              <w:t>.15</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。参照</w:t>
            </w:r>
            <w:r>
              <w:rPr>
                <w:rFonts w:hint="eastAsia"/>
                <w:color w:val="000000" w:themeColor="text1"/>
                <w:kern w:val="0"/>
                <w:sz w:val="24"/>
                <w14:textFill>
                  <w14:solidFill>
                    <w14:schemeClr w14:val="tx1"/>
                  </w14:solidFill>
                </w14:textFill>
              </w:rPr>
              <w:t>根据</w:t>
            </w:r>
            <w:r>
              <w:rPr>
                <w:bCs/>
                <w:color w:val="000000" w:themeColor="text1"/>
                <w:sz w:val="24"/>
                <w14:textFill>
                  <w14:solidFill>
                    <w14:schemeClr w14:val="tx1"/>
                  </w14:solidFill>
                </w14:textFill>
              </w:rPr>
              <w:t>《二污排放源统计调查产排污核算方法和系数手册-137蔬菜、菌类、水果和坚果加工行业系数手册》</w:t>
            </w:r>
            <w:r>
              <w:rPr>
                <w:rFonts w:hint="eastAsia"/>
                <w:bCs/>
                <w:color w:val="000000" w:themeColor="text1"/>
                <w:sz w:val="24"/>
                <w14:textFill>
                  <w14:solidFill>
                    <w14:schemeClr w14:val="tx1"/>
                  </w14:solidFill>
                </w14:textFill>
              </w:rPr>
              <w:t>、</w:t>
            </w:r>
            <w:r>
              <w:rPr>
                <w:rFonts w:hint="eastAsia"/>
                <w:color w:val="000000" w:themeColor="text1"/>
                <w:kern w:val="0"/>
                <w:sz w:val="24"/>
                <w14:textFill>
                  <w14:solidFill>
                    <w14:schemeClr w14:val="tx1"/>
                  </w14:solidFill>
                </w14:textFill>
              </w:rPr>
              <w:t>《饮料制造废水治理工程技术规范》（HJ2048-2015）</w:t>
            </w:r>
            <w:r>
              <w:rPr>
                <w:bCs/>
                <w:color w:val="000000" w:themeColor="text1"/>
                <w:sz w:val="24"/>
                <w14:textFill>
                  <w14:solidFill>
                    <w14:schemeClr w14:val="tx1"/>
                  </w14:solidFill>
                </w14:textFill>
              </w:rPr>
              <w:t>，并类比同类项目，设备清洗废水</w:t>
            </w:r>
            <w:r>
              <w:rPr>
                <w:color w:val="000000" w:themeColor="text1"/>
                <w:sz w:val="24"/>
                <w14:textFill>
                  <w14:solidFill>
                    <w14:schemeClr w14:val="tx1"/>
                  </w14:solidFill>
                </w14:textFill>
              </w:rPr>
              <w:t>水质为COD</w:t>
            </w:r>
            <w:r>
              <w:rPr>
                <w:rFonts w:hint="eastAsia"/>
                <w:bCs/>
                <w:color w:val="000000" w:themeColor="text1"/>
                <w:sz w:val="24"/>
                <w14:textFill>
                  <w14:solidFill>
                    <w14:schemeClr w14:val="tx1"/>
                  </w14:solidFill>
                </w14:textFill>
              </w:rPr>
              <w:t>150</w:t>
            </w:r>
            <w:r>
              <w:rPr>
                <w:bCs/>
                <w:color w:val="000000" w:themeColor="text1"/>
                <w:sz w:val="24"/>
                <w14:textFill>
                  <w14:solidFill>
                    <w14:schemeClr w14:val="tx1"/>
                  </w14:solidFill>
                </w14:textFill>
              </w:rPr>
              <w:t>0mg/L、</w:t>
            </w:r>
            <w:r>
              <w:rPr>
                <w:color w:val="000000" w:themeColor="text1"/>
                <w:sz w:val="24"/>
                <w14:textFill>
                  <w14:solidFill>
                    <w14:schemeClr w14:val="tx1"/>
                  </w14:solidFill>
                </w14:textFill>
              </w:rPr>
              <w:t>BOD</w:t>
            </w:r>
            <w:r>
              <w:rPr>
                <w:color w:val="000000" w:themeColor="text1"/>
                <w:sz w:val="24"/>
                <w:vertAlign w:val="subscript"/>
                <w14:textFill>
                  <w14:solidFill>
                    <w14:schemeClr w14:val="tx1"/>
                  </w14:solidFill>
                </w14:textFill>
              </w:rPr>
              <w:t>5</w:t>
            </w:r>
            <w:r>
              <w:rPr>
                <w:rFonts w:hint="eastAsia"/>
                <w:bCs/>
                <w:color w:val="000000" w:themeColor="text1"/>
                <w:sz w:val="24"/>
                <w14:textFill>
                  <w14:solidFill>
                    <w14:schemeClr w14:val="tx1"/>
                  </w14:solidFill>
                </w14:textFill>
              </w:rPr>
              <w:t>9</w:t>
            </w:r>
            <w:r>
              <w:rPr>
                <w:bCs/>
                <w:color w:val="000000" w:themeColor="text1"/>
                <w:sz w:val="24"/>
                <w14:textFill>
                  <w14:solidFill>
                    <w14:schemeClr w14:val="tx1"/>
                  </w14:solidFill>
                </w14:textFill>
              </w:rPr>
              <w:t>00mg/L、</w:t>
            </w:r>
            <w:r>
              <w:rPr>
                <w:color w:val="000000" w:themeColor="text1"/>
                <w:sz w:val="24"/>
                <w14:textFill>
                  <w14:solidFill>
                    <w14:schemeClr w14:val="tx1"/>
                  </w14:solidFill>
                </w14:textFill>
              </w:rPr>
              <w:t>SS</w:t>
            </w:r>
            <w:r>
              <w:rPr>
                <w:rFonts w:hint="eastAsia"/>
                <w:bCs/>
                <w:color w:val="000000" w:themeColor="text1"/>
                <w:sz w:val="24"/>
                <w14:textFill>
                  <w14:solidFill>
                    <w14:schemeClr w14:val="tx1"/>
                  </w14:solidFill>
                </w14:textFill>
              </w:rPr>
              <w:t>70</w:t>
            </w:r>
            <w:r>
              <w:rPr>
                <w:bCs/>
                <w:color w:val="000000" w:themeColor="text1"/>
                <w:sz w:val="24"/>
                <w14:textFill>
                  <w14:solidFill>
                    <w14:schemeClr w14:val="tx1"/>
                  </w14:solidFill>
                </w14:textFill>
              </w:rPr>
              <w:t>0mg/L、</w:t>
            </w:r>
            <w:r>
              <w:rPr>
                <w:rFonts w:hint="eastAsia"/>
                <w:color w:val="000000" w:themeColor="text1"/>
                <w:sz w:val="24"/>
                <w14:textFill>
                  <w14:solidFill>
                    <w14:schemeClr w14:val="tx1"/>
                  </w14:solidFill>
                </w14:textFill>
              </w:rPr>
              <w:t>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w:t>
            </w:r>
            <w:r>
              <w:rPr>
                <w:rFonts w:hint="eastAsia"/>
                <w:bCs/>
                <w:color w:val="000000" w:themeColor="text1"/>
                <w:sz w:val="24"/>
                <w14:textFill>
                  <w14:solidFill>
                    <w14:schemeClr w14:val="tx1"/>
                  </w14:solidFill>
                </w14:textFill>
              </w:rPr>
              <w:t>15</w:t>
            </w:r>
            <w:r>
              <w:rPr>
                <w:bCs/>
                <w:color w:val="000000" w:themeColor="text1"/>
                <w:sz w:val="24"/>
                <w14:textFill>
                  <w14:solidFill>
                    <w14:schemeClr w14:val="tx1"/>
                  </w14:solidFill>
                </w14:textFill>
              </w:rPr>
              <w:t>mg/L，设备清洗废水</w:t>
            </w:r>
            <w:r>
              <w:rPr>
                <w:rFonts w:hint="eastAsia"/>
                <w:color w:val="000000" w:themeColor="text1"/>
                <w:sz w:val="24"/>
                <w14:textFill>
                  <w14:solidFill>
                    <w14:schemeClr w14:val="tx1"/>
                  </w14:solidFill>
                </w14:textFill>
              </w:rPr>
              <w:t>经厂区污水处理站处理后经厂区总排口排入市政污水管网，镇平县第二污水处理厂处理达标后排放。</w:t>
            </w:r>
          </w:p>
          <w:p w14:paraId="5706EB12">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③洗瓶废水</w:t>
            </w:r>
          </w:p>
          <w:p w14:paraId="25BD9962">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本项目洗瓶用纯水量为192.308m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/a（0.843m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/d）。排污系数为0.9，则容器清洗废水排放量约</w:t>
            </w:r>
            <w:r>
              <w:rPr>
                <w:rFonts w:hint="eastAsia"/>
                <w:color w:val="000000" w:themeColor="text1"/>
                <w:sz w:val="24"/>
                <w14:textFill>
                  <w14:solidFill>
                    <w14:schemeClr w14:val="tx1"/>
                  </w14:solidFill>
                </w14:textFill>
              </w:rPr>
              <w:t>173.077</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w:t>
            </w:r>
            <w:r>
              <w:rPr>
                <w:rFonts w:hint="eastAsia"/>
                <w:color w:val="000000" w:themeColor="text1"/>
                <w:sz w:val="24"/>
                <w14:textFill>
                  <w14:solidFill>
                    <w14:schemeClr w14:val="tx1"/>
                  </w14:solidFill>
                </w14:textFill>
              </w:rPr>
              <w:t>759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sz w:val="24"/>
                <w14:textFill>
                  <w14:solidFill>
                    <w14:schemeClr w14:val="tx1"/>
                  </w14:solidFill>
                </w14:textFill>
              </w:rPr>
              <w:t>参考</w:t>
            </w:r>
            <w:r>
              <w:rPr>
                <w:color w:val="000000" w:themeColor="text1"/>
                <w:sz w:val="24"/>
                <w14:textFill>
                  <w14:solidFill>
                    <w14:schemeClr w14:val="tx1"/>
                  </w14:solidFill>
                </w14:textFill>
              </w:rPr>
              <w:t>《葡萄酒、黄酒工业水污染物排放标准》（征求意见稿）编制说明中</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表6黄酒生产废水排放量及污染物浓度</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可知，洗瓶废水水质为COD105mg/L，BOD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35mg/L，SS70mg/L。洗瓶废水</w:t>
            </w:r>
            <w:r>
              <w:rPr>
                <w:rFonts w:hint="eastAsia"/>
                <w:color w:val="000000" w:themeColor="text1"/>
                <w:sz w:val="24"/>
                <w14:textFill>
                  <w14:solidFill>
                    <w14:schemeClr w14:val="tx1"/>
                  </w14:solidFill>
                </w14:textFill>
              </w:rPr>
              <w:t>经厂区污水处理站处理后经厂区总排口排入市政污水管网，镇平县第二污水处理厂处理达标后排放。</w:t>
            </w:r>
          </w:p>
          <w:p w14:paraId="58EBC60D">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8</w:t>
            </w:r>
            <w:r>
              <w:rPr>
                <w:color w:val="000000" w:themeColor="text1"/>
                <w:sz w:val="24"/>
                <w14:textFill>
                  <w14:solidFill>
                    <w14:schemeClr w14:val="tx1"/>
                  </w14:solidFill>
                </w14:textFill>
              </w:rPr>
              <w:t>）医疗器械生产线</w:t>
            </w:r>
          </w:p>
          <w:p w14:paraId="605792D8">
            <w:pPr>
              <w:pStyle w:val="43"/>
              <w:rPr>
                <w:color w:val="000000" w:themeColor="text1"/>
                <w14:textFill>
                  <w14:solidFill>
                    <w14:schemeClr w14:val="tx1"/>
                  </w14:solidFill>
                </w14:textFill>
              </w:rPr>
            </w:pPr>
            <w:r>
              <w:rPr>
                <w:color w:val="000000" w:themeColor="text1"/>
                <w14:textFill>
                  <w14:solidFill>
                    <w14:schemeClr w14:val="tx1"/>
                  </w14:solidFill>
                </w14:textFill>
              </w:rPr>
              <w:t>①</w:t>
            </w:r>
            <w:r>
              <w:rPr>
                <w:rFonts w:hint="eastAsia"/>
                <w:color w:val="000000" w:themeColor="text1"/>
                <w14:textFill>
                  <w14:solidFill>
                    <w14:schemeClr w14:val="tx1"/>
                  </w14:solidFill>
                </w14:textFill>
              </w:rPr>
              <w:t>原料</w:t>
            </w:r>
            <w:r>
              <w:rPr>
                <w:color w:val="000000" w:themeColor="text1"/>
                <w14:textFill>
                  <w14:solidFill>
                    <w14:schemeClr w14:val="tx1"/>
                  </w14:solidFill>
                </w14:textFill>
              </w:rPr>
              <w:t>清洗废水</w:t>
            </w:r>
          </w:p>
          <w:p w14:paraId="78934078">
            <w:pPr>
              <w:spacing w:line="360" w:lineRule="auto"/>
              <w:ind w:firstLine="480" w:firstLineChars="200"/>
              <w:rPr>
                <w:color w:val="000000" w:themeColor="text1"/>
                <w:sz w:val="24"/>
                <w14:textFill>
                  <w14:solidFill>
                    <w14:schemeClr w14:val="tx1"/>
                  </w14:solidFill>
                </w14:textFill>
              </w:rPr>
            </w:pPr>
            <w:r>
              <w:rPr>
                <w:bCs/>
                <w:color w:val="000000" w:themeColor="text1"/>
                <w:sz w:val="24"/>
                <w14:textFill>
                  <w14:solidFill>
                    <w14:schemeClr w14:val="tx1"/>
                  </w14:solidFill>
                </w14:textFill>
              </w:rPr>
              <w:t>根据企业提供资料，本项目清洗机内水槽</w:t>
            </w:r>
            <w:r>
              <w:rPr>
                <w:color w:val="000000" w:themeColor="text1"/>
                <w:sz w:val="24"/>
                <w14:textFill>
                  <w14:solidFill>
                    <w14:schemeClr w14:val="tx1"/>
                  </w14:solidFill>
                </w14:textFill>
              </w:rPr>
              <w:t>容积为3m</w:t>
            </w:r>
            <w:r>
              <w:rPr>
                <w:color w:val="000000" w:themeColor="text1"/>
                <w:sz w:val="24"/>
                <w:vertAlign w:val="superscript"/>
                <w14:textFill>
                  <w14:solidFill>
                    <w14:schemeClr w14:val="tx1"/>
                  </w14:solidFill>
                </w14:textFill>
              </w:rPr>
              <w:t>3</w:t>
            </w:r>
            <w:r>
              <w:rPr>
                <w:bCs/>
                <w:color w:val="000000" w:themeColor="text1"/>
                <w:sz w:val="24"/>
                <w14:textFill>
                  <w14:solidFill>
                    <w14:schemeClr w14:val="tx1"/>
                  </w14:solidFill>
                </w14:textFill>
              </w:rPr>
              <w:t>，清洗机充水量占有效容积</w:t>
            </w:r>
            <w:r>
              <w:rPr>
                <w:rFonts w:hint="eastAsia"/>
                <w:bCs/>
                <w:color w:val="000000" w:themeColor="text1"/>
                <w:sz w:val="24"/>
                <w14:textFill>
                  <w14:solidFill>
                    <w14:schemeClr w14:val="tx1"/>
                  </w14:solidFill>
                </w14:textFill>
              </w:rPr>
              <w:t>6</w:t>
            </w:r>
            <w:r>
              <w:rPr>
                <w:bCs/>
                <w:color w:val="000000" w:themeColor="text1"/>
                <w:sz w:val="24"/>
                <w14:textFill>
                  <w14:solidFill>
                    <w14:schemeClr w14:val="tx1"/>
                  </w14:solidFill>
                </w14:textFill>
              </w:rPr>
              <w:t>0%，本项目原料清洗工序每天用水量为</w:t>
            </w:r>
            <w:r>
              <w:rPr>
                <w:rFonts w:hint="eastAsia"/>
                <w:bCs/>
                <w:color w:val="000000" w:themeColor="text1"/>
                <w:sz w:val="24"/>
                <w14:textFill>
                  <w14:solidFill>
                    <w14:schemeClr w14:val="tx1"/>
                  </w14:solidFill>
                </w14:textFill>
              </w:rPr>
              <w:t>273.6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1.</w:t>
            </w:r>
            <w:r>
              <w:rPr>
                <w:rFonts w:hint="eastAsia"/>
                <w:color w:val="000000" w:themeColor="text1"/>
                <w:sz w:val="24"/>
                <w:lang w:val="en-US" w:eastAsia="zh-CN"/>
                <w14:textFill>
                  <w14:solidFill>
                    <w14:schemeClr w14:val="tx1"/>
                  </w14:solidFill>
                </w14:textFill>
              </w:rPr>
              <w:t>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bCs/>
                <w:color w:val="000000" w:themeColor="text1"/>
                <w:sz w:val="24"/>
                <w14:textFill>
                  <w14:solidFill>
                    <w14:schemeClr w14:val="tx1"/>
                  </w14:solidFill>
                </w14:textFill>
              </w:rPr>
              <w:t>，根据企业提供资料，每天排放1次废水，废水排污系数取0.9，则清洗工序废水排放量为</w:t>
            </w:r>
            <w:r>
              <w:rPr>
                <w:rFonts w:hint="eastAsia"/>
                <w:bCs/>
                <w:color w:val="000000" w:themeColor="text1"/>
                <w:sz w:val="24"/>
                <w14:textFill>
                  <w14:solidFill>
                    <w14:schemeClr w14:val="tx1"/>
                  </w14:solidFill>
                </w14:textFill>
              </w:rPr>
              <w:t>246.24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1.08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bCs/>
                <w:color w:val="000000" w:themeColor="text1"/>
                <w:sz w:val="24"/>
                <w14:textFill>
                  <w14:solidFill>
                    <w14:schemeClr w14:val="tx1"/>
                  </w14:solidFill>
                </w14:textFill>
              </w:rPr>
              <w:t>，参照《二污排放源统计调查产排污核算方法和系数手册-137蔬菜、菌类、水果和坚果加工行业系数手册》，并类比同类项目，原料清洗废水</w:t>
            </w:r>
            <w:r>
              <w:rPr>
                <w:color w:val="000000" w:themeColor="text1"/>
                <w:sz w:val="24"/>
                <w14:textFill>
                  <w14:solidFill>
                    <w14:schemeClr w14:val="tx1"/>
                  </w14:solidFill>
                </w14:textFill>
              </w:rPr>
              <w:t>水质为COD</w:t>
            </w:r>
            <w:r>
              <w:rPr>
                <w:bCs/>
                <w:color w:val="000000" w:themeColor="text1"/>
                <w:sz w:val="24"/>
                <w14:textFill>
                  <w14:solidFill>
                    <w14:schemeClr w14:val="tx1"/>
                  </w14:solidFill>
                </w14:textFill>
              </w:rPr>
              <w:t>280mg/L、</w:t>
            </w:r>
            <w:r>
              <w:rPr>
                <w:color w:val="000000" w:themeColor="text1"/>
                <w:sz w:val="24"/>
                <w14:textFill>
                  <w14:solidFill>
                    <w14:schemeClr w14:val="tx1"/>
                  </w14:solidFill>
                </w14:textFill>
              </w:rPr>
              <w:t>BOD</w:t>
            </w:r>
            <w:r>
              <w:rPr>
                <w:color w:val="000000" w:themeColor="text1"/>
                <w:sz w:val="24"/>
                <w:vertAlign w:val="subscript"/>
                <w14:textFill>
                  <w14:solidFill>
                    <w14:schemeClr w14:val="tx1"/>
                  </w14:solidFill>
                </w14:textFill>
              </w:rPr>
              <w:t>5</w:t>
            </w:r>
            <w:r>
              <w:rPr>
                <w:bCs/>
                <w:color w:val="000000" w:themeColor="text1"/>
                <w:sz w:val="24"/>
                <w14:textFill>
                  <w14:solidFill>
                    <w14:schemeClr w14:val="tx1"/>
                  </w14:solidFill>
                </w14:textFill>
              </w:rPr>
              <w:t>200mg/L、</w:t>
            </w:r>
            <w:r>
              <w:rPr>
                <w:color w:val="000000" w:themeColor="text1"/>
                <w:sz w:val="24"/>
                <w14:textFill>
                  <w14:solidFill>
                    <w14:schemeClr w14:val="tx1"/>
                  </w14:solidFill>
                </w14:textFill>
              </w:rPr>
              <w:t>SS</w:t>
            </w:r>
            <w:r>
              <w:rPr>
                <w:bCs/>
                <w:color w:val="000000" w:themeColor="text1"/>
                <w:sz w:val="24"/>
                <w14:textFill>
                  <w14:solidFill>
                    <w14:schemeClr w14:val="tx1"/>
                  </w14:solidFill>
                </w14:textFill>
              </w:rPr>
              <w:t>170mg/L、</w:t>
            </w:r>
            <w:r>
              <w:rPr>
                <w:rFonts w:hint="eastAsia"/>
                <w:color w:val="000000" w:themeColor="text1"/>
                <w:sz w:val="24"/>
                <w14:textFill>
                  <w14:solidFill>
                    <w14:schemeClr w14:val="tx1"/>
                  </w14:solidFill>
                </w14:textFill>
              </w:rPr>
              <w:t>NH</w:t>
            </w:r>
            <w:r>
              <w:rPr>
                <w:rFonts w:hint="eastAsia"/>
                <w:color w:val="000000" w:themeColor="text1"/>
                <w:sz w:val="24"/>
                <w:vertAlign w:val="subscript"/>
                <w14:textFill>
                  <w14:solidFill>
                    <w14:schemeClr w14:val="tx1"/>
                  </w14:solidFill>
                </w14:textFill>
              </w:rPr>
              <w:t>3</w:t>
            </w:r>
            <w:r>
              <w:rPr>
                <w:rFonts w:hint="eastAsia"/>
                <w:color w:val="000000" w:themeColor="text1"/>
                <w:sz w:val="24"/>
                <w14:textFill>
                  <w14:solidFill>
                    <w14:schemeClr w14:val="tx1"/>
                  </w14:solidFill>
                </w14:textFill>
              </w:rPr>
              <w:t>-N</w:t>
            </w:r>
            <w:r>
              <w:rPr>
                <w:bCs/>
                <w:color w:val="000000" w:themeColor="text1"/>
                <w:sz w:val="24"/>
                <w14:textFill>
                  <w14:solidFill>
                    <w14:schemeClr w14:val="tx1"/>
                  </w14:solidFill>
                </w14:textFill>
              </w:rPr>
              <w:t>9mg/L，</w:t>
            </w:r>
            <w:r>
              <w:rPr>
                <w:rFonts w:hint="eastAsia"/>
                <w:bCs/>
                <w:color w:val="000000" w:themeColor="text1"/>
                <w:sz w:val="24"/>
                <w:lang w:val="en-US" w:eastAsia="zh-CN"/>
                <w14:textFill>
                  <w14:solidFill>
                    <w14:schemeClr w14:val="tx1"/>
                  </w14:solidFill>
                </w14:textFill>
              </w:rPr>
              <w:t>原料</w:t>
            </w:r>
            <w:r>
              <w:rPr>
                <w:bCs/>
                <w:color w:val="000000" w:themeColor="text1"/>
                <w:sz w:val="24"/>
                <w14:textFill>
                  <w14:solidFill>
                    <w14:schemeClr w14:val="tx1"/>
                  </w14:solidFill>
                </w14:textFill>
              </w:rPr>
              <w:t>清洗废水</w:t>
            </w:r>
            <w:r>
              <w:rPr>
                <w:rFonts w:hint="eastAsia"/>
                <w:color w:val="000000" w:themeColor="text1"/>
                <w:sz w:val="24"/>
                <w14:textFill>
                  <w14:solidFill>
                    <w14:schemeClr w14:val="tx1"/>
                  </w14:solidFill>
                </w14:textFill>
              </w:rPr>
              <w:t>经厂区污水处理站处理后经厂区总排口排入市政污水管网，镇平县第二污水处理厂处理达标后排放。</w:t>
            </w:r>
          </w:p>
          <w:p w14:paraId="66AF1362">
            <w:pPr>
              <w:spacing w:line="360" w:lineRule="auto"/>
              <w:ind w:firstLine="480" w:firstLineChars="200"/>
              <w:rPr>
                <w:color w:val="000000" w:themeColor="text1"/>
                <w:sz w:val="24"/>
                <w14:textFill>
                  <w14:solidFill>
                    <w14:schemeClr w14:val="tx1"/>
                  </w14:solidFill>
                </w14:textFill>
              </w:rPr>
            </w:pPr>
            <w:r>
              <w:rPr>
                <w:bCs/>
                <w:color w:val="000000" w:themeColor="text1"/>
                <w:sz w:val="24"/>
                <w:szCs w:val="24"/>
                <w:lang w:val="en-US" w:eastAsia="zh-CN"/>
                <w14:textFill>
                  <w14:solidFill>
                    <w14:schemeClr w14:val="tx1"/>
                  </w14:solidFill>
                </w14:textFill>
              </w:rPr>
              <w:t>②</w:t>
            </w:r>
            <w:r>
              <w:rPr>
                <w:color w:val="000000" w:themeColor="text1"/>
                <w:sz w:val="24"/>
                <w14:textFill>
                  <w14:solidFill>
                    <w14:schemeClr w14:val="tx1"/>
                  </w14:solidFill>
                </w14:textFill>
              </w:rPr>
              <w:t>设备及车间清洗废水</w:t>
            </w:r>
          </w:p>
          <w:p w14:paraId="093BD906">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w:t>
            </w:r>
            <w:r>
              <w:rPr>
                <w:rFonts w:hint="eastAsia"/>
                <w:color w:val="000000" w:themeColor="text1"/>
                <w:sz w:val="24"/>
                <w14:textFill>
                  <w14:solidFill>
                    <w14:schemeClr w14:val="tx1"/>
                  </w14:solidFill>
                </w14:textFill>
              </w:rPr>
              <w:t>热敷理疗产品及治疗凝胶生产线</w:t>
            </w:r>
            <w:r>
              <w:rPr>
                <w:color w:val="000000" w:themeColor="text1"/>
                <w:sz w:val="24"/>
                <w14:textFill>
                  <w14:solidFill>
                    <w14:schemeClr w14:val="tx1"/>
                  </w14:solidFill>
                </w14:textFill>
              </w:rPr>
              <w:t>设备清洗用纯水量约</w:t>
            </w:r>
            <w:r>
              <w:rPr>
                <w:rFonts w:hint="eastAsia"/>
                <w:color w:val="000000" w:themeColor="text1"/>
                <w:sz w:val="24"/>
                <w14:textFill>
                  <w14:solidFill>
                    <w14:schemeClr w14:val="tx1"/>
                  </w14:solidFill>
                </w14:textFill>
              </w:rPr>
              <w:t>91.2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/d），产污系数按0.9计，设备清洗废水排放量为</w:t>
            </w:r>
            <w:r>
              <w:rPr>
                <w:rFonts w:hint="eastAsia"/>
                <w:color w:val="000000" w:themeColor="text1"/>
                <w:sz w:val="24"/>
                <w14:textFill>
                  <w14:solidFill>
                    <w14:schemeClr w14:val="tx1"/>
                  </w14:solidFill>
                </w14:textFill>
              </w:rPr>
              <w:t>82.08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/a（0.</w:t>
            </w:r>
            <w:r>
              <w:rPr>
                <w:rFonts w:hint="eastAsia"/>
                <w:color w:val="000000" w:themeColor="text1"/>
                <w:sz w:val="24"/>
                <w14:textFill>
                  <w14:solidFill>
                    <w14:schemeClr w14:val="tx1"/>
                  </w14:solidFill>
                </w14:textFill>
              </w:rPr>
              <w:t>36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/d）；项目</w:t>
            </w:r>
            <w:r>
              <w:rPr>
                <w:rFonts w:hint="eastAsia"/>
                <w:color w:val="000000" w:themeColor="text1"/>
                <w:sz w:val="24"/>
                <w14:textFill>
                  <w14:solidFill>
                    <w14:schemeClr w14:val="tx1"/>
                  </w14:solidFill>
                </w14:textFill>
              </w:rPr>
              <w:t>1#二类器械车间、2#二类器械车间地面</w:t>
            </w:r>
            <w:r>
              <w:rPr>
                <w:color w:val="000000" w:themeColor="text1"/>
                <w:sz w:val="24"/>
                <w14:textFill>
                  <w14:solidFill>
                    <w14:schemeClr w14:val="tx1"/>
                  </w14:solidFill>
                </w14:textFill>
              </w:rPr>
              <w:t>清洗用纯水量约</w:t>
            </w:r>
            <w:r>
              <w:rPr>
                <w:rFonts w:hint="eastAsia"/>
                <w:color w:val="000000" w:themeColor="text1"/>
                <w:sz w:val="24"/>
                <w14:textFill>
                  <w14:solidFill>
                    <w14:schemeClr w14:val="tx1"/>
                  </w14:solidFill>
                </w14:textFill>
              </w:rPr>
              <w:t>1094.4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4.8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/d），产污系数按0.9计，</w:t>
            </w:r>
            <w:r>
              <w:rPr>
                <w:color w:val="000000" w:themeColor="text1"/>
                <w:kern w:val="0"/>
                <w:sz w:val="24"/>
                <w14:textFill>
                  <w14:solidFill>
                    <w14:schemeClr w14:val="tx1"/>
                  </w14:solidFill>
                </w14:textFill>
              </w:rPr>
              <w:t>车间清洗用水量为</w:t>
            </w:r>
            <w:r>
              <w:rPr>
                <w:color w:val="000000" w:themeColor="text1"/>
                <w:sz w:val="24"/>
                <w14:textFill>
                  <w14:solidFill>
                    <w14:schemeClr w14:val="tx1"/>
                  </w14:solidFill>
                </w14:textFill>
              </w:rPr>
              <w:t>1094.4m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/a（4.8m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/d），产污系数按0.9计，</w:t>
            </w:r>
            <w:r>
              <w:rPr>
                <w:rFonts w:hint="eastAsia"/>
                <w:color w:val="000000" w:themeColor="text1"/>
                <w:sz w:val="24"/>
                <w14:textFill>
                  <w14:solidFill>
                    <w14:schemeClr w14:val="tx1"/>
                  </w14:solidFill>
                </w14:textFill>
              </w:rPr>
              <w:t>1#二类器械车间、2#二类器械车间地面</w:t>
            </w:r>
            <w:r>
              <w:rPr>
                <w:color w:val="000000" w:themeColor="text1"/>
                <w:kern w:val="0"/>
                <w:sz w:val="24"/>
                <w14:textFill>
                  <w14:solidFill>
                    <w14:schemeClr w14:val="tx1"/>
                  </w14:solidFill>
                </w14:textFill>
              </w:rPr>
              <w:t>清洗</w:t>
            </w:r>
            <w:r>
              <w:rPr>
                <w:color w:val="000000" w:themeColor="text1"/>
                <w:sz w:val="24"/>
                <w14:textFill>
                  <w14:solidFill>
                    <w14:schemeClr w14:val="tx1"/>
                  </w14:solidFill>
                </w14:textFill>
              </w:rPr>
              <w:t>废水排放量为984.96m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/a（4.32m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/d）；本项目设备及车间清洗废水</w:t>
            </w:r>
            <w:r>
              <w:rPr>
                <w:rFonts w:hint="eastAsia"/>
                <w:color w:val="000000" w:themeColor="text1"/>
                <w:sz w:val="24"/>
                <w14:textFill>
                  <w14:solidFill>
                    <w14:schemeClr w14:val="tx1"/>
                  </w14:solidFill>
                </w14:textFill>
              </w:rPr>
              <w:t>产生总量为1067.04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4.68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本项目设备及车间清洗废水类比《浙江仙琚制药股份有限公司年产3000万贴凝胶贴膏生产线项目竣工环境保护验收监测报告表》，该项目原料、生产工艺以及产品与本项目类似，因此本项目设备及车间清洗废水污染物浓度类比该项目验收监测数据可行。根据《浙江仙琚制药股份有限公司年产3000万贴凝胶贴膏生产线项目竣工环境保护验收监测报告表》，该项目废水经污水处理设施处理前污染物平均浓度为：COD585mg/L，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334mg/L，SS84mg/L，氨氮3.19mg/L，TN68.2mg/L、TP0.56mg/L。因此本项目设备及车间清洗废水中主要污染物产生浓度分别为COD585mg/L，BOD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334mg/L，SS84mg/L，氨氮3.19mg/L，TN68.2mg/L、TP0.56mg/L。</w:t>
            </w:r>
          </w:p>
          <w:p w14:paraId="0FF09FA3">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（9）</w:t>
            </w:r>
            <w:r>
              <w:rPr>
                <w:color w:val="000000" w:themeColor="text1"/>
                <w:sz w:val="24"/>
                <w14:textFill>
                  <w14:solidFill>
                    <w14:schemeClr w14:val="tx1"/>
                  </w14:solidFill>
                </w14:textFill>
              </w:rPr>
              <w:t>纯水制备浓水</w:t>
            </w:r>
          </w:p>
          <w:p w14:paraId="4396DA12">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本项目纯水由</w:t>
            </w:r>
            <w:r>
              <w:rPr>
                <w:rFonts w:hint="eastAsia"/>
                <w:color w:val="000000" w:themeColor="text1"/>
                <w:sz w:val="24"/>
                <w14:textFill>
                  <w14:solidFill>
                    <w14:schemeClr w14:val="tx1"/>
                  </w14:solidFill>
                </w14:textFill>
              </w:rPr>
              <w:t>RO二级反渗透净水器</w:t>
            </w:r>
            <w:r>
              <w:rPr>
                <w:color w:val="000000" w:themeColor="text1"/>
                <w:sz w:val="24"/>
                <w14:textFill>
                  <w14:solidFill>
                    <w14:schemeClr w14:val="tx1"/>
                  </w14:solidFill>
                </w14:textFill>
              </w:rPr>
              <w:t>制备，纯水制备效率按70%折算，</w:t>
            </w:r>
            <w:r>
              <w:rPr>
                <w:rFonts w:hint="eastAsia"/>
                <w:color w:val="000000" w:themeColor="text1"/>
                <w:sz w:val="24"/>
                <w14:textFill>
                  <w14:solidFill>
                    <w14:schemeClr w14:val="tx1"/>
                  </w14:solidFill>
                </w14:textFill>
              </w:rPr>
              <w:t>项目全厂纯水制备</w:t>
            </w:r>
            <w:r>
              <w:rPr>
                <w:color w:val="000000" w:themeColor="text1"/>
                <w:sz w:val="24"/>
                <w14:textFill>
                  <w14:solidFill>
                    <w14:schemeClr w14:val="tx1"/>
                  </w14:solidFill>
                </w14:textFill>
              </w:rPr>
              <w:t>工序新鲜用水量为</w:t>
            </w:r>
            <w:r>
              <w:rPr>
                <w:rFonts w:hint="eastAsia"/>
                <w:color w:val="000000" w:themeColor="text1"/>
                <w:sz w:val="24"/>
                <w14:textFill>
                  <w14:solidFill>
                    <w14:schemeClr w14:val="tx1"/>
                  </w14:solidFill>
                </w14:textFill>
              </w:rPr>
              <w:t>404</w:t>
            </w:r>
            <w:r>
              <w:rPr>
                <w:rFonts w:hint="eastAsia"/>
                <w:color w:val="000000" w:themeColor="text1"/>
                <w:sz w:val="24"/>
                <w:lang w:val="en-US" w:eastAsia="zh-CN"/>
                <w14:textFill>
                  <w14:solidFill>
                    <w14:schemeClr w14:val="tx1"/>
                  </w14:solidFill>
                </w14:textFill>
              </w:rPr>
              <w:t>9.976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lang w:val="en-US" w:eastAsia="zh-CN"/>
                <w14:textFill>
                  <w14:solidFill>
                    <w14:schemeClr w14:val="tx1"/>
                  </w14:solidFill>
                </w14:textFill>
              </w:rPr>
              <w:t>17.763</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/d），纯水使用量为</w:t>
            </w:r>
            <w:r>
              <w:rPr>
                <w:rFonts w:hint="eastAsia"/>
                <w:color w:val="000000" w:themeColor="text1"/>
                <w:sz w:val="24"/>
                <w:lang w:val="en-US" w:eastAsia="zh-CN"/>
                <w14:textFill>
                  <w14:solidFill>
                    <w14:schemeClr w14:val="tx1"/>
                  </w14:solidFill>
                </w14:textFill>
              </w:rPr>
              <w:t>2834.983</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12.</w:t>
            </w:r>
            <w:r>
              <w:rPr>
                <w:rFonts w:hint="eastAsia"/>
                <w:color w:val="000000" w:themeColor="text1"/>
                <w:sz w:val="24"/>
                <w:lang w:val="en-US" w:eastAsia="zh-CN"/>
                <w14:textFill>
                  <w14:solidFill>
                    <w14:schemeClr w14:val="tx1"/>
                  </w14:solidFill>
                </w14:textFill>
              </w:rPr>
              <w:t>434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/d），则浓水产生量为</w:t>
            </w:r>
            <w:r>
              <w:rPr>
                <w:rFonts w:hint="eastAsia"/>
                <w:color w:val="000000" w:themeColor="text1"/>
                <w:sz w:val="24"/>
                <w14:textFill>
                  <w14:solidFill>
                    <w14:schemeClr w14:val="tx1"/>
                  </w14:solidFill>
                </w14:textFill>
              </w:rPr>
              <w:t>1214.</w:t>
            </w:r>
            <w:r>
              <w:rPr>
                <w:rFonts w:hint="eastAsia"/>
                <w:color w:val="000000" w:themeColor="text1"/>
                <w:sz w:val="24"/>
                <w:lang w:val="en-US" w:eastAsia="zh-CN"/>
                <w14:textFill>
                  <w14:solidFill>
                    <w14:schemeClr w14:val="tx1"/>
                  </w14:solidFill>
                </w14:textFill>
              </w:rPr>
              <w:t>99</w:t>
            </w: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5.</w:t>
            </w:r>
            <w:r>
              <w:rPr>
                <w:rFonts w:hint="eastAsia"/>
                <w:color w:val="000000" w:themeColor="text1"/>
                <w:sz w:val="24"/>
                <w:lang w:val="en-US" w:eastAsia="zh-CN"/>
                <w14:textFill>
                  <w14:solidFill>
                    <w14:schemeClr w14:val="tx1"/>
                  </w14:solidFill>
                </w14:textFill>
              </w:rPr>
              <w:t>329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/d）。综上，浓水主要污染物浓度为SS50mg/L；纯水制备浓水经厂区总排口排入市政污水管网，镇平县第二污水处理厂处理达标后排放。</w:t>
            </w:r>
          </w:p>
          <w:p w14:paraId="65794370">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10</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黄酒及综合车间</w:t>
            </w:r>
            <w:r>
              <w:rPr>
                <w:color w:val="000000" w:themeColor="text1"/>
                <w:sz w:val="24"/>
                <w14:textFill>
                  <w14:solidFill>
                    <w14:schemeClr w14:val="tx1"/>
                  </w14:solidFill>
                </w14:textFill>
              </w:rPr>
              <w:t>地面清洁废水</w:t>
            </w:r>
          </w:p>
          <w:p w14:paraId="4C0CDE20">
            <w:pPr>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项目黄酒及综合车间需定期进行清洁，参照《建筑给水排水设计标准》（GB50015-2019）和类比其他同类项目，项目地面每周清洗1次，一年约清洗33次。地面冲洗水用水指标按2L/m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计，生产车间冲洗面积约5940m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，地面冲洗用水</w:t>
            </w:r>
            <w:r>
              <w:rPr>
                <w:color w:val="000000" w:themeColor="text1"/>
                <w:sz w:val="24"/>
                <w14:textFill>
                  <w14:solidFill>
                    <w14:schemeClr w14:val="tx1"/>
                  </w14:solidFill>
                </w14:textFill>
              </w:rPr>
              <w:t>392.04m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/a（1.719m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；地面冲洗用水耗损量以</w:t>
            </w:r>
            <w:r>
              <w:rPr>
                <w:rFonts w:hint="eastAsia"/>
                <w:color w:val="000000" w:themeColor="text1"/>
                <w:kern w:val="0"/>
                <w:sz w:val="24"/>
                <w14:textFill>
                  <w14:solidFill>
                    <w14:schemeClr w14:val="tx1"/>
                  </w14:solidFill>
                </w14:textFill>
              </w:rPr>
              <w:t>1</w:t>
            </w:r>
            <w:r>
              <w:rPr>
                <w:color w:val="000000" w:themeColor="text1"/>
                <w:kern w:val="0"/>
                <w:sz w:val="24"/>
                <w14:textFill>
                  <w14:solidFill>
                    <w14:schemeClr w14:val="tx1"/>
                  </w14:solidFill>
                </w14:textFill>
              </w:rPr>
              <w:t>0%计，则地面清洗废水量为</w:t>
            </w:r>
            <w:r>
              <w:rPr>
                <w:rFonts w:hint="eastAsia"/>
                <w:color w:val="000000" w:themeColor="text1"/>
                <w:sz w:val="24"/>
                <w14:textFill>
                  <w14:solidFill>
                    <w14:schemeClr w14:val="tx1"/>
                  </w14:solidFill>
                </w14:textFill>
              </w:rPr>
              <w:t>352.836</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/a（1.</w:t>
            </w:r>
            <w:r>
              <w:rPr>
                <w:rFonts w:hint="eastAsia"/>
                <w:color w:val="000000" w:themeColor="text1"/>
                <w:sz w:val="24"/>
                <w14:textFill>
                  <w14:solidFill>
                    <w14:schemeClr w14:val="tx1"/>
                  </w14:solidFill>
                </w14:textFill>
              </w:rPr>
              <w:t>548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color w:val="000000" w:themeColor="text1"/>
                <w:kern w:val="0"/>
                <w:sz w:val="24"/>
                <w14:textFill>
                  <w14:solidFill>
                    <w14:schemeClr w14:val="tx1"/>
                  </w14:solidFill>
                </w14:textFill>
              </w:rPr>
              <w:t>。</w:t>
            </w:r>
            <w:r>
              <w:rPr>
                <w:color w:val="000000" w:themeColor="text1"/>
                <w:sz w:val="24"/>
                <w14:textFill>
                  <w14:solidFill>
                    <w14:schemeClr w14:val="tx1"/>
                  </w14:solidFill>
                </w14:textFill>
              </w:rPr>
              <w:t>参照</w:t>
            </w:r>
            <w:r>
              <w:rPr>
                <w:color w:val="000000" w:themeColor="text1"/>
                <w:kern w:val="0"/>
                <w:sz w:val="24"/>
                <w14:textFill>
                  <w14:solidFill>
                    <w14:schemeClr w14:val="tx1"/>
                  </w14:solidFill>
                </w14:textFill>
              </w:rPr>
              <w:t>《葡萄酒、黄酒工业水污染物排放标准》（征求意见稿）编制说明中“表6 黄酒生产废水排放量及污染物浓度”洗场地水废水水质，本项目地面清洁废水水质为COD370mg/L，BOD</w:t>
            </w:r>
            <w:r>
              <w:rPr>
                <w:color w:val="000000" w:themeColor="text1"/>
                <w:kern w:val="0"/>
                <w:sz w:val="24"/>
                <w:vertAlign w:val="subscript"/>
                <w14:textFill>
                  <w14:solidFill>
                    <w14:schemeClr w14:val="tx1"/>
                  </w14:solidFill>
                </w14:textFill>
              </w:rPr>
              <w:t>5</w:t>
            </w:r>
            <w:r>
              <w:rPr>
                <w:color w:val="000000" w:themeColor="text1"/>
                <w:kern w:val="0"/>
                <w:sz w:val="24"/>
                <w14:textFill>
                  <w14:solidFill>
                    <w14:schemeClr w14:val="tx1"/>
                  </w14:solidFill>
                </w14:textFill>
              </w:rPr>
              <w:t>120mg/L，SS660mg/L。</w:t>
            </w:r>
          </w:p>
          <w:p w14:paraId="03053A3F">
            <w:pPr>
              <w:widowControl/>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（11）化验室废水</w:t>
            </w:r>
          </w:p>
          <w:p w14:paraId="7D32AB26">
            <w:pPr>
              <w:spacing w:line="360" w:lineRule="auto"/>
              <w:ind w:firstLine="480" w:firstLineChars="200"/>
              <w:rPr>
                <w:color w:val="000000" w:themeColor="text1"/>
                <w:kern w:val="0"/>
                <w:sz w:val="24"/>
                <w14:textFill>
                  <w14:solidFill>
                    <w14:schemeClr w14:val="tx1"/>
                  </w14:solidFill>
                </w14:textFill>
              </w:rPr>
            </w:pPr>
            <w:r>
              <w:rPr>
                <w:rFonts w:hint="eastAsia"/>
                <w:color w:val="000000" w:themeColor="text1"/>
                <w:kern w:val="0"/>
                <w:sz w:val="24"/>
                <w14:textFill>
                  <w14:solidFill>
                    <w14:schemeClr w14:val="tx1"/>
                  </w14:solidFill>
                </w14:textFill>
              </w:rPr>
              <w:t>项目设置一个小型化验室，主要进行简单的理化及微生物实验。项目化验室废水产生量极小，用水量约为</w:t>
            </w:r>
            <w:r>
              <w:rPr>
                <w:rFonts w:hint="eastAsia"/>
                <w:color w:val="000000" w:themeColor="text1"/>
                <w:sz w:val="24"/>
                <w14:textFill>
                  <w14:solidFill>
                    <w14:schemeClr w14:val="tx1"/>
                  </w14:solidFill>
                </w14:textFill>
              </w:rPr>
              <w:t>22.8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0.1</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kern w:val="0"/>
                <w:sz w:val="24"/>
                <w14:textFill>
                  <w14:solidFill>
                    <w14:schemeClr w14:val="tx1"/>
                  </w14:solidFill>
                </w14:textFill>
              </w:rPr>
              <w:t>，产污系数按0.9计，则项目检验废水产生量为</w:t>
            </w:r>
            <w:r>
              <w:rPr>
                <w:rFonts w:hint="eastAsia"/>
                <w:color w:val="000000" w:themeColor="text1"/>
                <w:sz w:val="24"/>
                <w14:textFill>
                  <w14:solidFill>
                    <w14:schemeClr w14:val="tx1"/>
                  </w14:solidFill>
                </w14:textFill>
              </w:rPr>
              <w:t>20.52</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/a（</w:t>
            </w:r>
            <w:r>
              <w:rPr>
                <w:rFonts w:hint="eastAsia"/>
                <w:color w:val="000000" w:themeColor="text1"/>
                <w:sz w:val="24"/>
                <w14:textFill>
                  <w14:solidFill>
                    <w14:schemeClr w14:val="tx1"/>
                  </w14:solidFill>
                </w14:textFill>
              </w:rPr>
              <w:t>0.09</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w:t>
            </w:r>
            <w:r>
              <w:rPr>
                <w:rFonts w:hint="eastAsia"/>
                <w:color w:val="000000" w:themeColor="text1"/>
                <w:kern w:val="0"/>
                <w:sz w:val="24"/>
                <w14:textFill>
                  <w14:solidFill>
                    <w14:schemeClr w14:val="tx1"/>
                  </w14:solidFill>
                </w14:textFill>
              </w:rPr>
              <w:t>，类比同类行业，实验室废水中主要污染物浓度为COD100mg/L、BOD</w:t>
            </w:r>
            <w:r>
              <w:rPr>
                <w:rFonts w:hint="eastAsia"/>
                <w:color w:val="000000" w:themeColor="text1"/>
                <w:kern w:val="0"/>
                <w:sz w:val="24"/>
                <w:vertAlign w:val="subscript"/>
                <w14:textFill>
                  <w14:solidFill>
                    <w14:schemeClr w14:val="tx1"/>
                  </w14:solidFill>
                </w14:textFill>
              </w:rPr>
              <w:t>5</w:t>
            </w:r>
            <w:r>
              <w:rPr>
                <w:rFonts w:hint="eastAsia"/>
                <w:color w:val="000000" w:themeColor="text1"/>
                <w:kern w:val="0"/>
                <w:sz w:val="24"/>
                <w14:textFill>
                  <w14:solidFill>
                    <w14:schemeClr w14:val="tx1"/>
                  </w14:solidFill>
                </w14:textFill>
              </w:rPr>
              <w:t>50mg/L、SS20mg/L、NH</w:t>
            </w:r>
            <w:r>
              <w:rPr>
                <w:rFonts w:hint="eastAsia"/>
                <w:color w:val="000000" w:themeColor="text1"/>
                <w:kern w:val="0"/>
                <w:sz w:val="24"/>
                <w:vertAlign w:val="subscript"/>
                <w14:textFill>
                  <w14:solidFill>
                    <w14:schemeClr w14:val="tx1"/>
                  </w14:solidFill>
                </w14:textFill>
              </w:rPr>
              <w:t>3</w:t>
            </w:r>
            <w:r>
              <w:rPr>
                <w:rFonts w:hint="eastAsia"/>
                <w:color w:val="000000" w:themeColor="text1"/>
                <w:kern w:val="0"/>
                <w:sz w:val="24"/>
                <w14:textFill>
                  <w14:solidFill>
                    <w14:schemeClr w14:val="tx1"/>
                  </w14:solidFill>
                </w14:textFill>
              </w:rPr>
              <w:t>-N5mg/L。</w:t>
            </w:r>
          </w:p>
          <w:p w14:paraId="1AF0715C">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9  </w:t>
            </w:r>
            <w:r>
              <w:rPr>
                <w:b/>
                <w:bCs/>
                <w:color w:val="000000" w:themeColor="text1"/>
                <w:sz w:val="24"/>
                <w14:textFill>
                  <w14:solidFill>
                    <w14:schemeClr w14:val="tx1"/>
                  </w14:solidFill>
                </w14:textFill>
              </w:rPr>
              <w:t>项目营运期废水水质一览表</w:t>
            </w:r>
          </w:p>
          <w:tbl>
            <w:tblPr>
              <w:tblStyle w:val="25"/>
              <w:tblW w:w="9171"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autofit"/>
              <w:tblCellMar>
                <w:top w:w="0" w:type="dxa"/>
                <w:left w:w="0" w:type="dxa"/>
                <w:bottom w:w="0" w:type="dxa"/>
                <w:right w:w="0" w:type="dxa"/>
              </w:tblCellMar>
            </w:tblPr>
            <w:tblGrid>
              <w:gridCol w:w="353"/>
              <w:gridCol w:w="576"/>
              <w:gridCol w:w="2736"/>
              <w:gridCol w:w="1180"/>
              <w:gridCol w:w="804"/>
              <w:gridCol w:w="699"/>
              <w:gridCol w:w="800"/>
              <w:gridCol w:w="692"/>
              <w:gridCol w:w="692"/>
              <w:gridCol w:w="639"/>
            </w:tblGrid>
            <w:tr w14:paraId="3A3B5EE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vMerge w:val="restart"/>
                  <w:tcBorders>
                    <w:right w:val="single" w:color="auto" w:sz="4" w:space="0"/>
                  </w:tcBorders>
                  <w:vAlign w:val="center"/>
                </w:tcPr>
                <w:p w14:paraId="03A55229">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序号</w:t>
                  </w:r>
                </w:p>
              </w:tc>
              <w:tc>
                <w:tcPr>
                  <w:tcW w:w="1805" w:type="pct"/>
                  <w:gridSpan w:val="2"/>
                  <w:vMerge w:val="restart"/>
                  <w:tcBorders>
                    <w:left w:val="single" w:color="auto" w:sz="4" w:space="0"/>
                  </w:tcBorders>
                  <w:vAlign w:val="center"/>
                </w:tcPr>
                <w:p w14:paraId="084734AE">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废水类别</w:t>
                  </w:r>
                </w:p>
              </w:tc>
              <w:tc>
                <w:tcPr>
                  <w:tcW w:w="643" w:type="pct"/>
                  <w:vMerge w:val="restart"/>
                  <w:vAlign w:val="center"/>
                </w:tcPr>
                <w:p w14:paraId="341D6E08">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废水量</w:t>
                  </w:r>
                </w:p>
                <w:p w14:paraId="45CD0D8D">
                  <w:pPr>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2357" w:type="pct"/>
                  <w:gridSpan w:val="6"/>
                  <w:tcBorders>
                    <w:right w:val="single" w:color="auto" w:sz="4" w:space="0"/>
                  </w:tcBorders>
                  <w:vAlign w:val="center"/>
                </w:tcPr>
                <w:p w14:paraId="15C69F9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产生浓度（mg/L）</w:t>
                  </w:r>
                </w:p>
              </w:tc>
            </w:tr>
            <w:tr w14:paraId="668CDAC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vMerge w:val="continue"/>
                  <w:tcBorders>
                    <w:right w:val="single" w:color="auto" w:sz="4" w:space="0"/>
                  </w:tcBorders>
                  <w:vAlign w:val="center"/>
                </w:tcPr>
                <w:p w14:paraId="37D28E2A">
                  <w:pPr>
                    <w:jc w:val="center"/>
                    <w:rPr>
                      <w:b/>
                      <w:bCs/>
                      <w:color w:val="000000" w:themeColor="text1"/>
                      <w:szCs w:val="21"/>
                      <w14:textFill>
                        <w14:solidFill>
                          <w14:schemeClr w14:val="tx1"/>
                        </w14:solidFill>
                      </w14:textFill>
                    </w:rPr>
                  </w:pPr>
                </w:p>
              </w:tc>
              <w:tc>
                <w:tcPr>
                  <w:tcW w:w="1805" w:type="pct"/>
                  <w:gridSpan w:val="2"/>
                  <w:vMerge w:val="continue"/>
                  <w:tcBorders>
                    <w:left w:val="single" w:color="auto" w:sz="4" w:space="0"/>
                  </w:tcBorders>
                  <w:vAlign w:val="center"/>
                </w:tcPr>
                <w:p w14:paraId="168B256A">
                  <w:pPr>
                    <w:jc w:val="center"/>
                    <w:rPr>
                      <w:b/>
                      <w:bCs/>
                      <w:color w:val="000000" w:themeColor="text1"/>
                      <w:szCs w:val="21"/>
                      <w14:textFill>
                        <w14:solidFill>
                          <w14:schemeClr w14:val="tx1"/>
                        </w14:solidFill>
                      </w14:textFill>
                    </w:rPr>
                  </w:pPr>
                </w:p>
              </w:tc>
              <w:tc>
                <w:tcPr>
                  <w:tcW w:w="643" w:type="pct"/>
                  <w:vMerge w:val="continue"/>
                  <w:vAlign w:val="center"/>
                </w:tcPr>
                <w:p w14:paraId="7E27CA91">
                  <w:pPr>
                    <w:jc w:val="center"/>
                    <w:rPr>
                      <w:b/>
                      <w:bCs/>
                      <w:color w:val="000000" w:themeColor="text1"/>
                      <w:szCs w:val="21"/>
                      <w14:textFill>
                        <w14:solidFill>
                          <w14:schemeClr w14:val="tx1"/>
                        </w14:solidFill>
                      </w14:textFill>
                    </w:rPr>
                  </w:pPr>
                </w:p>
              </w:tc>
              <w:tc>
                <w:tcPr>
                  <w:tcW w:w="438" w:type="pct"/>
                  <w:vAlign w:val="center"/>
                </w:tcPr>
                <w:p w14:paraId="2D50A1F7">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COD</w:t>
                  </w:r>
                </w:p>
              </w:tc>
              <w:tc>
                <w:tcPr>
                  <w:tcW w:w="381" w:type="pct"/>
                  <w:vAlign w:val="center"/>
                </w:tcPr>
                <w:p w14:paraId="04B9AE9D">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BOD</w:t>
                  </w:r>
                  <w:r>
                    <w:rPr>
                      <w:bCs/>
                      <w:color w:val="000000" w:themeColor="text1"/>
                      <w:szCs w:val="21"/>
                      <w:vertAlign w:val="subscript"/>
                      <w14:textFill>
                        <w14:solidFill>
                          <w14:schemeClr w14:val="tx1"/>
                        </w14:solidFill>
                      </w14:textFill>
                    </w:rPr>
                    <w:t>5</w:t>
                  </w:r>
                </w:p>
              </w:tc>
              <w:tc>
                <w:tcPr>
                  <w:tcW w:w="436" w:type="pct"/>
                  <w:vAlign w:val="center"/>
                </w:tcPr>
                <w:p w14:paraId="12FD6AEC">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SS</w:t>
                  </w:r>
                </w:p>
              </w:tc>
              <w:tc>
                <w:tcPr>
                  <w:tcW w:w="377" w:type="pct"/>
                  <w:tcBorders>
                    <w:right w:val="single" w:color="auto" w:sz="4" w:space="0"/>
                  </w:tcBorders>
                  <w:vAlign w:val="center"/>
                </w:tcPr>
                <w:p w14:paraId="51731592">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NH</w:t>
                  </w:r>
                  <w:r>
                    <w:rPr>
                      <w:bCs/>
                      <w:color w:val="000000" w:themeColor="text1"/>
                      <w:szCs w:val="21"/>
                      <w:vertAlign w:val="subscript"/>
                      <w14:textFill>
                        <w14:solidFill>
                          <w14:schemeClr w14:val="tx1"/>
                        </w14:solidFill>
                      </w14:textFill>
                    </w:rPr>
                    <w:t>3</w:t>
                  </w:r>
                  <w:r>
                    <w:rPr>
                      <w:bCs/>
                      <w:color w:val="000000" w:themeColor="text1"/>
                      <w:szCs w:val="21"/>
                      <w14:textFill>
                        <w14:solidFill>
                          <w14:schemeClr w14:val="tx1"/>
                        </w14:solidFill>
                      </w14:textFill>
                    </w:rPr>
                    <w:t>-N</w:t>
                  </w:r>
                </w:p>
              </w:tc>
              <w:tc>
                <w:tcPr>
                  <w:tcW w:w="377" w:type="pct"/>
                  <w:tcBorders>
                    <w:left w:val="single" w:color="auto" w:sz="4" w:space="0"/>
                    <w:right w:val="single" w:color="auto" w:sz="4" w:space="0"/>
                  </w:tcBorders>
                  <w:vAlign w:val="center"/>
                </w:tcPr>
                <w:p w14:paraId="7914E16C">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TN</w:t>
                  </w:r>
                </w:p>
              </w:tc>
              <w:tc>
                <w:tcPr>
                  <w:tcW w:w="347" w:type="pct"/>
                  <w:tcBorders>
                    <w:left w:val="single" w:color="auto" w:sz="4" w:space="0"/>
                    <w:right w:val="single" w:color="auto" w:sz="4" w:space="0"/>
                  </w:tcBorders>
                  <w:vAlign w:val="center"/>
                </w:tcPr>
                <w:p w14:paraId="37E575A9">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TP</w:t>
                  </w:r>
                </w:p>
              </w:tc>
            </w:tr>
            <w:tr w14:paraId="6193D3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221B7C50">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w:t>
                  </w:r>
                </w:p>
              </w:tc>
              <w:tc>
                <w:tcPr>
                  <w:tcW w:w="1805" w:type="pct"/>
                  <w:gridSpan w:val="2"/>
                  <w:shd w:val="clear" w:color="auto" w:fill="auto"/>
                  <w:vAlign w:val="center"/>
                </w:tcPr>
                <w:p w14:paraId="2E13F18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蒸汽发生器定期排水</w:t>
                  </w:r>
                </w:p>
              </w:tc>
              <w:tc>
                <w:tcPr>
                  <w:tcW w:w="643" w:type="pct"/>
                  <w:shd w:val="clear" w:color="auto" w:fill="auto"/>
                  <w:vAlign w:val="center"/>
                </w:tcPr>
                <w:p w14:paraId="761EE8B5">
                  <w:pPr>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0.18</w:t>
                  </w:r>
                </w:p>
              </w:tc>
              <w:tc>
                <w:tcPr>
                  <w:tcW w:w="438" w:type="pct"/>
                  <w:shd w:val="clear" w:color="auto" w:fill="auto"/>
                  <w:vAlign w:val="center"/>
                </w:tcPr>
                <w:p w14:paraId="59415A69">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81" w:type="pct"/>
                  <w:shd w:val="clear" w:color="auto" w:fill="auto"/>
                  <w:vAlign w:val="center"/>
                </w:tcPr>
                <w:p w14:paraId="059508D3">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36" w:type="pct"/>
                  <w:shd w:val="clear" w:color="auto" w:fill="auto"/>
                  <w:vAlign w:val="center"/>
                </w:tcPr>
                <w:p w14:paraId="04C9E53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50</w:t>
                  </w:r>
                </w:p>
              </w:tc>
              <w:tc>
                <w:tcPr>
                  <w:tcW w:w="377" w:type="pct"/>
                  <w:tcBorders>
                    <w:right w:val="single" w:color="auto" w:sz="4" w:space="0"/>
                  </w:tcBorders>
                  <w:shd w:val="clear" w:color="auto" w:fill="auto"/>
                  <w:vAlign w:val="center"/>
                </w:tcPr>
                <w:p w14:paraId="1421EB01">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5BE78764">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2AF84691">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3DAA7F9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7D08BA21">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w:t>
                  </w:r>
                </w:p>
              </w:tc>
              <w:tc>
                <w:tcPr>
                  <w:tcW w:w="314" w:type="pct"/>
                  <w:vMerge w:val="restart"/>
                  <w:shd w:val="clear" w:color="auto" w:fill="auto"/>
                  <w:vAlign w:val="center"/>
                </w:tcPr>
                <w:p w14:paraId="6F3F2D5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白酒生产线</w:t>
                  </w:r>
                </w:p>
              </w:tc>
              <w:tc>
                <w:tcPr>
                  <w:tcW w:w="1490" w:type="pct"/>
                  <w:shd w:val="clear" w:color="auto" w:fill="auto"/>
                  <w:vAlign w:val="center"/>
                </w:tcPr>
                <w:p w14:paraId="3CB4022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甑锅清洗废水</w:t>
                  </w:r>
                </w:p>
              </w:tc>
              <w:tc>
                <w:tcPr>
                  <w:tcW w:w="643" w:type="pct"/>
                  <w:shd w:val="clear" w:color="auto" w:fill="auto"/>
                  <w:vAlign w:val="center"/>
                </w:tcPr>
                <w:p w14:paraId="6911C3A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0.09</w:t>
                  </w:r>
                </w:p>
              </w:tc>
              <w:tc>
                <w:tcPr>
                  <w:tcW w:w="438" w:type="pct"/>
                  <w:shd w:val="clear" w:color="auto" w:fill="auto"/>
                  <w:vAlign w:val="center"/>
                </w:tcPr>
                <w:p w14:paraId="328B8F5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12000</w:t>
                  </w:r>
                </w:p>
              </w:tc>
              <w:tc>
                <w:tcPr>
                  <w:tcW w:w="381" w:type="pct"/>
                  <w:shd w:val="clear" w:color="auto" w:fill="auto"/>
                  <w:vAlign w:val="center"/>
                </w:tcPr>
                <w:p w14:paraId="0C43762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8500</w:t>
                  </w:r>
                </w:p>
              </w:tc>
              <w:tc>
                <w:tcPr>
                  <w:tcW w:w="436" w:type="pct"/>
                  <w:shd w:val="clear" w:color="auto" w:fill="auto"/>
                  <w:vAlign w:val="center"/>
                </w:tcPr>
                <w:p w14:paraId="5B5E16E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2000</w:t>
                  </w:r>
                </w:p>
              </w:tc>
              <w:tc>
                <w:tcPr>
                  <w:tcW w:w="377" w:type="pct"/>
                  <w:tcBorders>
                    <w:right w:val="single" w:color="auto" w:sz="4" w:space="0"/>
                  </w:tcBorders>
                  <w:shd w:val="clear" w:color="auto" w:fill="auto"/>
                  <w:vAlign w:val="center"/>
                </w:tcPr>
                <w:p w14:paraId="14244AE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w:t>
                  </w:r>
                </w:p>
              </w:tc>
              <w:tc>
                <w:tcPr>
                  <w:tcW w:w="377" w:type="pct"/>
                  <w:tcBorders>
                    <w:left w:val="single" w:color="auto" w:sz="4" w:space="0"/>
                  </w:tcBorders>
                  <w:shd w:val="clear" w:color="auto" w:fill="auto"/>
                  <w:vAlign w:val="center"/>
                </w:tcPr>
                <w:p w14:paraId="1A06708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460</w:t>
                  </w:r>
                </w:p>
              </w:tc>
              <w:tc>
                <w:tcPr>
                  <w:tcW w:w="347" w:type="pct"/>
                  <w:tcBorders>
                    <w:left w:val="single" w:color="auto" w:sz="4" w:space="0"/>
                  </w:tcBorders>
                  <w:shd w:val="clear" w:color="auto" w:fill="auto"/>
                  <w:vAlign w:val="center"/>
                </w:tcPr>
                <w:p w14:paraId="4E18519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50</w:t>
                  </w:r>
                </w:p>
              </w:tc>
            </w:tr>
            <w:tr w14:paraId="0BE0417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1A9BC832">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3</w:t>
                  </w:r>
                </w:p>
              </w:tc>
              <w:tc>
                <w:tcPr>
                  <w:tcW w:w="314" w:type="pct"/>
                  <w:vMerge w:val="continue"/>
                  <w:vAlign w:val="center"/>
                </w:tcPr>
                <w:p w14:paraId="51809EDB">
                  <w:pPr>
                    <w:jc w:val="center"/>
                    <w:rPr>
                      <w:bCs/>
                      <w:color w:val="000000" w:themeColor="text1"/>
                      <w:szCs w:val="21"/>
                      <w14:textFill>
                        <w14:solidFill>
                          <w14:schemeClr w14:val="tx1"/>
                        </w14:solidFill>
                      </w14:textFill>
                    </w:rPr>
                  </w:pPr>
                </w:p>
              </w:tc>
              <w:tc>
                <w:tcPr>
                  <w:tcW w:w="1490" w:type="pct"/>
                  <w:shd w:val="clear" w:color="auto" w:fill="auto"/>
                  <w:vAlign w:val="center"/>
                </w:tcPr>
                <w:p w14:paraId="268B746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丢糟渗滤液</w:t>
                  </w:r>
                </w:p>
              </w:tc>
              <w:tc>
                <w:tcPr>
                  <w:tcW w:w="643" w:type="pct"/>
                  <w:shd w:val="clear" w:color="auto" w:fill="auto"/>
                  <w:vAlign w:val="center"/>
                </w:tcPr>
                <w:p w14:paraId="09A3396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0.101</w:t>
                  </w:r>
                </w:p>
              </w:tc>
              <w:tc>
                <w:tcPr>
                  <w:tcW w:w="438" w:type="pct"/>
                  <w:shd w:val="clear" w:color="auto" w:fill="auto"/>
                  <w:vAlign w:val="center"/>
                </w:tcPr>
                <w:p w14:paraId="4E36BE1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12000</w:t>
                  </w:r>
                </w:p>
              </w:tc>
              <w:tc>
                <w:tcPr>
                  <w:tcW w:w="381" w:type="pct"/>
                  <w:shd w:val="clear" w:color="auto" w:fill="auto"/>
                  <w:vAlign w:val="center"/>
                </w:tcPr>
                <w:p w14:paraId="1F2A787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8500</w:t>
                  </w:r>
                </w:p>
              </w:tc>
              <w:tc>
                <w:tcPr>
                  <w:tcW w:w="436" w:type="pct"/>
                  <w:shd w:val="clear" w:color="auto" w:fill="auto"/>
                  <w:vAlign w:val="center"/>
                </w:tcPr>
                <w:p w14:paraId="0D4BD02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3000</w:t>
                  </w:r>
                </w:p>
              </w:tc>
              <w:tc>
                <w:tcPr>
                  <w:tcW w:w="377" w:type="pct"/>
                  <w:tcBorders>
                    <w:right w:val="single" w:color="auto" w:sz="4" w:space="0"/>
                  </w:tcBorders>
                  <w:shd w:val="clear" w:color="auto" w:fill="auto"/>
                  <w:vAlign w:val="center"/>
                </w:tcPr>
                <w:p w14:paraId="2E12053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377" w:type="pct"/>
                  <w:tcBorders>
                    <w:left w:val="single" w:color="auto" w:sz="4" w:space="0"/>
                  </w:tcBorders>
                  <w:shd w:val="clear" w:color="auto" w:fill="auto"/>
                  <w:vAlign w:val="center"/>
                </w:tcPr>
                <w:p w14:paraId="24445D7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w:t>
                  </w:r>
                </w:p>
              </w:tc>
              <w:tc>
                <w:tcPr>
                  <w:tcW w:w="347" w:type="pct"/>
                  <w:tcBorders>
                    <w:left w:val="single" w:color="auto" w:sz="4" w:space="0"/>
                  </w:tcBorders>
                  <w:shd w:val="clear" w:color="auto" w:fill="auto"/>
                  <w:vAlign w:val="center"/>
                </w:tcPr>
                <w:p w14:paraId="63A25CE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110</w:t>
                  </w:r>
                </w:p>
              </w:tc>
            </w:tr>
            <w:tr w14:paraId="3116571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146F02F4">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4</w:t>
                  </w:r>
                </w:p>
              </w:tc>
              <w:tc>
                <w:tcPr>
                  <w:tcW w:w="314" w:type="pct"/>
                  <w:vMerge w:val="continue"/>
                  <w:vAlign w:val="center"/>
                </w:tcPr>
                <w:p w14:paraId="0EE85513">
                  <w:pPr>
                    <w:jc w:val="center"/>
                    <w:rPr>
                      <w:bCs/>
                      <w:color w:val="000000" w:themeColor="text1"/>
                      <w:szCs w:val="21"/>
                      <w14:textFill>
                        <w14:solidFill>
                          <w14:schemeClr w14:val="tx1"/>
                        </w14:solidFill>
                      </w14:textFill>
                    </w:rPr>
                  </w:pPr>
                </w:p>
              </w:tc>
              <w:tc>
                <w:tcPr>
                  <w:tcW w:w="1490" w:type="pct"/>
                  <w:shd w:val="clear" w:color="auto" w:fill="auto"/>
                  <w:vAlign w:val="center"/>
                </w:tcPr>
                <w:p w14:paraId="5E1234B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其他酿造废水</w:t>
                  </w:r>
                </w:p>
              </w:tc>
              <w:tc>
                <w:tcPr>
                  <w:tcW w:w="643" w:type="pct"/>
                  <w:shd w:val="clear" w:color="auto" w:fill="auto"/>
                  <w:vAlign w:val="center"/>
                </w:tcPr>
                <w:p w14:paraId="2666EF80">
                  <w:pPr>
                    <w:jc w:val="center"/>
                    <w:rPr>
                      <w:rFonts w:eastAsia="Time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1.126</w:t>
                  </w:r>
                </w:p>
              </w:tc>
              <w:tc>
                <w:tcPr>
                  <w:tcW w:w="438" w:type="pct"/>
                  <w:shd w:val="clear" w:color="auto" w:fill="auto"/>
                  <w:vAlign w:val="center"/>
                </w:tcPr>
                <w:p w14:paraId="2D70BEE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5000</w:t>
                  </w:r>
                </w:p>
              </w:tc>
              <w:tc>
                <w:tcPr>
                  <w:tcW w:w="381" w:type="pct"/>
                  <w:shd w:val="clear" w:color="auto" w:fill="auto"/>
                  <w:vAlign w:val="center"/>
                </w:tcPr>
                <w:p w14:paraId="131647F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2600</w:t>
                  </w:r>
                </w:p>
              </w:tc>
              <w:tc>
                <w:tcPr>
                  <w:tcW w:w="436" w:type="pct"/>
                  <w:shd w:val="clear" w:color="auto" w:fill="auto"/>
                  <w:vAlign w:val="center"/>
                </w:tcPr>
                <w:p w14:paraId="6A5E84C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3500</w:t>
                  </w:r>
                </w:p>
              </w:tc>
              <w:tc>
                <w:tcPr>
                  <w:tcW w:w="377" w:type="pct"/>
                  <w:tcBorders>
                    <w:right w:val="single" w:color="auto" w:sz="4" w:space="0"/>
                  </w:tcBorders>
                  <w:shd w:val="clear" w:color="auto" w:fill="auto"/>
                  <w:vAlign w:val="center"/>
                </w:tcPr>
                <w:p w14:paraId="6B6E9B4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130</w:t>
                  </w:r>
                </w:p>
              </w:tc>
              <w:tc>
                <w:tcPr>
                  <w:tcW w:w="377" w:type="pct"/>
                  <w:tcBorders>
                    <w:left w:val="single" w:color="auto" w:sz="4" w:space="0"/>
                  </w:tcBorders>
                  <w:shd w:val="clear" w:color="auto" w:fill="auto"/>
                  <w:vAlign w:val="center"/>
                </w:tcPr>
                <w:p w14:paraId="760E53C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210</w:t>
                  </w:r>
                </w:p>
              </w:tc>
              <w:tc>
                <w:tcPr>
                  <w:tcW w:w="347" w:type="pct"/>
                  <w:tcBorders>
                    <w:left w:val="single" w:color="auto" w:sz="4" w:space="0"/>
                  </w:tcBorders>
                  <w:shd w:val="clear" w:color="auto" w:fill="auto"/>
                  <w:vAlign w:val="center"/>
                </w:tcPr>
                <w:p w14:paraId="06FB899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75</w:t>
                  </w:r>
                </w:p>
              </w:tc>
            </w:tr>
            <w:tr w14:paraId="0D968D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Ex>
              <w:trPr>
                <w:trHeight w:val="454" w:hRule="atLeast"/>
                <w:jc w:val="center"/>
              </w:trPr>
              <w:tc>
                <w:tcPr>
                  <w:tcW w:w="193" w:type="pct"/>
                  <w:tcBorders>
                    <w:top w:val="single" w:color="auto" w:sz="4" w:space="0"/>
                  </w:tcBorders>
                  <w:vAlign w:val="center"/>
                </w:tcPr>
                <w:p w14:paraId="128BAD1C">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5</w:t>
                  </w:r>
                </w:p>
              </w:tc>
              <w:tc>
                <w:tcPr>
                  <w:tcW w:w="314" w:type="pct"/>
                  <w:vMerge w:val="continue"/>
                  <w:vAlign w:val="center"/>
                </w:tcPr>
                <w:p w14:paraId="6F4B033A">
                  <w:pPr>
                    <w:jc w:val="center"/>
                    <w:rPr>
                      <w:bCs/>
                      <w:color w:val="000000" w:themeColor="text1"/>
                      <w:szCs w:val="21"/>
                      <w14:textFill>
                        <w14:solidFill>
                          <w14:schemeClr w14:val="tx1"/>
                        </w14:solidFill>
                      </w14:textFill>
                    </w:rPr>
                  </w:pPr>
                </w:p>
              </w:tc>
              <w:tc>
                <w:tcPr>
                  <w:tcW w:w="1490" w:type="pct"/>
                  <w:shd w:val="clear" w:color="auto" w:fill="auto"/>
                  <w:vAlign w:val="center"/>
                </w:tcPr>
                <w:p w14:paraId="4195401E">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晾床</w:t>
                  </w:r>
                  <w:r>
                    <w:rPr>
                      <w:color w:val="000000" w:themeColor="text1"/>
                      <w:szCs w:val="21"/>
                      <w14:textFill>
                        <w14:solidFill>
                          <w14:schemeClr w14:val="tx1"/>
                        </w14:solidFill>
                      </w14:textFill>
                    </w:rPr>
                    <w:t>、</w:t>
                  </w:r>
                  <w:r>
                    <w:rPr>
                      <w:bCs/>
                      <w:color w:val="000000" w:themeColor="text1"/>
                      <w:szCs w:val="21"/>
                      <w14:textFill>
                        <w14:solidFill>
                          <w14:schemeClr w14:val="tx1"/>
                        </w14:solidFill>
                      </w14:textFill>
                    </w:rPr>
                    <w:t>过滤机</w:t>
                  </w:r>
                  <w:r>
                    <w:rPr>
                      <w:rFonts w:hint="eastAsia"/>
                      <w:bCs/>
                      <w:color w:val="000000" w:themeColor="text1"/>
                      <w:szCs w:val="21"/>
                      <w14:textFill>
                        <w14:solidFill>
                          <w14:schemeClr w14:val="tx1"/>
                        </w14:solidFill>
                      </w14:textFill>
                    </w:rPr>
                    <w:t>及灌装线</w:t>
                  </w:r>
                  <w:r>
                    <w:rPr>
                      <w:color w:val="000000" w:themeColor="text1"/>
                      <w:szCs w:val="21"/>
                      <w14:textFill>
                        <w14:solidFill>
                          <w14:schemeClr w14:val="tx1"/>
                        </w14:solidFill>
                      </w14:textFill>
                    </w:rPr>
                    <w:t>清洗废水</w:t>
                  </w:r>
                </w:p>
              </w:tc>
              <w:tc>
                <w:tcPr>
                  <w:tcW w:w="643" w:type="pct"/>
                  <w:shd w:val="clear" w:color="auto" w:fill="auto"/>
                  <w:vAlign w:val="center"/>
                </w:tcPr>
                <w:p w14:paraId="6588D97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0.069</w:t>
                  </w:r>
                </w:p>
              </w:tc>
              <w:tc>
                <w:tcPr>
                  <w:tcW w:w="438" w:type="pct"/>
                  <w:shd w:val="clear" w:color="auto" w:fill="auto"/>
                  <w:vAlign w:val="center"/>
                </w:tcPr>
                <w:p w14:paraId="4F062EB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4000</w:t>
                  </w:r>
                </w:p>
              </w:tc>
              <w:tc>
                <w:tcPr>
                  <w:tcW w:w="381" w:type="pct"/>
                  <w:shd w:val="clear" w:color="auto" w:fill="auto"/>
                  <w:vAlign w:val="center"/>
                </w:tcPr>
                <w:p w14:paraId="2CB4A6E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600</w:t>
                  </w:r>
                </w:p>
              </w:tc>
              <w:tc>
                <w:tcPr>
                  <w:tcW w:w="436" w:type="pct"/>
                  <w:shd w:val="clear" w:color="auto" w:fill="auto"/>
                  <w:vAlign w:val="center"/>
                </w:tcPr>
                <w:p w14:paraId="405BBCD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2000</w:t>
                  </w:r>
                </w:p>
              </w:tc>
              <w:tc>
                <w:tcPr>
                  <w:tcW w:w="377" w:type="pct"/>
                  <w:tcBorders>
                    <w:right w:val="single" w:color="auto" w:sz="4" w:space="0"/>
                  </w:tcBorders>
                  <w:shd w:val="clear" w:color="auto" w:fill="auto"/>
                  <w:vAlign w:val="center"/>
                </w:tcPr>
                <w:p w14:paraId="6E9113C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100</w:t>
                  </w:r>
                </w:p>
              </w:tc>
              <w:tc>
                <w:tcPr>
                  <w:tcW w:w="377" w:type="pct"/>
                  <w:tcBorders>
                    <w:left w:val="single" w:color="auto" w:sz="4" w:space="0"/>
                  </w:tcBorders>
                  <w:shd w:val="clear" w:color="auto" w:fill="auto"/>
                  <w:vAlign w:val="center"/>
                </w:tcPr>
                <w:p w14:paraId="739C4D1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w:t>
                  </w:r>
                </w:p>
              </w:tc>
              <w:tc>
                <w:tcPr>
                  <w:tcW w:w="347" w:type="pct"/>
                  <w:tcBorders>
                    <w:left w:val="single" w:color="auto" w:sz="4" w:space="0"/>
                  </w:tcBorders>
                  <w:shd w:val="clear" w:color="auto" w:fill="auto"/>
                  <w:vAlign w:val="center"/>
                </w:tcPr>
                <w:p w14:paraId="4BD6CB9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w:t>
                  </w:r>
                </w:p>
              </w:tc>
            </w:tr>
            <w:tr w14:paraId="3F3D1B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5C08FB6B">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6</w:t>
                  </w:r>
                </w:p>
              </w:tc>
              <w:tc>
                <w:tcPr>
                  <w:tcW w:w="314" w:type="pct"/>
                  <w:vMerge w:val="continue"/>
                  <w:vAlign w:val="center"/>
                </w:tcPr>
                <w:p w14:paraId="65603507">
                  <w:pPr>
                    <w:jc w:val="center"/>
                    <w:rPr>
                      <w:bCs/>
                      <w:color w:val="000000" w:themeColor="text1"/>
                      <w:szCs w:val="21"/>
                      <w14:textFill>
                        <w14:solidFill>
                          <w14:schemeClr w14:val="tx1"/>
                        </w14:solidFill>
                      </w14:textFill>
                    </w:rPr>
                  </w:pPr>
                </w:p>
              </w:tc>
              <w:tc>
                <w:tcPr>
                  <w:tcW w:w="1490" w:type="pct"/>
                  <w:shd w:val="clear" w:color="auto" w:fill="auto"/>
                  <w:vAlign w:val="center"/>
                </w:tcPr>
                <w:p w14:paraId="5E7ADEC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锅底水</w:t>
                  </w:r>
                </w:p>
              </w:tc>
              <w:tc>
                <w:tcPr>
                  <w:tcW w:w="643" w:type="pct"/>
                  <w:shd w:val="clear" w:color="auto" w:fill="auto"/>
                  <w:vAlign w:val="center"/>
                </w:tcPr>
                <w:p w14:paraId="28522FB0">
                  <w:pPr>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0.</w:t>
                  </w:r>
                  <w:r>
                    <w:rPr>
                      <w:rFonts w:hint="eastAsia"/>
                      <w:color w:val="000000" w:themeColor="text1"/>
                      <w:kern w:val="0"/>
                      <w:szCs w:val="21"/>
                      <w14:textFill>
                        <w14:solidFill>
                          <w14:schemeClr w14:val="tx1"/>
                        </w14:solidFill>
                      </w14:textFill>
                    </w:rPr>
                    <w:t>064</w:t>
                  </w:r>
                </w:p>
              </w:tc>
              <w:tc>
                <w:tcPr>
                  <w:tcW w:w="438" w:type="pct"/>
                  <w:shd w:val="clear" w:color="auto" w:fill="auto"/>
                  <w:vAlign w:val="center"/>
                </w:tcPr>
                <w:p w14:paraId="7AA6386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12000</w:t>
                  </w:r>
                </w:p>
              </w:tc>
              <w:tc>
                <w:tcPr>
                  <w:tcW w:w="381" w:type="pct"/>
                  <w:shd w:val="clear" w:color="auto" w:fill="auto"/>
                  <w:vAlign w:val="center"/>
                </w:tcPr>
                <w:p w14:paraId="413A4F2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8500</w:t>
                  </w:r>
                </w:p>
              </w:tc>
              <w:tc>
                <w:tcPr>
                  <w:tcW w:w="436" w:type="pct"/>
                  <w:shd w:val="clear" w:color="auto" w:fill="auto"/>
                  <w:vAlign w:val="center"/>
                </w:tcPr>
                <w:p w14:paraId="52BB906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3000</w:t>
                  </w:r>
                </w:p>
              </w:tc>
              <w:tc>
                <w:tcPr>
                  <w:tcW w:w="377" w:type="pct"/>
                  <w:tcBorders>
                    <w:right w:val="single" w:color="auto" w:sz="4" w:space="0"/>
                  </w:tcBorders>
                  <w:shd w:val="clear" w:color="auto" w:fill="auto"/>
                  <w:vAlign w:val="center"/>
                </w:tcPr>
                <w:p w14:paraId="24F9DA6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377" w:type="pct"/>
                  <w:tcBorders>
                    <w:left w:val="single" w:color="auto" w:sz="4" w:space="0"/>
                  </w:tcBorders>
                  <w:shd w:val="clear" w:color="auto" w:fill="auto"/>
                  <w:vAlign w:val="center"/>
                </w:tcPr>
                <w:p w14:paraId="51D624E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w:t>
                  </w:r>
                </w:p>
              </w:tc>
              <w:tc>
                <w:tcPr>
                  <w:tcW w:w="347" w:type="pct"/>
                  <w:tcBorders>
                    <w:left w:val="single" w:color="auto" w:sz="4" w:space="0"/>
                  </w:tcBorders>
                  <w:shd w:val="clear" w:color="auto" w:fill="auto"/>
                  <w:vAlign w:val="center"/>
                </w:tcPr>
                <w:p w14:paraId="1DC3B29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130</w:t>
                  </w:r>
                </w:p>
              </w:tc>
            </w:tr>
            <w:tr w14:paraId="7CAF6C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6E3B30E2">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7</w:t>
                  </w:r>
                </w:p>
              </w:tc>
              <w:tc>
                <w:tcPr>
                  <w:tcW w:w="314" w:type="pct"/>
                  <w:vMerge w:val="continue"/>
                  <w:vAlign w:val="center"/>
                </w:tcPr>
                <w:p w14:paraId="5A6FAED2">
                  <w:pPr>
                    <w:jc w:val="center"/>
                    <w:rPr>
                      <w:bCs/>
                      <w:color w:val="000000" w:themeColor="text1"/>
                      <w:szCs w:val="21"/>
                      <w14:textFill>
                        <w14:solidFill>
                          <w14:schemeClr w14:val="tx1"/>
                        </w14:solidFill>
                      </w14:textFill>
                    </w:rPr>
                  </w:pPr>
                </w:p>
              </w:tc>
              <w:tc>
                <w:tcPr>
                  <w:tcW w:w="1490" w:type="pct"/>
                  <w:shd w:val="clear" w:color="auto" w:fill="auto"/>
                  <w:vAlign w:val="center"/>
                </w:tcPr>
                <w:p w14:paraId="6DEC15E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冷却废水</w:t>
                  </w:r>
                </w:p>
              </w:tc>
              <w:tc>
                <w:tcPr>
                  <w:tcW w:w="643" w:type="pct"/>
                  <w:shd w:val="clear" w:color="auto" w:fill="auto"/>
                  <w:vAlign w:val="center"/>
                </w:tcPr>
                <w:p w14:paraId="58C6FB6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0.255</w:t>
                  </w:r>
                </w:p>
              </w:tc>
              <w:tc>
                <w:tcPr>
                  <w:tcW w:w="438" w:type="pct"/>
                  <w:shd w:val="clear" w:color="auto" w:fill="auto"/>
                  <w:vAlign w:val="center"/>
                </w:tcPr>
                <w:p w14:paraId="7B52B22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81" w:type="pct"/>
                  <w:shd w:val="clear" w:color="auto" w:fill="auto"/>
                  <w:vAlign w:val="center"/>
                </w:tcPr>
                <w:p w14:paraId="5317EE3E">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36" w:type="pct"/>
                  <w:shd w:val="clear" w:color="auto" w:fill="auto"/>
                  <w:vAlign w:val="center"/>
                </w:tcPr>
                <w:p w14:paraId="4DB3813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w:t>
                  </w:r>
                </w:p>
              </w:tc>
              <w:tc>
                <w:tcPr>
                  <w:tcW w:w="377" w:type="pct"/>
                  <w:tcBorders>
                    <w:right w:val="single" w:color="auto" w:sz="4" w:space="0"/>
                  </w:tcBorders>
                  <w:shd w:val="clear" w:color="auto" w:fill="auto"/>
                  <w:vAlign w:val="center"/>
                </w:tcPr>
                <w:p w14:paraId="6260FED1">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6AB86E70">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6A182F8C">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65162F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01788235">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8</w:t>
                  </w:r>
                </w:p>
              </w:tc>
              <w:tc>
                <w:tcPr>
                  <w:tcW w:w="314" w:type="pct"/>
                  <w:vMerge w:val="continue"/>
                  <w:vAlign w:val="center"/>
                </w:tcPr>
                <w:p w14:paraId="0A566C97">
                  <w:pPr>
                    <w:jc w:val="center"/>
                    <w:rPr>
                      <w:bCs/>
                      <w:color w:val="000000" w:themeColor="text1"/>
                      <w:szCs w:val="21"/>
                      <w14:textFill>
                        <w14:solidFill>
                          <w14:schemeClr w14:val="tx1"/>
                        </w14:solidFill>
                      </w14:textFill>
                    </w:rPr>
                  </w:pPr>
                </w:p>
              </w:tc>
              <w:tc>
                <w:tcPr>
                  <w:tcW w:w="1490" w:type="pct"/>
                  <w:shd w:val="clear" w:color="auto" w:fill="auto"/>
                  <w:vAlign w:val="center"/>
                </w:tcPr>
                <w:p w14:paraId="272BACB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洗瓶废水</w:t>
                  </w:r>
                </w:p>
              </w:tc>
              <w:tc>
                <w:tcPr>
                  <w:tcW w:w="643" w:type="pct"/>
                  <w:shd w:val="clear" w:color="auto" w:fill="auto"/>
                  <w:vAlign w:val="center"/>
                </w:tcPr>
                <w:p w14:paraId="544735F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0.341</w:t>
                  </w:r>
                </w:p>
              </w:tc>
              <w:tc>
                <w:tcPr>
                  <w:tcW w:w="438" w:type="pct"/>
                  <w:shd w:val="clear" w:color="auto" w:fill="auto"/>
                  <w:vAlign w:val="center"/>
                </w:tcPr>
                <w:p w14:paraId="464E515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105</w:t>
                  </w:r>
                </w:p>
              </w:tc>
              <w:tc>
                <w:tcPr>
                  <w:tcW w:w="381" w:type="pct"/>
                  <w:shd w:val="clear" w:color="auto" w:fill="auto"/>
                  <w:vAlign w:val="center"/>
                </w:tcPr>
                <w:p w14:paraId="41BF08C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w:t>
                  </w:r>
                </w:p>
              </w:tc>
              <w:tc>
                <w:tcPr>
                  <w:tcW w:w="436" w:type="pct"/>
                  <w:shd w:val="clear" w:color="auto" w:fill="auto"/>
                  <w:vAlign w:val="center"/>
                </w:tcPr>
                <w:p w14:paraId="556F969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w:t>
                  </w:r>
                </w:p>
              </w:tc>
              <w:tc>
                <w:tcPr>
                  <w:tcW w:w="377" w:type="pct"/>
                  <w:tcBorders>
                    <w:right w:val="single" w:color="auto" w:sz="4" w:space="0"/>
                  </w:tcBorders>
                  <w:shd w:val="clear" w:color="auto" w:fill="auto"/>
                  <w:vAlign w:val="center"/>
                </w:tcPr>
                <w:p w14:paraId="5069E4F3">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475B5C4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3B1D6DE3">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6C3DAF4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684658DE">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9</w:t>
                  </w:r>
                </w:p>
              </w:tc>
              <w:tc>
                <w:tcPr>
                  <w:tcW w:w="314" w:type="pct"/>
                  <w:vMerge w:val="restart"/>
                  <w:shd w:val="clear" w:color="auto" w:fill="auto"/>
                  <w:vAlign w:val="center"/>
                </w:tcPr>
                <w:p w14:paraId="47D348C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黄酒生产线</w:t>
                  </w:r>
                </w:p>
              </w:tc>
              <w:tc>
                <w:tcPr>
                  <w:tcW w:w="1490" w:type="pct"/>
                  <w:shd w:val="clear" w:color="auto" w:fill="auto"/>
                  <w:vAlign w:val="center"/>
                </w:tcPr>
                <w:p w14:paraId="08EDE13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浸米缸清洗废水</w:t>
                  </w:r>
                </w:p>
              </w:tc>
              <w:tc>
                <w:tcPr>
                  <w:tcW w:w="643" w:type="pct"/>
                  <w:shd w:val="clear" w:color="auto" w:fill="auto"/>
                  <w:vAlign w:val="center"/>
                </w:tcPr>
                <w:p w14:paraId="5061E1B9">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0.03</w:t>
                  </w:r>
                </w:p>
              </w:tc>
              <w:tc>
                <w:tcPr>
                  <w:tcW w:w="438" w:type="pct"/>
                  <w:shd w:val="clear" w:color="auto" w:fill="auto"/>
                  <w:vAlign w:val="center"/>
                </w:tcPr>
                <w:p w14:paraId="2DD1BEC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500</w:t>
                  </w:r>
                </w:p>
              </w:tc>
              <w:tc>
                <w:tcPr>
                  <w:tcW w:w="381" w:type="pct"/>
                  <w:shd w:val="clear" w:color="auto" w:fill="auto"/>
                  <w:vAlign w:val="center"/>
                </w:tcPr>
                <w:p w14:paraId="6CCED62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350</w:t>
                  </w:r>
                </w:p>
              </w:tc>
              <w:tc>
                <w:tcPr>
                  <w:tcW w:w="436" w:type="pct"/>
                  <w:shd w:val="clear" w:color="auto" w:fill="auto"/>
                  <w:vAlign w:val="center"/>
                </w:tcPr>
                <w:p w14:paraId="59609B8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377" w:type="pct"/>
                  <w:tcBorders>
                    <w:right w:val="single" w:color="auto" w:sz="4" w:space="0"/>
                  </w:tcBorders>
                  <w:shd w:val="clear" w:color="auto" w:fill="auto"/>
                  <w:vAlign w:val="center"/>
                </w:tcPr>
                <w:p w14:paraId="7B985CF3">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14A1E50F">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1F11B1BF">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250EBD7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4B385DD2">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10</w:t>
                  </w:r>
                </w:p>
              </w:tc>
              <w:tc>
                <w:tcPr>
                  <w:tcW w:w="314" w:type="pct"/>
                  <w:vMerge w:val="continue"/>
                  <w:vAlign w:val="center"/>
                </w:tcPr>
                <w:p w14:paraId="6655F8D7">
                  <w:pPr>
                    <w:jc w:val="center"/>
                    <w:rPr>
                      <w:bCs/>
                      <w:color w:val="000000" w:themeColor="text1"/>
                      <w:szCs w:val="21"/>
                      <w14:textFill>
                        <w14:solidFill>
                          <w14:schemeClr w14:val="tx1"/>
                        </w14:solidFill>
                      </w14:textFill>
                    </w:rPr>
                  </w:pPr>
                </w:p>
              </w:tc>
              <w:tc>
                <w:tcPr>
                  <w:tcW w:w="1490" w:type="pct"/>
                  <w:shd w:val="clear" w:color="auto" w:fill="auto"/>
                  <w:vAlign w:val="center"/>
                </w:tcPr>
                <w:p w14:paraId="7CD61DC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前发酵缸清洗废水</w:t>
                  </w:r>
                </w:p>
              </w:tc>
              <w:tc>
                <w:tcPr>
                  <w:tcW w:w="643" w:type="pct"/>
                  <w:shd w:val="clear" w:color="auto" w:fill="auto"/>
                  <w:vAlign w:val="center"/>
                </w:tcPr>
                <w:p w14:paraId="54B4B403">
                  <w:pPr>
                    <w:widowControl/>
                    <w:spacing w:line="360" w:lineRule="auto"/>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w:t>
                  </w:r>
                  <w:r>
                    <w:rPr>
                      <w:rFonts w:hint="eastAsia"/>
                      <w:color w:val="000000" w:themeColor="text1"/>
                      <w:szCs w:val="21"/>
                      <w14:textFill>
                        <w14:solidFill>
                          <w14:schemeClr w14:val="tx1"/>
                        </w14:solidFill>
                      </w14:textFill>
                    </w:rPr>
                    <w:t>26</w:t>
                  </w:r>
                </w:p>
              </w:tc>
              <w:tc>
                <w:tcPr>
                  <w:tcW w:w="438" w:type="pct"/>
                  <w:shd w:val="clear" w:color="auto" w:fill="auto"/>
                  <w:vAlign w:val="center"/>
                </w:tcPr>
                <w:p w14:paraId="183A375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850</w:t>
                  </w:r>
                </w:p>
              </w:tc>
              <w:tc>
                <w:tcPr>
                  <w:tcW w:w="381" w:type="pct"/>
                  <w:shd w:val="clear" w:color="auto" w:fill="auto"/>
                  <w:vAlign w:val="center"/>
                </w:tcPr>
                <w:p w14:paraId="4114AF0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520</w:t>
                  </w:r>
                </w:p>
              </w:tc>
              <w:tc>
                <w:tcPr>
                  <w:tcW w:w="436" w:type="pct"/>
                  <w:shd w:val="clear" w:color="auto" w:fill="auto"/>
                  <w:vAlign w:val="center"/>
                </w:tcPr>
                <w:p w14:paraId="355A986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220</w:t>
                  </w:r>
                </w:p>
              </w:tc>
              <w:tc>
                <w:tcPr>
                  <w:tcW w:w="377" w:type="pct"/>
                  <w:tcBorders>
                    <w:right w:val="single" w:color="auto" w:sz="4" w:space="0"/>
                  </w:tcBorders>
                  <w:shd w:val="clear" w:color="auto" w:fill="auto"/>
                  <w:vAlign w:val="center"/>
                </w:tcPr>
                <w:p w14:paraId="7009160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0F0D1A2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2A9E5CF1">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1BBEB22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39AEB1A7">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11</w:t>
                  </w:r>
                </w:p>
              </w:tc>
              <w:tc>
                <w:tcPr>
                  <w:tcW w:w="314" w:type="pct"/>
                  <w:vMerge w:val="continue"/>
                  <w:vAlign w:val="center"/>
                </w:tcPr>
                <w:p w14:paraId="5482A756">
                  <w:pPr>
                    <w:jc w:val="center"/>
                    <w:rPr>
                      <w:bCs/>
                      <w:color w:val="000000" w:themeColor="text1"/>
                      <w:szCs w:val="21"/>
                      <w14:textFill>
                        <w14:solidFill>
                          <w14:schemeClr w14:val="tx1"/>
                        </w14:solidFill>
                      </w14:textFill>
                    </w:rPr>
                  </w:pPr>
                </w:p>
              </w:tc>
              <w:tc>
                <w:tcPr>
                  <w:tcW w:w="1490" w:type="pct"/>
                  <w:shd w:val="clear" w:color="auto" w:fill="auto"/>
                  <w:vAlign w:val="center"/>
                </w:tcPr>
                <w:p w14:paraId="42ACEBA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后发酵缸清洗废水</w:t>
                  </w:r>
                </w:p>
              </w:tc>
              <w:tc>
                <w:tcPr>
                  <w:tcW w:w="643" w:type="pct"/>
                  <w:shd w:val="clear" w:color="auto" w:fill="auto"/>
                  <w:vAlign w:val="center"/>
                </w:tcPr>
                <w:p w14:paraId="5DB4854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0.0</w:t>
                  </w:r>
                  <w:r>
                    <w:rPr>
                      <w:rFonts w:hint="eastAsia"/>
                      <w:color w:val="000000" w:themeColor="text1"/>
                      <w:szCs w:val="21"/>
                      <w14:textFill>
                        <w14:solidFill>
                          <w14:schemeClr w14:val="tx1"/>
                        </w14:solidFill>
                      </w14:textFill>
                    </w:rPr>
                    <w:t>26</w:t>
                  </w:r>
                </w:p>
              </w:tc>
              <w:tc>
                <w:tcPr>
                  <w:tcW w:w="438" w:type="pct"/>
                  <w:shd w:val="clear" w:color="auto" w:fill="auto"/>
                  <w:vAlign w:val="center"/>
                </w:tcPr>
                <w:p w14:paraId="3265B77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250</w:t>
                  </w:r>
                </w:p>
              </w:tc>
              <w:tc>
                <w:tcPr>
                  <w:tcW w:w="381" w:type="pct"/>
                  <w:shd w:val="clear" w:color="auto" w:fill="auto"/>
                  <w:vAlign w:val="center"/>
                </w:tcPr>
                <w:p w14:paraId="551A984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w:t>
                  </w:r>
                </w:p>
              </w:tc>
              <w:tc>
                <w:tcPr>
                  <w:tcW w:w="436" w:type="pct"/>
                  <w:shd w:val="clear" w:color="auto" w:fill="auto"/>
                  <w:vAlign w:val="center"/>
                </w:tcPr>
                <w:p w14:paraId="196032F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60</w:t>
                  </w:r>
                </w:p>
              </w:tc>
              <w:tc>
                <w:tcPr>
                  <w:tcW w:w="377" w:type="pct"/>
                  <w:tcBorders>
                    <w:right w:val="single" w:color="auto" w:sz="4" w:space="0"/>
                  </w:tcBorders>
                  <w:shd w:val="clear" w:color="auto" w:fill="auto"/>
                  <w:vAlign w:val="center"/>
                </w:tcPr>
                <w:p w14:paraId="408EC9E2">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0BCD3B5B">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7F011015">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5CD65C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79D78910">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12</w:t>
                  </w:r>
                </w:p>
              </w:tc>
              <w:tc>
                <w:tcPr>
                  <w:tcW w:w="314" w:type="pct"/>
                  <w:vMerge w:val="continue"/>
                  <w:vAlign w:val="center"/>
                </w:tcPr>
                <w:p w14:paraId="5F3F8885">
                  <w:pPr>
                    <w:jc w:val="center"/>
                    <w:rPr>
                      <w:bCs/>
                      <w:color w:val="000000" w:themeColor="text1"/>
                      <w:szCs w:val="21"/>
                      <w14:textFill>
                        <w14:solidFill>
                          <w14:schemeClr w14:val="tx1"/>
                        </w14:solidFill>
                      </w14:textFill>
                    </w:rPr>
                  </w:pPr>
                </w:p>
              </w:tc>
              <w:tc>
                <w:tcPr>
                  <w:tcW w:w="1490" w:type="pct"/>
                  <w:shd w:val="clear" w:color="auto" w:fill="auto"/>
                  <w:vAlign w:val="center"/>
                </w:tcPr>
                <w:p w14:paraId="066C5D2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压滤机滤布清洗废水</w:t>
                  </w:r>
                </w:p>
              </w:tc>
              <w:tc>
                <w:tcPr>
                  <w:tcW w:w="643" w:type="pct"/>
                  <w:shd w:val="clear" w:color="auto" w:fill="auto"/>
                  <w:vAlign w:val="center"/>
                </w:tcPr>
                <w:p w14:paraId="08DA0251">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0.018</w:t>
                  </w:r>
                </w:p>
              </w:tc>
              <w:tc>
                <w:tcPr>
                  <w:tcW w:w="438" w:type="pct"/>
                  <w:shd w:val="clear" w:color="auto" w:fill="auto"/>
                  <w:vAlign w:val="center"/>
                </w:tcPr>
                <w:p w14:paraId="713328C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2500</w:t>
                  </w:r>
                </w:p>
              </w:tc>
              <w:tc>
                <w:tcPr>
                  <w:tcW w:w="381" w:type="pct"/>
                  <w:shd w:val="clear" w:color="auto" w:fill="auto"/>
                  <w:vAlign w:val="center"/>
                </w:tcPr>
                <w:p w14:paraId="5055629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1500</w:t>
                  </w:r>
                </w:p>
              </w:tc>
              <w:tc>
                <w:tcPr>
                  <w:tcW w:w="436" w:type="pct"/>
                  <w:shd w:val="clear" w:color="auto" w:fill="auto"/>
                  <w:vAlign w:val="center"/>
                </w:tcPr>
                <w:p w14:paraId="100A5EB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1000</w:t>
                  </w:r>
                </w:p>
              </w:tc>
              <w:tc>
                <w:tcPr>
                  <w:tcW w:w="377" w:type="pct"/>
                  <w:tcBorders>
                    <w:right w:val="single" w:color="auto" w:sz="4" w:space="0"/>
                  </w:tcBorders>
                  <w:shd w:val="clear" w:color="auto" w:fill="auto"/>
                  <w:vAlign w:val="center"/>
                </w:tcPr>
                <w:p w14:paraId="3C562A84">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68183C08">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0553E95E">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4F4B40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5B292895">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13</w:t>
                  </w:r>
                </w:p>
              </w:tc>
              <w:tc>
                <w:tcPr>
                  <w:tcW w:w="314" w:type="pct"/>
                  <w:vMerge w:val="continue"/>
                  <w:vAlign w:val="center"/>
                </w:tcPr>
                <w:p w14:paraId="74719676">
                  <w:pPr>
                    <w:jc w:val="center"/>
                    <w:rPr>
                      <w:bCs/>
                      <w:color w:val="000000" w:themeColor="text1"/>
                      <w:szCs w:val="21"/>
                      <w14:textFill>
                        <w14:solidFill>
                          <w14:schemeClr w14:val="tx1"/>
                        </w14:solidFill>
                      </w14:textFill>
                    </w:rPr>
                  </w:pPr>
                </w:p>
              </w:tc>
              <w:tc>
                <w:tcPr>
                  <w:tcW w:w="1490" w:type="pct"/>
                  <w:shd w:val="clear" w:color="auto" w:fill="auto"/>
                  <w:vAlign w:val="center"/>
                </w:tcPr>
                <w:p w14:paraId="62A33A7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硅藻土过滤机清洗废水</w:t>
                  </w:r>
                </w:p>
              </w:tc>
              <w:tc>
                <w:tcPr>
                  <w:tcW w:w="643" w:type="pct"/>
                  <w:shd w:val="clear" w:color="auto" w:fill="auto"/>
                  <w:vAlign w:val="center"/>
                </w:tcPr>
                <w:p w14:paraId="7326DFF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0.025</w:t>
                  </w:r>
                </w:p>
              </w:tc>
              <w:tc>
                <w:tcPr>
                  <w:tcW w:w="438" w:type="pct"/>
                  <w:shd w:val="clear" w:color="auto" w:fill="auto"/>
                  <w:vAlign w:val="center"/>
                </w:tcPr>
                <w:p w14:paraId="64E16A6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2200</w:t>
                  </w:r>
                </w:p>
              </w:tc>
              <w:tc>
                <w:tcPr>
                  <w:tcW w:w="381" w:type="pct"/>
                  <w:shd w:val="clear" w:color="auto" w:fill="auto"/>
                  <w:vAlign w:val="center"/>
                </w:tcPr>
                <w:p w14:paraId="03A2DBC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800</w:t>
                  </w:r>
                </w:p>
              </w:tc>
              <w:tc>
                <w:tcPr>
                  <w:tcW w:w="436" w:type="pct"/>
                  <w:shd w:val="clear" w:color="auto" w:fill="auto"/>
                  <w:vAlign w:val="center"/>
                </w:tcPr>
                <w:p w14:paraId="435DE04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377" w:type="pct"/>
                  <w:tcBorders>
                    <w:right w:val="single" w:color="auto" w:sz="4" w:space="0"/>
                  </w:tcBorders>
                  <w:shd w:val="clear" w:color="auto" w:fill="auto"/>
                  <w:vAlign w:val="center"/>
                </w:tcPr>
                <w:p w14:paraId="18DF087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43FB3AE0">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2F5581E3">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2405FD3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15706ED2">
                  <w:pPr>
                    <w:jc w:val="center"/>
                    <w:rPr>
                      <w:bCs/>
                      <w:color w:val="000000" w:themeColor="text1"/>
                      <w:szCs w:val="21"/>
                      <w14:textFill>
                        <w14:solidFill>
                          <w14:schemeClr w14:val="tx1"/>
                        </w14:solidFill>
                      </w14:textFill>
                    </w:rPr>
                  </w:pPr>
                </w:p>
              </w:tc>
              <w:tc>
                <w:tcPr>
                  <w:tcW w:w="314" w:type="pct"/>
                  <w:vMerge w:val="continue"/>
                  <w:vAlign w:val="center"/>
                </w:tcPr>
                <w:p w14:paraId="3AE85A16">
                  <w:pPr>
                    <w:jc w:val="center"/>
                    <w:rPr>
                      <w:bCs/>
                      <w:color w:val="000000" w:themeColor="text1"/>
                      <w:szCs w:val="21"/>
                      <w14:textFill>
                        <w14:solidFill>
                          <w14:schemeClr w14:val="tx1"/>
                        </w14:solidFill>
                      </w14:textFill>
                    </w:rPr>
                  </w:pPr>
                </w:p>
              </w:tc>
              <w:tc>
                <w:tcPr>
                  <w:tcW w:w="1490" w:type="pct"/>
                  <w:shd w:val="clear" w:color="auto" w:fill="auto"/>
                  <w:vAlign w:val="center"/>
                </w:tcPr>
                <w:p w14:paraId="016A813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灌装线</w:t>
                  </w:r>
                  <w:r>
                    <w:rPr>
                      <w:color w:val="000000" w:themeColor="text1"/>
                      <w:szCs w:val="21"/>
                      <w14:textFill>
                        <w14:solidFill>
                          <w14:schemeClr w14:val="tx1"/>
                        </w14:solidFill>
                      </w14:textFill>
                    </w:rPr>
                    <w:t>清洗废水</w:t>
                  </w:r>
                </w:p>
              </w:tc>
              <w:tc>
                <w:tcPr>
                  <w:tcW w:w="643" w:type="pct"/>
                  <w:shd w:val="clear" w:color="auto" w:fill="auto"/>
                  <w:vAlign w:val="center"/>
                </w:tcPr>
                <w:p w14:paraId="3D91646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0.051</w:t>
                  </w:r>
                </w:p>
              </w:tc>
              <w:tc>
                <w:tcPr>
                  <w:tcW w:w="438" w:type="pct"/>
                  <w:shd w:val="clear" w:color="auto" w:fill="auto"/>
                  <w:vAlign w:val="center"/>
                </w:tcPr>
                <w:p w14:paraId="3DC76F6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1800</w:t>
                  </w:r>
                </w:p>
              </w:tc>
              <w:tc>
                <w:tcPr>
                  <w:tcW w:w="381" w:type="pct"/>
                  <w:shd w:val="clear" w:color="auto" w:fill="auto"/>
                  <w:vAlign w:val="center"/>
                </w:tcPr>
                <w:p w14:paraId="6F612C3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600</w:t>
                  </w:r>
                </w:p>
              </w:tc>
              <w:tc>
                <w:tcPr>
                  <w:tcW w:w="436" w:type="pct"/>
                  <w:shd w:val="clear" w:color="auto" w:fill="auto"/>
                  <w:vAlign w:val="center"/>
                </w:tcPr>
                <w:p w14:paraId="0E1A54B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377" w:type="pct"/>
                  <w:tcBorders>
                    <w:right w:val="single" w:color="auto" w:sz="4" w:space="0"/>
                  </w:tcBorders>
                  <w:shd w:val="clear" w:color="auto" w:fill="auto"/>
                  <w:vAlign w:val="center"/>
                </w:tcPr>
                <w:p w14:paraId="39BCA734">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7B85A2F8">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454B0BB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2367D1E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04CE448E">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14</w:t>
                  </w:r>
                </w:p>
              </w:tc>
              <w:tc>
                <w:tcPr>
                  <w:tcW w:w="314" w:type="pct"/>
                  <w:vMerge w:val="continue"/>
                  <w:vAlign w:val="center"/>
                </w:tcPr>
                <w:p w14:paraId="4423869E">
                  <w:pPr>
                    <w:jc w:val="center"/>
                    <w:rPr>
                      <w:bCs/>
                      <w:color w:val="000000" w:themeColor="text1"/>
                      <w:szCs w:val="21"/>
                      <w14:textFill>
                        <w14:solidFill>
                          <w14:schemeClr w14:val="tx1"/>
                        </w14:solidFill>
                      </w14:textFill>
                    </w:rPr>
                  </w:pPr>
                </w:p>
              </w:tc>
              <w:tc>
                <w:tcPr>
                  <w:tcW w:w="1490" w:type="pct"/>
                  <w:shd w:val="clear" w:color="auto" w:fill="auto"/>
                  <w:vAlign w:val="center"/>
                </w:tcPr>
                <w:p w14:paraId="44FAF9A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酒糟渗滤液</w:t>
                  </w:r>
                </w:p>
              </w:tc>
              <w:tc>
                <w:tcPr>
                  <w:tcW w:w="643" w:type="pct"/>
                  <w:shd w:val="clear" w:color="auto" w:fill="auto"/>
                  <w:vAlign w:val="center"/>
                </w:tcPr>
                <w:p w14:paraId="2A39803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0.012</w:t>
                  </w:r>
                </w:p>
              </w:tc>
              <w:tc>
                <w:tcPr>
                  <w:tcW w:w="438" w:type="pct"/>
                  <w:shd w:val="clear" w:color="auto" w:fill="auto"/>
                  <w:vAlign w:val="center"/>
                </w:tcPr>
                <w:p w14:paraId="58C668C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12000</w:t>
                  </w:r>
                </w:p>
              </w:tc>
              <w:tc>
                <w:tcPr>
                  <w:tcW w:w="381" w:type="pct"/>
                  <w:shd w:val="clear" w:color="auto" w:fill="auto"/>
                  <w:vAlign w:val="center"/>
                </w:tcPr>
                <w:p w14:paraId="0FE3C18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8500</w:t>
                  </w:r>
                </w:p>
              </w:tc>
              <w:tc>
                <w:tcPr>
                  <w:tcW w:w="436" w:type="pct"/>
                  <w:shd w:val="clear" w:color="auto" w:fill="auto"/>
                  <w:vAlign w:val="center"/>
                </w:tcPr>
                <w:p w14:paraId="66D0523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3000</w:t>
                  </w:r>
                </w:p>
              </w:tc>
              <w:tc>
                <w:tcPr>
                  <w:tcW w:w="377" w:type="pct"/>
                  <w:tcBorders>
                    <w:right w:val="single" w:color="auto" w:sz="4" w:space="0"/>
                  </w:tcBorders>
                  <w:shd w:val="clear" w:color="auto" w:fill="auto"/>
                  <w:vAlign w:val="center"/>
                </w:tcPr>
                <w:p w14:paraId="61EBC97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377" w:type="pct"/>
                  <w:tcBorders>
                    <w:left w:val="single" w:color="auto" w:sz="4" w:space="0"/>
                  </w:tcBorders>
                  <w:shd w:val="clear" w:color="auto" w:fill="auto"/>
                  <w:vAlign w:val="center"/>
                </w:tcPr>
                <w:p w14:paraId="4843530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w:t>
                  </w:r>
                </w:p>
              </w:tc>
              <w:tc>
                <w:tcPr>
                  <w:tcW w:w="347" w:type="pct"/>
                  <w:tcBorders>
                    <w:left w:val="single" w:color="auto" w:sz="4" w:space="0"/>
                  </w:tcBorders>
                  <w:shd w:val="clear" w:color="auto" w:fill="auto"/>
                  <w:vAlign w:val="center"/>
                </w:tcPr>
                <w:p w14:paraId="7D452A4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110</w:t>
                  </w:r>
                </w:p>
              </w:tc>
            </w:tr>
            <w:tr w14:paraId="53C523F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3C925AA6">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15</w:t>
                  </w:r>
                </w:p>
              </w:tc>
              <w:tc>
                <w:tcPr>
                  <w:tcW w:w="314" w:type="pct"/>
                  <w:vMerge w:val="continue"/>
                  <w:vAlign w:val="center"/>
                </w:tcPr>
                <w:p w14:paraId="433233C4">
                  <w:pPr>
                    <w:jc w:val="center"/>
                    <w:rPr>
                      <w:bCs/>
                      <w:color w:val="000000" w:themeColor="text1"/>
                      <w:szCs w:val="21"/>
                      <w14:textFill>
                        <w14:solidFill>
                          <w14:schemeClr w14:val="tx1"/>
                        </w14:solidFill>
                      </w14:textFill>
                    </w:rPr>
                  </w:pPr>
                </w:p>
              </w:tc>
              <w:tc>
                <w:tcPr>
                  <w:tcW w:w="1490" w:type="pct"/>
                  <w:shd w:val="clear" w:color="auto" w:fill="auto"/>
                  <w:vAlign w:val="center"/>
                </w:tcPr>
                <w:p w14:paraId="61D4974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洗瓶废水</w:t>
                  </w:r>
                </w:p>
              </w:tc>
              <w:tc>
                <w:tcPr>
                  <w:tcW w:w="643" w:type="pct"/>
                  <w:shd w:val="clear" w:color="auto" w:fill="auto"/>
                  <w:vAlign w:val="center"/>
                </w:tcPr>
                <w:p w14:paraId="5AEB3998">
                  <w:pPr>
                    <w:jc w:val="center"/>
                    <w:rPr>
                      <w:rFonts w:eastAsia="Times"/>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0.645</w:t>
                  </w:r>
                </w:p>
              </w:tc>
              <w:tc>
                <w:tcPr>
                  <w:tcW w:w="438" w:type="pct"/>
                  <w:shd w:val="clear" w:color="auto" w:fill="auto"/>
                  <w:vAlign w:val="center"/>
                </w:tcPr>
                <w:p w14:paraId="25025DA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105</w:t>
                  </w:r>
                </w:p>
              </w:tc>
              <w:tc>
                <w:tcPr>
                  <w:tcW w:w="381" w:type="pct"/>
                  <w:shd w:val="clear" w:color="auto" w:fill="auto"/>
                  <w:vAlign w:val="center"/>
                </w:tcPr>
                <w:p w14:paraId="20C93E3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w:t>
                  </w:r>
                </w:p>
              </w:tc>
              <w:tc>
                <w:tcPr>
                  <w:tcW w:w="436" w:type="pct"/>
                  <w:shd w:val="clear" w:color="auto" w:fill="auto"/>
                  <w:vAlign w:val="center"/>
                </w:tcPr>
                <w:p w14:paraId="11358E7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w:t>
                  </w:r>
                </w:p>
              </w:tc>
              <w:tc>
                <w:tcPr>
                  <w:tcW w:w="377" w:type="pct"/>
                  <w:tcBorders>
                    <w:right w:val="single" w:color="auto" w:sz="4" w:space="0"/>
                  </w:tcBorders>
                  <w:shd w:val="clear" w:color="auto" w:fill="auto"/>
                  <w:vAlign w:val="center"/>
                </w:tcPr>
                <w:p w14:paraId="2E2AA979">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3343B3E1">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5F1F3DA2">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2BACFF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47C5C0CC">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16</w:t>
                  </w:r>
                </w:p>
              </w:tc>
              <w:tc>
                <w:tcPr>
                  <w:tcW w:w="314" w:type="pct"/>
                  <w:vMerge w:val="restart"/>
                  <w:shd w:val="clear" w:color="auto" w:fill="auto"/>
                  <w:vAlign w:val="center"/>
                </w:tcPr>
                <w:p w14:paraId="6E1EE54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啤酒生产线</w:t>
                  </w:r>
                </w:p>
              </w:tc>
              <w:tc>
                <w:tcPr>
                  <w:tcW w:w="1490" w:type="pct"/>
                  <w:shd w:val="clear" w:color="auto" w:fill="auto"/>
                  <w:vAlign w:val="center"/>
                </w:tcPr>
                <w:p w14:paraId="49A621A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w:t>
                  </w:r>
                  <w:r>
                    <w:rPr>
                      <w:color w:val="000000" w:themeColor="text1"/>
                      <w:szCs w:val="21"/>
                      <w14:textFill>
                        <w14:solidFill>
                          <w14:schemeClr w14:val="tx1"/>
                        </w14:solidFill>
                      </w14:textFill>
                    </w:rPr>
                    <w:t>麦糟、废酵母、废啤酒花及热凝固物渗滤液</w:t>
                  </w:r>
                  <w:r>
                    <w:rPr>
                      <w:rFonts w:hint="eastAsia"/>
                      <w:color w:val="000000" w:themeColor="text1"/>
                      <w:szCs w:val="21"/>
                      <w14:textFill>
                        <w14:solidFill>
                          <w14:schemeClr w14:val="tx1"/>
                        </w14:solidFill>
                      </w14:textFill>
                    </w:rPr>
                    <w:t>、CIP清洗系统废水</w:t>
                  </w:r>
                </w:p>
              </w:tc>
              <w:tc>
                <w:tcPr>
                  <w:tcW w:w="643" w:type="pct"/>
                  <w:shd w:val="clear" w:color="auto" w:fill="auto"/>
                  <w:vAlign w:val="center"/>
                </w:tcPr>
                <w:p w14:paraId="2AE1DBBB">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2.224</w:t>
                  </w:r>
                </w:p>
              </w:tc>
              <w:tc>
                <w:tcPr>
                  <w:tcW w:w="438" w:type="pct"/>
                  <w:shd w:val="clear" w:color="auto" w:fill="auto"/>
                  <w:vAlign w:val="center"/>
                </w:tcPr>
                <w:p w14:paraId="6212453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1200</w:t>
                  </w:r>
                </w:p>
              </w:tc>
              <w:tc>
                <w:tcPr>
                  <w:tcW w:w="381" w:type="pct"/>
                  <w:shd w:val="clear" w:color="auto" w:fill="auto"/>
                  <w:vAlign w:val="center"/>
                </w:tcPr>
                <w:p w14:paraId="7EF42CC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600</w:t>
                  </w:r>
                </w:p>
              </w:tc>
              <w:tc>
                <w:tcPr>
                  <w:tcW w:w="436" w:type="pct"/>
                  <w:shd w:val="clear" w:color="auto" w:fill="auto"/>
                  <w:vAlign w:val="center"/>
                </w:tcPr>
                <w:p w14:paraId="5CEF22B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377" w:type="pct"/>
                  <w:tcBorders>
                    <w:right w:val="single" w:color="auto" w:sz="4" w:space="0"/>
                  </w:tcBorders>
                  <w:shd w:val="clear" w:color="auto" w:fill="auto"/>
                  <w:vAlign w:val="center"/>
                </w:tcPr>
                <w:p w14:paraId="4C1BC4D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90</w:t>
                  </w:r>
                </w:p>
              </w:tc>
              <w:tc>
                <w:tcPr>
                  <w:tcW w:w="377" w:type="pct"/>
                  <w:tcBorders>
                    <w:left w:val="single" w:color="auto" w:sz="4" w:space="0"/>
                  </w:tcBorders>
                  <w:shd w:val="clear" w:color="auto" w:fill="auto"/>
                  <w:vAlign w:val="center"/>
                </w:tcPr>
                <w:p w14:paraId="288F7CB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w:t>
                  </w:r>
                </w:p>
              </w:tc>
              <w:tc>
                <w:tcPr>
                  <w:tcW w:w="347" w:type="pct"/>
                  <w:tcBorders>
                    <w:left w:val="single" w:color="auto" w:sz="4" w:space="0"/>
                  </w:tcBorders>
                  <w:shd w:val="clear" w:color="auto" w:fill="auto"/>
                  <w:vAlign w:val="center"/>
                </w:tcPr>
                <w:p w14:paraId="5DF7A3A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w:t>
                  </w:r>
                </w:p>
              </w:tc>
            </w:tr>
            <w:tr w14:paraId="3F4C168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110B378A">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17</w:t>
                  </w:r>
                </w:p>
              </w:tc>
              <w:tc>
                <w:tcPr>
                  <w:tcW w:w="314" w:type="pct"/>
                  <w:vMerge w:val="continue"/>
                  <w:vAlign w:val="center"/>
                </w:tcPr>
                <w:p w14:paraId="3069CCA2">
                  <w:pPr>
                    <w:jc w:val="center"/>
                    <w:rPr>
                      <w:bCs/>
                      <w:color w:val="000000" w:themeColor="text1"/>
                      <w:szCs w:val="21"/>
                      <w14:textFill>
                        <w14:solidFill>
                          <w14:schemeClr w14:val="tx1"/>
                        </w14:solidFill>
                      </w14:textFill>
                    </w:rPr>
                  </w:pPr>
                </w:p>
              </w:tc>
              <w:tc>
                <w:tcPr>
                  <w:tcW w:w="1490" w:type="pct"/>
                  <w:shd w:val="clear" w:color="auto" w:fill="auto"/>
                  <w:vAlign w:val="center"/>
                </w:tcPr>
                <w:p w14:paraId="67B741A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冷却废水</w:t>
                  </w:r>
                </w:p>
              </w:tc>
              <w:tc>
                <w:tcPr>
                  <w:tcW w:w="643" w:type="pct"/>
                  <w:shd w:val="clear" w:color="auto" w:fill="auto"/>
                  <w:vAlign w:val="center"/>
                </w:tcPr>
                <w:p w14:paraId="328F3D4E">
                  <w:pPr>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0.658</w:t>
                  </w:r>
                </w:p>
              </w:tc>
              <w:tc>
                <w:tcPr>
                  <w:tcW w:w="438" w:type="pct"/>
                  <w:shd w:val="clear" w:color="auto" w:fill="auto"/>
                  <w:vAlign w:val="center"/>
                </w:tcPr>
                <w:p w14:paraId="6E893DE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81" w:type="pct"/>
                  <w:shd w:val="clear" w:color="auto" w:fill="auto"/>
                  <w:vAlign w:val="center"/>
                </w:tcPr>
                <w:p w14:paraId="785768B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436" w:type="pct"/>
                  <w:shd w:val="clear" w:color="auto" w:fill="auto"/>
                  <w:vAlign w:val="center"/>
                </w:tcPr>
                <w:p w14:paraId="6106CCE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w:t>
                  </w:r>
                </w:p>
              </w:tc>
              <w:tc>
                <w:tcPr>
                  <w:tcW w:w="377" w:type="pct"/>
                  <w:tcBorders>
                    <w:right w:val="single" w:color="auto" w:sz="4" w:space="0"/>
                  </w:tcBorders>
                  <w:shd w:val="clear" w:color="auto" w:fill="auto"/>
                  <w:vAlign w:val="center"/>
                </w:tcPr>
                <w:p w14:paraId="2D562EEB">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3FEE2823">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77D1A24C">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47AC9A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4C853312">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18</w:t>
                  </w:r>
                </w:p>
              </w:tc>
              <w:tc>
                <w:tcPr>
                  <w:tcW w:w="314" w:type="pct"/>
                  <w:vMerge w:val="continue"/>
                  <w:vAlign w:val="center"/>
                </w:tcPr>
                <w:p w14:paraId="341701AD">
                  <w:pPr>
                    <w:jc w:val="center"/>
                    <w:rPr>
                      <w:bCs/>
                      <w:color w:val="000000" w:themeColor="text1"/>
                      <w:szCs w:val="21"/>
                      <w14:textFill>
                        <w14:solidFill>
                          <w14:schemeClr w14:val="tx1"/>
                        </w14:solidFill>
                      </w14:textFill>
                    </w:rPr>
                  </w:pPr>
                </w:p>
              </w:tc>
              <w:tc>
                <w:tcPr>
                  <w:tcW w:w="1490" w:type="pct"/>
                  <w:shd w:val="clear" w:color="auto" w:fill="auto"/>
                  <w:vAlign w:val="center"/>
                </w:tcPr>
                <w:p w14:paraId="17FD6A3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洗瓶废水</w:t>
                  </w:r>
                </w:p>
              </w:tc>
              <w:tc>
                <w:tcPr>
                  <w:tcW w:w="643" w:type="pct"/>
                  <w:shd w:val="clear" w:color="auto" w:fill="auto"/>
                  <w:vAlign w:val="center"/>
                </w:tcPr>
                <w:p w14:paraId="4290274E">
                  <w:pPr>
                    <w:jc w:val="center"/>
                    <w:rPr>
                      <w:rFonts w:eastAsia="Times"/>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0.722</w:t>
                  </w:r>
                </w:p>
              </w:tc>
              <w:tc>
                <w:tcPr>
                  <w:tcW w:w="438" w:type="pct"/>
                  <w:shd w:val="clear" w:color="auto" w:fill="auto"/>
                  <w:vAlign w:val="center"/>
                </w:tcPr>
                <w:p w14:paraId="3E75A4D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105</w:t>
                  </w:r>
                </w:p>
              </w:tc>
              <w:tc>
                <w:tcPr>
                  <w:tcW w:w="381" w:type="pct"/>
                  <w:shd w:val="clear" w:color="auto" w:fill="auto"/>
                  <w:vAlign w:val="center"/>
                </w:tcPr>
                <w:p w14:paraId="603C787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w:t>
                  </w:r>
                </w:p>
              </w:tc>
              <w:tc>
                <w:tcPr>
                  <w:tcW w:w="436" w:type="pct"/>
                  <w:shd w:val="clear" w:color="auto" w:fill="auto"/>
                  <w:vAlign w:val="center"/>
                </w:tcPr>
                <w:p w14:paraId="1288C43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w:t>
                  </w:r>
                </w:p>
              </w:tc>
              <w:tc>
                <w:tcPr>
                  <w:tcW w:w="377" w:type="pct"/>
                  <w:tcBorders>
                    <w:right w:val="single" w:color="auto" w:sz="4" w:space="0"/>
                  </w:tcBorders>
                  <w:shd w:val="clear" w:color="auto" w:fill="auto"/>
                  <w:vAlign w:val="center"/>
                </w:tcPr>
                <w:p w14:paraId="4AD5D0D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4681CD58">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6A230792">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06FCCF8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4FEF7E75">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19</w:t>
                  </w:r>
                </w:p>
              </w:tc>
              <w:tc>
                <w:tcPr>
                  <w:tcW w:w="314" w:type="pct"/>
                  <w:vMerge w:val="restart"/>
                  <w:shd w:val="clear" w:color="auto" w:fill="auto"/>
                  <w:vAlign w:val="center"/>
                </w:tcPr>
                <w:p w14:paraId="4922CA4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果酒生产线</w:t>
                  </w:r>
                </w:p>
              </w:tc>
              <w:tc>
                <w:tcPr>
                  <w:tcW w:w="1490" w:type="pct"/>
                  <w:shd w:val="clear" w:color="auto" w:fill="auto"/>
                  <w:vAlign w:val="center"/>
                </w:tcPr>
                <w:p w14:paraId="34972BE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水果清洗废水</w:t>
                  </w:r>
                </w:p>
              </w:tc>
              <w:tc>
                <w:tcPr>
                  <w:tcW w:w="643" w:type="pct"/>
                  <w:shd w:val="clear" w:color="auto" w:fill="auto"/>
                  <w:vAlign w:val="center"/>
                </w:tcPr>
                <w:p w14:paraId="1EDB277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1.62</w:t>
                  </w:r>
                </w:p>
              </w:tc>
              <w:tc>
                <w:tcPr>
                  <w:tcW w:w="438" w:type="pct"/>
                  <w:shd w:val="clear" w:color="auto" w:fill="auto"/>
                  <w:vAlign w:val="center"/>
                </w:tcPr>
                <w:p w14:paraId="614375D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250</w:t>
                  </w:r>
                </w:p>
              </w:tc>
              <w:tc>
                <w:tcPr>
                  <w:tcW w:w="381" w:type="pct"/>
                  <w:shd w:val="clear" w:color="auto" w:fill="auto"/>
                  <w:vAlign w:val="center"/>
                </w:tcPr>
                <w:p w14:paraId="012FCE0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w:t>
                  </w:r>
                </w:p>
              </w:tc>
              <w:tc>
                <w:tcPr>
                  <w:tcW w:w="436" w:type="pct"/>
                  <w:shd w:val="clear" w:color="auto" w:fill="auto"/>
                  <w:vAlign w:val="center"/>
                </w:tcPr>
                <w:p w14:paraId="37E992E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170</w:t>
                  </w:r>
                </w:p>
              </w:tc>
              <w:tc>
                <w:tcPr>
                  <w:tcW w:w="377" w:type="pct"/>
                  <w:tcBorders>
                    <w:right w:val="single" w:color="auto" w:sz="4" w:space="0"/>
                  </w:tcBorders>
                  <w:shd w:val="clear" w:color="auto" w:fill="auto"/>
                  <w:vAlign w:val="center"/>
                </w:tcPr>
                <w:p w14:paraId="59E697C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w:t>
                  </w:r>
                </w:p>
              </w:tc>
              <w:tc>
                <w:tcPr>
                  <w:tcW w:w="377" w:type="pct"/>
                  <w:tcBorders>
                    <w:left w:val="single" w:color="auto" w:sz="4" w:space="0"/>
                  </w:tcBorders>
                  <w:shd w:val="clear" w:color="auto" w:fill="auto"/>
                  <w:vAlign w:val="center"/>
                </w:tcPr>
                <w:p w14:paraId="4F86F35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4321398C">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108C61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6560DBD5">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20</w:t>
                  </w:r>
                </w:p>
              </w:tc>
              <w:tc>
                <w:tcPr>
                  <w:tcW w:w="314" w:type="pct"/>
                  <w:vMerge w:val="continue"/>
                  <w:shd w:val="clear" w:color="auto" w:fill="auto"/>
                  <w:vAlign w:val="center"/>
                </w:tcPr>
                <w:p w14:paraId="1923C078">
                  <w:pPr>
                    <w:jc w:val="center"/>
                    <w:rPr>
                      <w:color w:val="000000" w:themeColor="text1"/>
                      <w:szCs w:val="21"/>
                      <w14:textFill>
                        <w14:solidFill>
                          <w14:schemeClr w14:val="tx1"/>
                        </w14:solidFill>
                      </w14:textFill>
                    </w:rPr>
                  </w:pPr>
                </w:p>
              </w:tc>
              <w:tc>
                <w:tcPr>
                  <w:tcW w:w="1490" w:type="pct"/>
                  <w:shd w:val="clear" w:color="auto" w:fill="auto"/>
                  <w:vAlign w:val="center"/>
                </w:tcPr>
                <w:p w14:paraId="39E5F51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果酒糟</w:t>
                  </w:r>
                  <w:r>
                    <w:rPr>
                      <w:rFonts w:hint="eastAsia"/>
                      <w:color w:val="000000" w:themeColor="text1"/>
                      <w:szCs w:val="21"/>
                      <w14:textFill>
                        <w14:solidFill>
                          <w14:schemeClr w14:val="tx1"/>
                        </w14:solidFill>
                      </w14:textFill>
                    </w:rPr>
                    <w:t>、果皮、果渣及果梗</w:t>
                  </w:r>
                  <w:r>
                    <w:rPr>
                      <w:color w:val="000000" w:themeColor="text1"/>
                      <w:szCs w:val="21"/>
                      <w14:textFill>
                        <w14:solidFill>
                          <w14:schemeClr w14:val="tx1"/>
                        </w14:solidFill>
                      </w14:textFill>
                    </w:rPr>
                    <w:t>渗滤液</w:t>
                  </w:r>
                </w:p>
              </w:tc>
              <w:tc>
                <w:tcPr>
                  <w:tcW w:w="643" w:type="pct"/>
                  <w:shd w:val="clear" w:color="auto" w:fill="auto"/>
                  <w:vAlign w:val="center"/>
                </w:tcPr>
                <w:p w14:paraId="47B056A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0.052</w:t>
                  </w:r>
                </w:p>
              </w:tc>
              <w:tc>
                <w:tcPr>
                  <w:tcW w:w="438" w:type="pct"/>
                  <w:shd w:val="clear" w:color="auto" w:fill="auto"/>
                  <w:vAlign w:val="center"/>
                </w:tcPr>
                <w:p w14:paraId="4B6B620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4000</w:t>
                  </w:r>
                </w:p>
              </w:tc>
              <w:tc>
                <w:tcPr>
                  <w:tcW w:w="381" w:type="pct"/>
                  <w:shd w:val="clear" w:color="auto" w:fill="auto"/>
                  <w:vAlign w:val="center"/>
                </w:tcPr>
                <w:p w14:paraId="18B2844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3000</w:t>
                  </w:r>
                </w:p>
              </w:tc>
              <w:tc>
                <w:tcPr>
                  <w:tcW w:w="436" w:type="pct"/>
                  <w:shd w:val="clear" w:color="auto" w:fill="auto"/>
                  <w:vAlign w:val="center"/>
                </w:tcPr>
                <w:p w14:paraId="49A362E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1500</w:t>
                  </w:r>
                </w:p>
              </w:tc>
              <w:tc>
                <w:tcPr>
                  <w:tcW w:w="377" w:type="pct"/>
                  <w:tcBorders>
                    <w:right w:val="single" w:color="auto" w:sz="4" w:space="0"/>
                  </w:tcBorders>
                  <w:shd w:val="clear" w:color="auto" w:fill="auto"/>
                  <w:vAlign w:val="center"/>
                </w:tcPr>
                <w:p w14:paraId="4A5013E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w:t>
                  </w:r>
                </w:p>
              </w:tc>
              <w:tc>
                <w:tcPr>
                  <w:tcW w:w="377" w:type="pct"/>
                  <w:tcBorders>
                    <w:left w:val="single" w:color="auto" w:sz="4" w:space="0"/>
                  </w:tcBorders>
                  <w:shd w:val="clear" w:color="auto" w:fill="auto"/>
                  <w:vAlign w:val="center"/>
                </w:tcPr>
                <w:p w14:paraId="0F416C6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260</w:t>
                  </w:r>
                </w:p>
              </w:tc>
              <w:tc>
                <w:tcPr>
                  <w:tcW w:w="347" w:type="pct"/>
                  <w:tcBorders>
                    <w:left w:val="single" w:color="auto" w:sz="4" w:space="0"/>
                  </w:tcBorders>
                  <w:shd w:val="clear" w:color="auto" w:fill="auto"/>
                  <w:vAlign w:val="center"/>
                </w:tcPr>
                <w:p w14:paraId="24CBEA7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100</w:t>
                  </w:r>
                </w:p>
              </w:tc>
            </w:tr>
            <w:tr w14:paraId="5CED7F6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4BF1845E">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21</w:t>
                  </w:r>
                </w:p>
              </w:tc>
              <w:tc>
                <w:tcPr>
                  <w:tcW w:w="314" w:type="pct"/>
                  <w:vMerge w:val="continue"/>
                  <w:vAlign w:val="center"/>
                </w:tcPr>
                <w:p w14:paraId="72357DC5">
                  <w:pPr>
                    <w:jc w:val="center"/>
                    <w:rPr>
                      <w:bCs/>
                      <w:color w:val="000000" w:themeColor="text1"/>
                      <w:szCs w:val="21"/>
                      <w14:textFill>
                        <w14:solidFill>
                          <w14:schemeClr w14:val="tx1"/>
                        </w14:solidFill>
                      </w14:textFill>
                    </w:rPr>
                  </w:pPr>
                </w:p>
              </w:tc>
              <w:tc>
                <w:tcPr>
                  <w:tcW w:w="1490" w:type="pct"/>
                  <w:shd w:val="clear" w:color="auto" w:fill="auto"/>
                  <w:vAlign w:val="center"/>
                </w:tcPr>
                <w:p w14:paraId="144AE3F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清洗机、粉碎机清洗废水</w:t>
                  </w:r>
                </w:p>
              </w:tc>
              <w:tc>
                <w:tcPr>
                  <w:tcW w:w="643" w:type="pct"/>
                  <w:shd w:val="clear" w:color="auto" w:fill="auto"/>
                  <w:vAlign w:val="center"/>
                </w:tcPr>
                <w:p w14:paraId="6CF731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0.9</w:t>
                  </w:r>
                </w:p>
              </w:tc>
              <w:tc>
                <w:tcPr>
                  <w:tcW w:w="438" w:type="pct"/>
                  <w:shd w:val="clear" w:color="auto" w:fill="auto"/>
                  <w:vAlign w:val="center"/>
                </w:tcPr>
                <w:p w14:paraId="3B4CE75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1600</w:t>
                  </w:r>
                </w:p>
              </w:tc>
              <w:tc>
                <w:tcPr>
                  <w:tcW w:w="381" w:type="pct"/>
                  <w:shd w:val="clear" w:color="auto" w:fill="auto"/>
                  <w:vAlign w:val="center"/>
                </w:tcPr>
                <w:p w14:paraId="0A94A28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900</w:t>
                  </w:r>
                </w:p>
              </w:tc>
              <w:tc>
                <w:tcPr>
                  <w:tcW w:w="436" w:type="pct"/>
                  <w:shd w:val="clear" w:color="auto" w:fill="auto"/>
                  <w:vAlign w:val="center"/>
                </w:tcPr>
                <w:p w14:paraId="7AA14DA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700</w:t>
                  </w:r>
                </w:p>
              </w:tc>
              <w:tc>
                <w:tcPr>
                  <w:tcW w:w="377" w:type="pct"/>
                  <w:tcBorders>
                    <w:right w:val="single" w:color="auto" w:sz="4" w:space="0"/>
                  </w:tcBorders>
                  <w:shd w:val="clear" w:color="auto" w:fill="auto"/>
                  <w:vAlign w:val="center"/>
                </w:tcPr>
                <w:p w14:paraId="4D3A956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w:t>
                  </w:r>
                </w:p>
              </w:tc>
              <w:tc>
                <w:tcPr>
                  <w:tcW w:w="377" w:type="pct"/>
                  <w:tcBorders>
                    <w:left w:val="single" w:color="auto" w:sz="4" w:space="0"/>
                  </w:tcBorders>
                  <w:shd w:val="clear" w:color="auto" w:fill="auto"/>
                  <w:vAlign w:val="center"/>
                </w:tcPr>
                <w:p w14:paraId="04A3B68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w:t>
                  </w:r>
                </w:p>
              </w:tc>
              <w:tc>
                <w:tcPr>
                  <w:tcW w:w="347" w:type="pct"/>
                  <w:tcBorders>
                    <w:left w:val="single" w:color="auto" w:sz="4" w:space="0"/>
                  </w:tcBorders>
                  <w:shd w:val="clear" w:color="auto" w:fill="auto"/>
                  <w:vAlign w:val="center"/>
                </w:tcPr>
                <w:p w14:paraId="401272C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w:t>
                  </w:r>
                </w:p>
              </w:tc>
            </w:tr>
            <w:tr w14:paraId="369A480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270B1982">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22</w:t>
                  </w:r>
                </w:p>
              </w:tc>
              <w:tc>
                <w:tcPr>
                  <w:tcW w:w="314" w:type="pct"/>
                  <w:vMerge w:val="continue"/>
                  <w:vAlign w:val="center"/>
                </w:tcPr>
                <w:p w14:paraId="089BA0BB">
                  <w:pPr>
                    <w:jc w:val="center"/>
                    <w:rPr>
                      <w:bCs/>
                      <w:color w:val="000000" w:themeColor="text1"/>
                      <w:szCs w:val="21"/>
                      <w14:textFill>
                        <w14:solidFill>
                          <w14:schemeClr w14:val="tx1"/>
                        </w14:solidFill>
                      </w14:textFill>
                    </w:rPr>
                  </w:pPr>
                </w:p>
              </w:tc>
              <w:tc>
                <w:tcPr>
                  <w:tcW w:w="1490" w:type="pct"/>
                  <w:shd w:val="clear" w:color="auto" w:fill="auto"/>
                  <w:vAlign w:val="center"/>
                </w:tcPr>
                <w:p w14:paraId="46AB34E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发酵（浸渍）罐</w:t>
                  </w:r>
                  <w:r>
                    <w:rPr>
                      <w:rFonts w:hint="eastAsia"/>
                      <w:color w:val="000000" w:themeColor="text1"/>
                      <w:szCs w:val="21"/>
                      <w14:textFill>
                        <w14:solidFill>
                          <w14:schemeClr w14:val="tx1"/>
                        </w14:solidFill>
                      </w14:textFill>
                    </w:rPr>
                    <w:t>、陈酿罐、压榨机、过滤机等设备清洗废水</w:t>
                  </w:r>
                </w:p>
              </w:tc>
              <w:tc>
                <w:tcPr>
                  <w:tcW w:w="643" w:type="pct"/>
                  <w:shd w:val="clear" w:color="auto" w:fill="auto"/>
                  <w:vAlign w:val="center"/>
                </w:tcPr>
                <w:p w14:paraId="4F90CDC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0.703</w:t>
                  </w:r>
                </w:p>
              </w:tc>
              <w:tc>
                <w:tcPr>
                  <w:tcW w:w="438" w:type="pct"/>
                  <w:shd w:val="clear" w:color="auto" w:fill="auto"/>
                  <w:vAlign w:val="center"/>
                </w:tcPr>
                <w:p w14:paraId="08DA528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2500</w:t>
                  </w:r>
                </w:p>
              </w:tc>
              <w:tc>
                <w:tcPr>
                  <w:tcW w:w="381" w:type="pct"/>
                  <w:shd w:val="clear" w:color="auto" w:fill="auto"/>
                  <w:vAlign w:val="center"/>
                </w:tcPr>
                <w:p w14:paraId="458DE6F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1600</w:t>
                  </w:r>
                </w:p>
              </w:tc>
              <w:tc>
                <w:tcPr>
                  <w:tcW w:w="436" w:type="pct"/>
                  <w:shd w:val="clear" w:color="auto" w:fill="auto"/>
                  <w:vAlign w:val="center"/>
                </w:tcPr>
                <w:p w14:paraId="13F67E9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900</w:t>
                  </w:r>
                </w:p>
              </w:tc>
              <w:tc>
                <w:tcPr>
                  <w:tcW w:w="377" w:type="pct"/>
                  <w:tcBorders>
                    <w:right w:val="single" w:color="auto" w:sz="4" w:space="0"/>
                  </w:tcBorders>
                  <w:shd w:val="clear" w:color="auto" w:fill="auto"/>
                  <w:vAlign w:val="center"/>
                </w:tcPr>
                <w:p w14:paraId="553536F8">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45</w:t>
                  </w:r>
                </w:p>
              </w:tc>
              <w:tc>
                <w:tcPr>
                  <w:tcW w:w="377" w:type="pct"/>
                  <w:tcBorders>
                    <w:left w:val="single" w:color="auto" w:sz="4" w:space="0"/>
                  </w:tcBorders>
                  <w:shd w:val="clear" w:color="auto" w:fill="auto"/>
                  <w:vAlign w:val="center"/>
                </w:tcPr>
                <w:p w14:paraId="21627E8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160</w:t>
                  </w:r>
                </w:p>
              </w:tc>
              <w:tc>
                <w:tcPr>
                  <w:tcW w:w="347" w:type="pct"/>
                  <w:tcBorders>
                    <w:left w:val="single" w:color="auto" w:sz="4" w:space="0"/>
                  </w:tcBorders>
                  <w:shd w:val="clear" w:color="auto" w:fill="auto"/>
                  <w:vAlign w:val="center"/>
                </w:tcPr>
                <w:p w14:paraId="7D336EF2">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40</w:t>
                  </w:r>
                </w:p>
              </w:tc>
            </w:tr>
            <w:tr w14:paraId="45AC560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709EB0BD">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23</w:t>
                  </w:r>
                </w:p>
              </w:tc>
              <w:tc>
                <w:tcPr>
                  <w:tcW w:w="314" w:type="pct"/>
                  <w:vMerge w:val="continue"/>
                  <w:vAlign w:val="center"/>
                </w:tcPr>
                <w:p w14:paraId="4F80421D">
                  <w:pPr>
                    <w:jc w:val="center"/>
                    <w:rPr>
                      <w:bCs/>
                      <w:color w:val="000000" w:themeColor="text1"/>
                      <w:szCs w:val="21"/>
                      <w14:textFill>
                        <w14:solidFill>
                          <w14:schemeClr w14:val="tx1"/>
                        </w14:solidFill>
                      </w14:textFill>
                    </w:rPr>
                  </w:pPr>
                </w:p>
              </w:tc>
              <w:tc>
                <w:tcPr>
                  <w:tcW w:w="1490" w:type="pct"/>
                  <w:shd w:val="clear" w:color="auto" w:fill="auto"/>
                  <w:vAlign w:val="center"/>
                </w:tcPr>
                <w:p w14:paraId="376898C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洗瓶废水</w:t>
                  </w:r>
                </w:p>
              </w:tc>
              <w:tc>
                <w:tcPr>
                  <w:tcW w:w="643" w:type="pct"/>
                  <w:shd w:val="clear" w:color="auto" w:fill="auto"/>
                  <w:vAlign w:val="center"/>
                </w:tcPr>
                <w:p w14:paraId="2415069D">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0.744</w:t>
                  </w:r>
                </w:p>
              </w:tc>
              <w:tc>
                <w:tcPr>
                  <w:tcW w:w="438" w:type="pct"/>
                  <w:shd w:val="clear" w:color="auto" w:fill="auto"/>
                  <w:vAlign w:val="center"/>
                </w:tcPr>
                <w:p w14:paraId="2C8C01F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105</w:t>
                  </w:r>
                </w:p>
              </w:tc>
              <w:tc>
                <w:tcPr>
                  <w:tcW w:w="381" w:type="pct"/>
                  <w:shd w:val="clear" w:color="auto" w:fill="auto"/>
                  <w:vAlign w:val="center"/>
                </w:tcPr>
                <w:p w14:paraId="1076482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w:t>
                  </w:r>
                </w:p>
              </w:tc>
              <w:tc>
                <w:tcPr>
                  <w:tcW w:w="436" w:type="pct"/>
                  <w:shd w:val="clear" w:color="auto" w:fill="auto"/>
                  <w:vAlign w:val="center"/>
                </w:tcPr>
                <w:p w14:paraId="4CCEDFD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w:t>
                  </w:r>
                </w:p>
              </w:tc>
              <w:tc>
                <w:tcPr>
                  <w:tcW w:w="377" w:type="pct"/>
                  <w:tcBorders>
                    <w:right w:val="single" w:color="auto" w:sz="4" w:space="0"/>
                  </w:tcBorders>
                  <w:shd w:val="clear" w:color="auto" w:fill="auto"/>
                  <w:vAlign w:val="center"/>
                </w:tcPr>
                <w:p w14:paraId="3DA7D44C">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7F99D873">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196155C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3ECE13C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7E0AC1FE">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24</w:t>
                  </w:r>
                </w:p>
              </w:tc>
              <w:tc>
                <w:tcPr>
                  <w:tcW w:w="314" w:type="pct"/>
                  <w:vMerge w:val="restart"/>
                  <w:vAlign w:val="center"/>
                </w:tcPr>
                <w:p w14:paraId="22527E71">
                  <w:pPr>
                    <w:jc w:val="center"/>
                    <w:rPr>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植物饮料生产线</w:t>
                  </w:r>
                </w:p>
              </w:tc>
              <w:tc>
                <w:tcPr>
                  <w:tcW w:w="1490" w:type="pct"/>
                  <w:shd w:val="clear" w:color="auto" w:fill="auto"/>
                  <w:vAlign w:val="center"/>
                </w:tcPr>
                <w:p w14:paraId="2778160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原料清洗废水</w:t>
                  </w:r>
                </w:p>
              </w:tc>
              <w:tc>
                <w:tcPr>
                  <w:tcW w:w="643" w:type="pct"/>
                  <w:shd w:val="clear" w:color="auto" w:fill="auto"/>
                  <w:vAlign w:val="center"/>
                </w:tcPr>
                <w:p w14:paraId="2058B016">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1.08</w:t>
                  </w:r>
                </w:p>
              </w:tc>
              <w:tc>
                <w:tcPr>
                  <w:tcW w:w="438" w:type="pct"/>
                  <w:shd w:val="clear" w:color="auto" w:fill="auto"/>
                  <w:vAlign w:val="center"/>
                </w:tcPr>
                <w:p w14:paraId="351D6C0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280</w:t>
                  </w:r>
                </w:p>
              </w:tc>
              <w:tc>
                <w:tcPr>
                  <w:tcW w:w="381" w:type="pct"/>
                  <w:shd w:val="clear" w:color="auto" w:fill="auto"/>
                  <w:vAlign w:val="center"/>
                </w:tcPr>
                <w:p w14:paraId="3820356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200</w:t>
                  </w:r>
                </w:p>
              </w:tc>
              <w:tc>
                <w:tcPr>
                  <w:tcW w:w="436" w:type="pct"/>
                  <w:shd w:val="clear" w:color="auto" w:fill="auto"/>
                  <w:vAlign w:val="center"/>
                </w:tcPr>
                <w:p w14:paraId="6E09313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170</w:t>
                  </w:r>
                </w:p>
              </w:tc>
              <w:tc>
                <w:tcPr>
                  <w:tcW w:w="377" w:type="pct"/>
                  <w:tcBorders>
                    <w:right w:val="single" w:color="auto" w:sz="4" w:space="0"/>
                  </w:tcBorders>
                  <w:shd w:val="clear" w:color="auto" w:fill="auto"/>
                  <w:vAlign w:val="center"/>
                </w:tcPr>
                <w:p w14:paraId="133B42C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w:t>
                  </w:r>
                </w:p>
              </w:tc>
              <w:tc>
                <w:tcPr>
                  <w:tcW w:w="377" w:type="pct"/>
                  <w:tcBorders>
                    <w:left w:val="single" w:color="auto" w:sz="4" w:space="0"/>
                  </w:tcBorders>
                  <w:shd w:val="clear" w:color="auto" w:fill="auto"/>
                  <w:vAlign w:val="center"/>
                </w:tcPr>
                <w:p w14:paraId="1DAA0533">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5BCD1A94">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370BA7D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163B290B">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25</w:t>
                  </w:r>
                </w:p>
              </w:tc>
              <w:tc>
                <w:tcPr>
                  <w:tcW w:w="314" w:type="pct"/>
                  <w:vMerge w:val="continue"/>
                  <w:vAlign w:val="center"/>
                </w:tcPr>
                <w:p w14:paraId="1A3C791C">
                  <w:pPr>
                    <w:jc w:val="center"/>
                    <w:rPr>
                      <w:bCs/>
                      <w:color w:val="000000" w:themeColor="text1"/>
                      <w:szCs w:val="21"/>
                      <w14:textFill>
                        <w14:solidFill>
                          <w14:schemeClr w14:val="tx1"/>
                        </w14:solidFill>
                      </w14:textFill>
                    </w:rPr>
                  </w:pPr>
                </w:p>
              </w:tc>
              <w:tc>
                <w:tcPr>
                  <w:tcW w:w="1490" w:type="pct"/>
                  <w:shd w:val="clear" w:color="auto" w:fill="auto"/>
                  <w:vAlign w:val="center"/>
                </w:tcPr>
                <w:p w14:paraId="24BD7A5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清洗机、粉碎机、混合罐等</w:t>
                  </w:r>
                </w:p>
              </w:tc>
              <w:tc>
                <w:tcPr>
                  <w:tcW w:w="643" w:type="pct"/>
                  <w:shd w:val="clear" w:color="auto" w:fill="auto"/>
                  <w:vAlign w:val="center"/>
                </w:tcPr>
                <w:p w14:paraId="3D88A2A5">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0.15</w:t>
                  </w:r>
                </w:p>
              </w:tc>
              <w:tc>
                <w:tcPr>
                  <w:tcW w:w="438" w:type="pct"/>
                  <w:shd w:val="clear" w:color="auto" w:fill="auto"/>
                  <w:vAlign w:val="center"/>
                </w:tcPr>
                <w:p w14:paraId="172A7A94">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1500</w:t>
                  </w:r>
                </w:p>
              </w:tc>
              <w:tc>
                <w:tcPr>
                  <w:tcW w:w="381" w:type="pct"/>
                  <w:shd w:val="clear" w:color="auto" w:fill="auto"/>
                  <w:vAlign w:val="center"/>
                </w:tcPr>
                <w:p w14:paraId="54A949B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900</w:t>
                  </w:r>
                </w:p>
              </w:tc>
              <w:tc>
                <w:tcPr>
                  <w:tcW w:w="436" w:type="pct"/>
                  <w:shd w:val="clear" w:color="auto" w:fill="auto"/>
                  <w:vAlign w:val="center"/>
                </w:tcPr>
                <w:p w14:paraId="0ACB239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700</w:t>
                  </w:r>
                </w:p>
              </w:tc>
              <w:tc>
                <w:tcPr>
                  <w:tcW w:w="377" w:type="pct"/>
                  <w:tcBorders>
                    <w:right w:val="single" w:color="auto" w:sz="4" w:space="0"/>
                  </w:tcBorders>
                  <w:shd w:val="clear" w:color="auto" w:fill="auto"/>
                  <w:vAlign w:val="center"/>
                </w:tcPr>
                <w:p w14:paraId="4E74130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15</w:t>
                  </w:r>
                </w:p>
              </w:tc>
              <w:tc>
                <w:tcPr>
                  <w:tcW w:w="377" w:type="pct"/>
                  <w:tcBorders>
                    <w:left w:val="single" w:color="auto" w:sz="4" w:space="0"/>
                  </w:tcBorders>
                  <w:shd w:val="clear" w:color="auto" w:fill="auto"/>
                  <w:vAlign w:val="center"/>
                </w:tcPr>
                <w:p w14:paraId="7EE910A1">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1138AB6A">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654019F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7A856204">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26</w:t>
                  </w:r>
                </w:p>
              </w:tc>
              <w:tc>
                <w:tcPr>
                  <w:tcW w:w="314" w:type="pct"/>
                  <w:vMerge w:val="continue"/>
                  <w:vAlign w:val="center"/>
                </w:tcPr>
                <w:p w14:paraId="60BE7666">
                  <w:pPr>
                    <w:jc w:val="center"/>
                    <w:rPr>
                      <w:bCs/>
                      <w:color w:val="000000" w:themeColor="text1"/>
                      <w:szCs w:val="21"/>
                      <w14:textFill>
                        <w14:solidFill>
                          <w14:schemeClr w14:val="tx1"/>
                        </w14:solidFill>
                      </w14:textFill>
                    </w:rPr>
                  </w:pPr>
                </w:p>
              </w:tc>
              <w:tc>
                <w:tcPr>
                  <w:tcW w:w="1490" w:type="pct"/>
                  <w:shd w:val="clear" w:color="auto" w:fill="auto"/>
                  <w:vAlign w:val="center"/>
                </w:tcPr>
                <w:p w14:paraId="1667FBB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洗瓶废水</w:t>
                  </w:r>
                </w:p>
              </w:tc>
              <w:tc>
                <w:tcPr>
                  <w:tcW w:w="643" w:type="pct"/>
                  <w:shd w:val="clear" w:color="auto" w:fill="auto"/>
                  <w:vAlign w:val="center"/>
                </w:tcPr>
                <w:p w14:paraId="22E09AE3">
                  <w:pPr>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0.759</w:t>
                  </w:r>
                </w:p>
              </w:tc>
              <w:tc>
                <w:tcPr>
                  <w:tcW w:w="438" w:type="pct"/>
                  <w:shd w:val="clear" w:color="auto" w:fill="auto"/>
                  <w:vAlign w:val="center"/>
                </w:tcPr>
                <w:p w14:paraId="020DF3D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105</w:t>
                  </w:r>
                </w:p>
              </w:tc>
              <w:tc>
                <w:tcPr>
                  <w:tcW w:w="381" w:type="pct"/>
                  <w:shd w:val="clear" w:color="auto" w:fill="auto"/>
                  <w:vAlign w:val="center"/>
                </w:tcPr>
                <w:p w14:paraId="3EEC01DD">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35</w:t>
                  </w:r>
                </w:p>
              </w:tc>
              <w:tc>
                <w:tcPr>
                  <w:tcW w:w="436" w:type="pct"/>
                  <w:shd w:val="clear" w:color="auto" w:fill="auto"/>
                  <w:vAlign w:val="center"/>
                </w:tcPr>
                <w:p w14:paraId="1185AA9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70</w:t>
                  </w:r>
                </w:p>
              </w:tc>
              <w:tc>
                <w:tcPr>
                  <w:tcW w:w="377" w:type="pct"/>
                  <w:tcBorders>
                    <w:right w:val="single" w:color="auto" w:sz="4" w:space="0"/>
                  </w:tcBorders>
                  <w:shd w:val="clear" w:color="auto" w:fill="auto"/>
                  <w:vAlign w:val="center"/>
                </w:tcPr>
                <w:p w14:paraId="39336C9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5626B8CF">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52CD3ACB">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7ADAA39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1BA73DD0">
                  <w:pPr>
                    <w:jc w:val="center"/>
                    <w:rPr>
                      <w:rFonts w:hint="eastAsia"/>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27</w:t>
                  </w:r>
                </w:p>
              </w:tc>
              <w:tc>
                <w:tcPr>
                  <w:tcW w:w="314" w:type="pct"/>
                  <w:vMerge w:val="restart"/>
                  <w:shd w:val="clear" w:color="auto" w:fill="auto"/>
                  <w:vAlign w:val="center"/>
                </w:tcPr>
                <w:p w14:paraId="37D4CB3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医疗器械生产线</w:t>
                  </w:r>
                </w:p>
              </w:tc>
              <w:tc>
                <w:tcPr>
                  <w:tcW w:w="2734" w:type="dxa"/>
                  <w:shd w:val="clear" w:color="auto" w:fill="auto"/>
                  <w:vAlign w:val="center"/>
                </w:tcPr>
                <w:p w14:paraId="09336356">
                  <w:pPr>
                    <w:jc w:val="center"/>
                    <w:rPr>
                      <w:rFonts w:hint="eastAsia"/>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原料清洗废水</w:t>
                  </w:r>
                </w:p>
              </w:tc>
              <w:tc>
                <w:tcPr>
                  <w:tcW w:w="1180" w:type="dxa"/>
                  <w:shd w:val="clear" w:color="auto" w:fill="auto"/>
                  <w:vAlign w:val="center"/>
                </w:tcPr>
                <w:p w14:paraId="1C49DF6F">
                  <w:pPr>
                    <w:jc w:val="center"/>
                    <w:rPr>
                      <w:rFonts w:hint="eastAsia"/>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1.08</w:t>
                  </w:r>
                </w:p>
              </w:tc>
              <w:tc>
                <w:tcPr>
                  <w:tcW w:w="804" w:type="dxa"/>
                  <w:shd w:val="clear" w:color="auto" w:fill="auto"/>
                  <w:vAlign w:val="center"/>
                </w:tcPr>
                <w:p w14:paraId="2C8BC44D">
                  <w:pPr>
                    <w:widowControl/>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280</w:t>
                  </w:r>
                </w:p>
              </w:tc>
              <w:tc>
                <w:tcPr>
                  <w:tcW w:w="699" w:type="dxa"/>
                  <w:shd w:val="clear" w:color="auto" w:fill="auto"/>
                  <w:vAlign w:val="center"/>
                </w:tcPr>
                <w:p w14:paraId="64DD27AC">
                  <w:pPr>
                    <w:widowControl/>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200</w:t>
                  </w:r>
                </w:p>
              </w:tc>
              <w:tc>
                <w:tcPr>
                  <w:tcW w:w="800" w:type="dxa"/>
                  <w:shd w:val="clear" w:color="auto" w:fill="auto"/>
                  <w:vAlign w:val="center"/>
                </w:tcPr>
                <w:p w14:paraId="58BDBBCF">
                  <w:pPr>
                    <w:widowControl/>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170</w:t>
                  </w:r>
                </w:p>
              </w:tc>
              <w:tc>
                <w:tcPr>
                  <w:tcW w:w="692" w:type="dxa"/>
                  <w:tcBorders>
                    <w:right w:val="single" w:color="auto" w:sz="4" w:space="0"/>
                  </w:tcBorders>
                  <w:shd w:val="clear" w:color="auto" w:fill="auto"/>
                  <w:vAlign w:val="center"/>
                </w:tcPr>
                <w:p w14:paraId="372BB867">
                  <w:pPr>
                    <w:widowControl/>
                    <w:jc w:val="center"/>
                    <w:textAlignment w:val="center"/>
                    <w:rPr>
                      <w:color w:val="000000" w:themeColor="text1"/>
                      <w:kern w:val="0"/>
                      <w:szCs w:val="21"/>
                      <w:lang w:bidi="ar"/>
                      <w14:textFill>
                        <w14:solidFill>
                          <w14:schemeClr w14:val="tx1"/>
                        </w14:solidFill>
                      </w14:textFill>
                    </w:rPr>
                  </w:pPr>
                  <w:r>
                    <w:rPr>
                      <w:color w:val="000000" w:themeColor="text1"/>
                      <w:kern w:val="0"/>
                      <w:szCs w:val="21"/>
                      <w:lang w:bidi="ar"/>
                      <w14:textFill>
                        <w14:solidFill>
                          <w14:schemeClr w14:val="tx1"/>
                        </w14:solidFill>
                      </w14:textFill>
                    </w:rPr>
                    <w:t>9</w:t>
                  </w:r>
                </w:p>
              </w:tc>
              <w:tc>
                <w:tcPr>
                  <w:tcW w:w="692" w:type="dxa"/>
                  <w:tcBorders>
                    <w:left w:val="single" w:color="auto" w:sz="4" w:space="0"/>
                  </w:tcBorders>
                  <w:shd w:val="clear" w:color="auto" w:fill="auto"/>
                  <w:vAlign w:val="center"/>
                </w:tcPr>
                <w:p w14:paraId="7FC03C05">
                  <w:pPr>
                    <w:widowControl/>
                    <w:jc w:val="center"/>
                    <w:textAlignment w:val="center"/>
                    <w:rPr>
                      <w:color w:val="000000" w:themeColor="text1"/>
                      <w:kern w:val="0"/>
                      <w:szCs w:val="21"/>
                      <w:lang w:bidi="ar"/>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638" w:type="dxa"/>
                  <w:tcBorders>
                    <w:left w:val="single" w:color="auto" w:sz="4" w:space="0"/>
                  </w:tcBorders>
                  <w:shd w:val="clear" w:color="auto" w:fill="auto"/>
                  <w:vAlign w:val="center"/>
                </w:tcPr>
                <w:p w14:paraId="75BB00A0">
                  <w:pPr>
                    <w:widowControl/>
                    <w:jc w:val="center"/>
                    <w:textAlignment w:val="center"/>
                    <w:rPr>
                      <w:color w:val="000000" w:themeColor="text1"/>
                      <w:kern w:val="0"/>
                      <w:szCs w:val="21"/>
                      <w:lang w:bidi="ar"/>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7717B90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2BB02D56">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28</w:t>
                  </w:r>
                </w:p>
              </w:tc>
              <w:tc>
                <w:tcPr>
                  <w:tcW w:w="314" w:type="pct"/>
                  <w:vMerge w:val="continue"/>
                  <w:shd w:val="clear" w:color="auto" w:fill="auto"/>
                  <w:vAlign w:val="center"/>
                </w:tcPr>
                <w:p w14:paraId="52469565">
                  <w:pPr>
                    <w:jc w:val="center"/>
                    <w:rPr>
                      <w:color w:val="000000" w:themeColor="text1"/>
                      <w:szCs w:val="21"/>
                      <w14:textFill>
                        <w14:solidFill>
                          <w14:schemeClr w14:val="tx1"/>
                        </w14:solidFill>
                      </w14:textFill>
                    </w:rPr>
                  </w:pPr>
                </w:p>
              </w:tc>
              <w:tc>
                <w:tcPr>
                  <w:tcW w:w="1490" w:type="pct"/>
                  <w:shd w:val="clear" w:color="auto" w:fill="auto"/>
                  <w:vAlign w:val="center"/>
                </w:tcPr>
                <w:p w14:paraId="06932D1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设备及车间清洗废水</w:t>
                  </w:r>
                </w:p>
              </w:tc>
              <w:tc>
                <w:tcPr>
                  <w:tcW w:w="643" w:type="pct"/>
                  <w:shd w:val="clear" w:color="auto" w:fill="auto"/>
                  <w:vAlign w:val="center"/>
                </w:tcPr>
                <w:p w14:paraId="60DDE2E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4.68</w:t>
                  </w:r>
                </w:p>
              </w:tc>
              <w:tc>
                <w:tcPr>
                  <w:tcW w:w="438" w:type="pct"/>
                  <w:shd w:val="clear" w:color="auto" w:fill="auto"/>
                  <w:vAlign w:val="center"/>
                </w:tcPr>
                <w:p w14:paraId="6007C4A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585</w:t>
                  </w:r>
                </w:p>
              </w:tc>
              <w:tc>
                <w:tcPr>
                  <w:tcW w:w="381" w:type="pct"/>
                  <w:shd w:val="clear" w:color="auto" w:fill="auto"/>
                  <w:vAlign w:val="center"/>
                </w:tcPr>
                <w:p w14:paraId="3D8D76C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334</w:t>
                  </w:r>
                </w:p>
              </w:tc>
              <w:tc>
                <w:tcPr>
                  <w:tcW w:w="436" w:type="pct"/>
                  <w:shd w:val="clear" w:color="auto" w:fill="auto"/>
                  <w:vAlign w:val="center"/>
                </w:tcPr>
                <w:p w14:paraId="48B5190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84</w:t>
                  </w:r>
                </w:p>
              </w:tc>
              <w:tc>
                <w:tcPr>
                  <w:tcW w:w="377" w:type="pct"/>
                  <w:tcBorders>
                    <w:right w:val="single" w:color="auto" w:sz="4" w:space="0"/>
                  </w:tcBorders>
                  <w:shd w:val="clear" w:color="auto" w:fill="auto"/>
                  <w:vAlign w:val="center"/>
                </w:tcPr>
                <w:p w14:paraId="2126A1F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3.19</w:t>
                  </w:r>
                </w:p>
              </w:tc>
              <w:tc>
                <w:tcPr>
                  <w:tcW w:w="377" w:type="pct"/>
                  <w:tcBorders>
                    <w:left w:val="single" w:color="auto" w:sz="4" w:space="0"/>
                  </w:tcBorders>
                  <w:shd w:val="clear" w:color="auto" w:fill="auto"/>
                  <w:vAlign w:val="center"/>
                </w:tcPr>
                <w:p w14:paraId="0711239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68.2</w:t>
                  </w:r>
                </w:p>
              </w:tc>
              <w:tc>
                <w:tcPr>
                  <w:tcW w:w="347" w:type="pct"/>
                  <w:tcBorders>
                    <w:left w:val="single" w:color="auto" w:sz="4" w:space="0"/>
                  </w:tcBorders>
                  <w:shd w:val="clear" w:color="auto" w:fill="auto"/>
                  <w:vAlign w:val="center"/>
                </w:tcPr>
                <w:p w14:paraId="0771448F">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0.56</w:t>
                  </w:r>
                </w:p>
              </w:tc>
            </w:tr>
            <w:tr w14:paraId="25A4E6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483A49D4">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29</w:t>
                  </w:r>
                </w:p>
              </w:tc>
              <w:tc>
                <w:tcPr>
                  <w:tcW w:w="1805" w:type="pct"/>
                  <w:gridSpan w:val="2"/>
                  <w:shd w:val="clear" w:color="auto" w:fill="auto"/>
                  <w:vAlign w:val="center"/>
                </w:tcPr>
                <w:p w14:paraId="3A62CC63">
                  <w:pPr>
                    <w:jc w:val="center"/>
                    <w:rPr>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黄酒及综合车间地面清洁废水</w:t>
                  </w:r>
                </w:p>
              </w:tc>
              <w:tc>
                <w:tcPr>
                  <w:tcW w:w="643" w:type="pct"/>
                  <w:shd w:val="clear" w:color="auto" w:fill="auto"/>
                  <w:vAlign w:val="center"/>
                </w:tcPr>
                <w:p w14:paraId="2ED82C5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1.548</w:t>
                  </w:r>
                </w:p>
              </w:tc>
              <w:tc>
                <w:tcPr>
                  <w:tcW w:w="438" w:type="pct"/>
                  <w:shd w:val="clear" w:color="auto" w:fill="auto"/>
                  <w:vAlign w:val="center"/>
                </w:tcPr>
                <w:p w14:paraId="1688552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370</w:t>
                  </w:r>
                </w:p>
              </w:tc>
              <w:tc>
                <w:tcPr>
                  <w:tcW w:w="381" w:type="pct"/>
                  <w:shd w:val="clear" w:color="auto" w:fill="auto"/>
                  <w:vAlign w:val="center"/>
                </w:tcPr>
                <w:p w14:paraId="50DAFBC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120</w:t>
                  </w:r>
                </w:p>
              </w:tc>
              <w:tc>
                <w:tcPr>
                  <w:tcW w:w="436" w:type="pct"/>
                  <w:shd w:val="clear" w:color="auto" w:fill="auto"/>
                  <w:vAlign w:val="center"/>
                </w:tcPr>
                <w:p w14:paraId="55B4779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660</w:t>
                  </w:r>
                </w:p>
              </w:tc>
              <w:tc>
                <w:tcPr>
                  <w:tcW w:w="377" w:type="pct"/>
                  <w:tcBorders>
                    <w:right w:val="single" w:color="auto" w:sz="4" w:space="0"/>
                  </w:tcBorders>
                  <w:shd w:val="clear" w:color="auto" w:fill="auto"/>
                  <w:vAlign w:val="center"/>
                </w:tcPr>
                <w:p w14:paraId="2D8C275A">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77" w:type="pct"/>
                  <w:tcBorders>
                    <w:left w:val="single" w:color="auto" w:sz="4" w:space="0"/>
                  </w:tcBorders>
                  <w:shd w:val="clear" w:color="auto" w:fill="auto"/>
                  <w:vAlign w:val="center"/>
                </w:tcPr>
                <w:p w14:paraId="27A889FB">
                  <w:pPr>
                    <w:widowControl/>
                    <w:jc w:val="center"/>
                    <w:textAlignment w:val="center"/>
                    <w:rPr>
                      <w:rFonts w:ascii="Times" w:hAnsi="Times" w:eastAsia="Times" w:cs="Times"/>
                      <w:color w:val="000000" w:themeColor="text1"/>
                      <w:kern w:val="0"/>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2EF4D3B2">
                  <w:pPr>
                    <w:widowControl/>
                    <w:jc w:val="center"/>
                    <w:textAlignment w:val="center"/>
                    <w:rPr>
                      <w:rFonts w:ascii="Times" w:hAnsi="Times" w:eastAsia="Times" w:cs="Times"/>
                      <w:color w:val="000000" w:themeColor="text1"/>
                      <w:kern w:val="0"/>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661224A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tcBorders>
                  <w:vAlign w:val="center"/>
                </w:tcPr>
                <w:p w14:paraId="1C3C1B41">
                  <w:pPr>
                    <w:jc w:val="center"/>
                    <w:rPr>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c>
                <w:tcPr>
                  <w:tcW w:w="1805" w:type="pct"/>
                  <w:gridSpan w:val="2"/>
                  <w:shd w:val="clear" w:color="auto" w:fill="auto"/>
                  <w:vAlign w:val="center"/>
                </w:tcPr>
                <w:p w14:paraId="4F0DFAD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化验室废水</w:t>
                  </w:r>
                </w:p>
              </w:tc>
              <w:tc>
                <w:tcPr>
                  <w:tcW w:w="643" w:type="pct"/>
                  <w:shd w:val="clear" w:color="auto" w:fill="auto"/>
                  <w:vAlign w:val="center"/>
                </w:tcPr>
                <w:p w14:paraId="24F1EFA0">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0.09</w:t>
                  </w:r>
                </w:p>
              </w:tc>
              <w:tc>
                <w:tcPr>
                  <w:tcW w:w="438" w:type="pct"/>
                  <w:shd w:val="clear" w:color="auto" w:fill="auto"/>
                  <w:vAlign w:val="center"/>
                </w:tcPr>
                <w:p w14:paraId="1E27402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100</w:t>
                  </w:r>
                </w:p>
              </w:tc>
              <w:tc>
                <w:tcPr>
                  <w:tcW w:w="381" w:type="pct"/>
                  <w:shd w:val="clear" w:color="auto" w:fill="auto"/>
                  <w:vAlign w:val="center"/>
                </w:tcPr>
                <w:p w14:paraId="62393C30">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50</w:t>
                  </w:r>
                </w:p>
              </w:tc>
              <w:tc>
                <w:tcPr>
                  <w:tcW w:w="436" w:type="pct"/>
                  <w:shd w:val="clear" w:color="auto" w:fill="auto"/>
                  <w:vAlign w:val="center"/>
                </w:tcPr>
                <w:p w14:paraId="7240A5F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20</w:t>
                  </w:r>
                </w:p>
              </w:tc>
              <w:tc>
                <w:tcPr>
                  <w:tcW w:w="377" w:type="pct"/>
                  <w:tcBorders>
                    <w:right w:val="single" w:color="auto" w:sz="4" w:space="0"/>
                  </w:tcBorders>
                  <w:shd w:val="clear" w:color="auto" w:fill="auto"/>
                  <w:vAlign w:val="center"/>
                </w:tcPr>
                <w:p w14:paraId="3043BA8A">
                  <w:pPr>
                    <w:widowControl/>
                    <w:jc w:val="center"/>
                    <w:textAlignment w:val="center"/>
                    <w:rPr>
                      <w:rFonts w:ascii="Times" w:hAnsi="Times" w:eastAsia="Times" w:cs="Times"/>
                      <w:color w:val="000000" w:themeColor="text1"/>
                      <w:kern w:val="0"/>
                      <w:szCs w:val="21"/>
                      <w14:textFill>
                        <w14:solidFill>
                          <w14:schemeClr w14:val="tx1"/>
                        </w14:solidFill>
                      </w14:textFill>
                    </w:rPr>
                  </w:pPr>
                  <w:r>
                    <w:rPr>
                      <w:color w:val="000000" w:themeColor="text1"/>
                      <w:kern w:val="0"/>
                      <w:szCs w:val="21"/>
                      <w:lang w:bidi="ar"/>
                      <w14:textFill>
                        <w14:solidFill>
                          <w14:schemeClr w14:val="tx1"/>
                        </w14:solidFill>
                      </w14:textFill>
                    </w:rPr>
                    <w:t>5</w:t>
                  </w:r>
                </w:p>
              </w:tc>
              <w:tc>
                <w:tcPr>
                  <w:tcW w:w="377" w:type="pct"/>
                  <w:tcBorders>
                    <w:left w:val="single" w:color="auto" w:sz="4" w:space="0"/>
                  </w:tcBorders>
                  <w:shd w:val="clear" w:color="auto" w:fill="auto"/>
                  <w:vAlign w:val="center"/>
                </w:tcPr>
                <w:p w14:paraId="6BE751D1">
                  <w:pPr>
                    <w:widowControl/>
                    <w:jc w:val="center"/>
                    <w:textAlignment w:val="center"/>
                    <w:rPr>
                      <w:rFonts w:ascii="Times" w:hAnsi="Times" w:eastAsia="Times" w:cs="Times"/>
                      <w:color w:val="000000" w:themeColor="text1"/>
                      <w:kern w:val="0"/>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c>
                <w:tcPr>
                  <w:tcW w:w="347" w:type="pct"/>
                  <w:tcBorders>
                    <w:left w:val="single" w:color="auto" w:sz="4" w:space="0"/>
                  </w:tcBorders>
                  <w:shd w:val="clear" w:color="auto" w:fill="auto"/>
                  <w:vAlign w:val="center"/>
                </w:tcPr>
                <w:p w14:paraId="3699BC79">
                  <w:pPr>
                    <w:widowControl/>
                    <w:jc w:val="center"/>
                    <w:textAlignment w:val="center"/>
                    <w:rPr>
                      <w:rFonts w:ascii="Times" w:hAnsi="Times" w:eastAsia="Times" w:cs="Times"/>
                      <w:color w:val="000000" w:themeColor="text1"/>
                      <w:kern w:val="0"/>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p>
              </w:tc>
            </w:tr>
            <w:tr w14:paraId="6C412A6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3" w:type="pct"/>
                  <w:tcBorders>
                    <w:top w:val="single" w:color="auto" w:sz="4" w:space="0"/>
                    <w:bottom w:val="single" w:color="auto" w:sz="4" w:space="0"/>
                  </w:tcBorders>
                  <w:vAlign w:val="center"/>
                </w:tcPr>
                <w:p w14:paraId="79756AAD">
                  <w:pPr>
                    <w:jc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31</w:t>
                  </w:r>
                </w:p>
              </w:tc>
              <w:tc>
                <w:tcPr>
                  <w:tcW w:w="1805" w:type="pct"/>
                  <w:gridSpan w:val="2"/>
                  <w:vAlign w:val="center"/>
                </w:tcPr>
                <w:p w14:paraId="689DCE6F">
                  <w:pPr>
                    <w:jc w:val="center"/>
                    <w:rPr>
                      <w:color w:val="000000" w:themeColor="text1"/>
                      <w:szCs w:val="21"/>
                      <w14:textFill>
                        <w14:solidFill>
                          <w14:schemeClr w14:val="tx1"/>
                        </w14:solidFill>
                      </w14:textFill>
                    </w:rPr>
                  </w:pPr>
                  <w:r>
                    <w:rPr>
                      <w:bCs/>
                      <w:color w:val="000000" w:themeColor="text1"/>
                      <w:szCs w:val="21"/>
                      <w14:textFill>
                        <w14:solidFill>
                          <w14:schemeClr w14:val="tx1"/>
                        </w14:solidFill>
                      </w14:textFill>
                    </w:rPr>
                    <w:t>经化粪池处理后的生活污水</w:t>
                  </w:r>
                </w:p>
              </w:tc>
              <w:tc>
                <w:tcPr>
                  <w:tcW w:w="643" w:type="pct"/>
                  <w:vAlign w:val="center"/>
                </w:tcPr>
                <w:p w14:paraId="1E6A829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1.8</w:t>
                  </w:r>
                </w:p>
              </w:tc>
              <w:tc>
                <w:tcPr>
                  <w:tcW w:w="438" w:type="pct"/>
                  <w:shd w:val="clear" w:color="auto" w:fill="auto"/>
                  <w:vAlign w:val="center"/>
                </w:tcPr>
                <w:p w14:paraId="70B36F24">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250</w:t>
                  </w:r>
                </w:p>
              </w:tc>
              <w:tc>
                <w:tcPr>
                  <w:tcW w:w="381" w:type="pct"/>
                  <w:shd w:val="clear" w:color="auto" w:fill="auto"/>
                  <w:vAlign w:val="center"/>
                </w:tcPr>
                <w:p w14:paraId="2B8B47C6">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150</w:t>
                  </w:r>
                </w:p>
              </w:tc>
              <w:tc>
                <w:tcPr>
                  <w:tcW w:w="436" w:type="pct"/>
                  <w:shd w:val="clear" w:color="auto" w:fill="auto"/>
                  <w:vAlign w:val="center"/>
                </w:tcPr>
                <w:p w14:paraId="700D53B5">
                  <w:pPr>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r>
                    <w:rPr>
                      <w:rFonts w:hint="eastAsia"/>
                      <w:color w:val="000000" w:themeColor="text1"/>
                      <w:kern w:val="0"/>
                      <w:szCs w:val="21"/>
                      <w14:textFill>
                        <w14:solidFill>
                          <w14:schemeClr w14:val="tx1"/>
                        </w14:solidFill>
                      </w14:textFill>
                    </w:rPr>
                    <w:t>50</w:t>
                  </w:r>
                </w:p>
              </w:tc>
              <w:tc>
                <w:tcPr>
                  <w:tcW w:w="377" w:type="pct"/>
                  <w:tcBorders>
                    <w:right w:val="single" w:color="auto" w:sz="4" w:space="0"/>
                  </w:tcBorders>
                  <w:shd w:val="clear" w:color="auto" w:fill="auto"/>
                  <w:vAlign w:val="center"/>
                </w:tcPr>
                <w:p w14:paraId="3DF69534">
                  <w:pPr>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30</w:t>
                  </w:r>
                </w:p>
              </w:tc>
              <w:tc>
                <w:tcPr>
                  <w:tcW w:w="377" w:type="pct"/>
                  <w:tcBorders>
                    <w:left w:val="single" w:color="auto" w:sz="4" w:space="0"/>
                  </w:tcBorders>
                  <w:shd w:val="clear" w:color="auto" w:fill="auto"/>
                  <w:vAlign w:val="center"/>
                </w:tcPr>
                <w:p w14:paraId="5417D138">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w:t>
                  </w:r>
                </w:p>
              </w:tc>
              <w:tc>
                <w:tcPr>
                  <w:tcW w:w="347" w:type="pct"/>
                  <w:tcBorders>
                    <w:left w:val="single" w:color="auto" w:sz="4" w:space="0"/>
                  </w:tcBorders>
                  <w:shd w:val="clear" w:color="auto" w:fill="auto"/>
                  <w:vAlign w:val="center"/>
                </w:tcPr>
                <w:p w14:paraId="01BE296E">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w:t>
                  </w:r>
                </w:p>
              </w:tc>
            </w:tr>
            <w:tr w14:paraId="1DA26CC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54" w:hRule="atLeast"/>
                <w:jc w:val="center"/>
              </w:trPr>
              <w:tc>
                <w:tcPr>
                  <w:tcW w:w="1998" w:type="pct"/>
                  <w:gridSpan w:val="3"/>
                  <w:tcBorders>
                    <w:top w:val="single" w:color="auto" w:sz="4" w:space="0"/>
                    <w:bottom w:val="single" w:color="auto" w:sz="4" w:space="0"/>
                  </w:tcBorders>
                  <w:vAlign w:val="center"/>
                </w:tcPr>
                <w:p w14:paraId="3FB77567">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进入污水处理站混合废水</w:t>
                  </w:r>
                </w:p>
              </w:tc>
              <w:tc>
                <w:tcPr>
                  <w:tcW w:w="643" w:type="pct"/>
                  <w:vAlign w:val="center"/>
                </w:tcPr>
                <w:p w14:paraId="5385CB9B">
                  <w:pPr>
                    <w:widowControl/>
                    <w:jc w:val="center"/>
                    <w:textAlignment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21.869</w:t>
                  </w:r>
                </w:p>
              </w:tc>
              <w:tc>
                <w:tcPr>
                  <w:tcW w:w="804" w:type="dxa"/>
                  <w:shd w:val="clear" w:color="auto" w:fill="auto"/>
                  <w:vAlign w:val="center"/>
                </w:tcPr>
                <w:p w14:paraId="002352A4">
                  <w:pPr>
                    <w:keepNext w:val="0"/>
                    <w:keepLines w:val="0"/>
                    <w:widowControl/>
                    <w:suppressLineNumbers w:val="0"/>
                    <w:jc w:val="center"/>
                    <w:textAlignment w:val="center"/>
                    <w:rPr>
                      <w:color w:val="000000" w:themeColor="text1"/>
                      <w:kern w:val="0"/>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949.344</w:t>
                  </w:r>
                </w:p>
              </w:tc>
              <w:tc>
                <w:tcPr>
                  <w:tcW w:w="699" w:type="dxa"/>
                  <w:shd w:val="clear" w:color="auto" w:fill="auto"/>
                  <w:vAlign w:val="center"/>
                </w:tcPr>
                <w:p w14:paraId="62512EC7">
                  <w:pPr>
                    <w:keepNext w:val="0"/>
                    <w:keepLines w:val="0"/>
                    <w:widowControl/>
                    <w:suppressLineNumbers w:val="0"/>
                    <w:jc w:val="center"/>
                    <w:textAlignment w:val="center"/>
                    <w:rPr>
                      <w:color w:val="000000" w:themeColor="text1"/>
                      <w:kern w:val="0"/>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535.689</w:t>
                  </w:r>
                </w:p>
              </w:tc>
              <w:tc>
                <w:tcPr>
                  <w:tcW w:w="800" w:type="dxa"/>
                  <w:shd w:val="clear" w:color="auto" w:fill="auto"/>
                  <w:vAlign w:val="center"/>
                </w:tcPr>
                <w:p w14:paraId="59A3BE92">
                  <w:pPr>
                    <w:keepNext w:val="0"/>
                    <w:keepLines w:val="0"/>
                    <w:widowControl/>
                    <w:suppressLineNumbers w:val="0"/>
                    <w:jc w:val="center"/>
                    <w:textAlignment w:val="center"/>
                    <w:rPr>
                      <w:color w:val="000000" w:themeColor="text1"/>
                      <w:kern w:val="0"/>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425.334</w:t>
                  </w:r>
                </w:p>
              </w:tc>
              <w:tc>
                <w:tcPr>
                  <w:tcW w:w="692" w:type="dxa"/>
                  <w:tcBorders>
                    <w:right w:val="single" w:color="auto" w:sz="4" w:space="0"/>
                  </w:tcBorders>
                  <w:shd w:val="clear" w:color="auto" w:fill="auto"/>
                  <w:vAlign w:val="center"/>
                </w:tcPr>
                <w:p w14:paraId="2F4A9D4B">
                  <w:pPr>
                    <w:keepNext w:val="0"/>
                    <w:keepLines w:val="0"/>
                    <w:widowControl/>
                    <w:suppressLineNumbers w:val="0"/>
                    <w:jc w:val="center"/>
                    <w:textAlignment w:val="center"/>
                    <w:rPr>
                      <w:color w:val="000000" w:themeColor="text1"/>
                      <w:kern w:val="0"/>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26.472</w:t>
                  </w:r>
                </w:p>
              </w:tc>
              <w:tc>
                <w:tcPr>
                  <w:tcW w:w="692" w:type="dxa"/>
                  <w:tcBorders>
                    <w:left w:val="single" w:color="auto" w:sz="4" w:space="0"/>
                  </w:tcBorders>
                  <w:shd w:val="clear" w:color="auto" w:fill="auto"/>
                  <w:vAlign w:val="center"/>
                </w:tcPr>
                <w:p w14:paraId="30D487CD">
                  <w:pPr>
                    <w:keepNext w:val="0"/>
                    <w:keepLines w:val="0"/>
                    <w:widowControl/>
                    <w:suppressLineNumbers w:val="0"/>
                    <w:jc w:val="center"/>
                    <w:textAlignment w:val="center"/>
                    <w:rPr>
                      <w:bCs/>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53.106</w:t>
                  </w:r>
                </w:p>
              </w:tc>
              <w:tc>
                <w:tcPr>
                  <w:tcW w:w="638" w:type="dxa"/>
                  <w:tcBorders>
                    <w:left w:val="single" w:color="auto" w:sz="4" w:space="0"/>
                  </w:tcBorders>
                  <w:shd w:val="clear" w:color="auto" w:fill="auto"/>
                  <w:vAlign w:val="center"/>
                </w:tcPr>
                <w:p w14:paraId="444765B0">
                  <w:pPr>
                    <w:keepNext w:val="0"/>
                    <w:keepLines w:val="0"/>
                    <w:widowControl/>
                    <w:suppressLineNumbers w:val="0"/>
                    <w:jc w:val="center"/>
                    <w:textAlignment w:val="center"/>
                    <w:rPr>
                      <w:bCs/>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7.849</w:t>
                  </w:r>
                </w:p>
              </w:tc>
            </w:tr>
          </w:tbl>
          <w:p w14:paraId="14ACB04A">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项目营运期</w:t>
            </w:r>
            <w:r>
              <w:rPr>
                <w:bCs/>
                <w:color w:val="000000" w:themeColor="text1"/>
                <w:sz w:val="24"/>
                <w14:textFill>
                  <w14:solidFill>
                    <w14:schemeClr w14:val="tx1"/>
                  </w14:solidFill>
                </w14:textFill>
              </w:rPr>
              <w:t>职工生活污水经化粪池（</w:t>
            </w:r>
            <w:r>
              <w:rPr>
                <w:rFonts w:hint="eastAsia"/>
                <w:bCs/>
                <w:color w:val="000000" w:themeColor="text1"/>
                <w:sz w:val="24"/>
                <w14:textFill>
                  <w14:solidFill>
                    <w14:schemeClr w14:val="tx1"/>
                  </w14:solidFill>
                </w14:textFill>
              </w:rPr>
              <w:t>总</w:t>
            </w:r>
            <w:r>
              <w:rPr>
                <w:bCs/>
                <w:color w:val="000000" w:themeColor="text1"/>
                <w:sz w:val="24"/>
                <w14:textFill>
                  <w14:solidFill>
                    <w14:schemeClr w14:val="tx1"/>
                  </w14:solidFill>
                </w14:textFill>
              </w:rPr>
              <w:t>容积5m</w:t>
            </w:r>
            <w:r>
              <w:rPr>
                <w:bCs/>
                <w:color w:val="000000" w:themeColor="text1"/>
                <w:sz w:val="24"/>
                <w:vertAlign w:val="superscript"/>
                <w14:textFill>
                  <w14:solidFill>
                    <w14:schemeClr w14:val="tx1"/>
                  </w14:solidFill>
                </w14:textFill>
              </w:rPr>
              <w:t>3</w:t>
            </w:r>
            <w:r>
              <w:rPr>
                <w:bCs/>
                <w:color w:val="000000" w:themeColor="text1"/>
                <w:sz w:val="24"/>
                <w14:textFill>
                  <w14:solidFill>
                    <w14:schemeClr w14:val="tx1"/>
                  </w14:solidFill>
                </w14:textFill>
              </w:rPr>
              <w:t>，三防措施）</w:t>
            </w:r>
            <w:r>
              <w:rPr>
                <w:rFonts w:hint="eastAsia"/>
                <w:bCs/>
                <w:color w:val="000000" w:themeColor="text1"/>
                <w:sz w:val="24"/>
                <w14:textFill>
                  <w14:solidFill>
                    <w14:schemeClr w14:val="tx1"/>
                  </w14:solidFill>
                </w14:textFill>
              </w:rPr>
              <w:t>后与各生产废水一并进入厂区污水处理站处理后</w:t>
            </w:r>
            <w:r>
              <w:rPr>
                <w:color w:val="000000" w:themeColor="text1"/>
                <w:kern w:val="0"/>
                <w:sz w:val="24"/>
                <w14:textFill>
                  <w14:solidFill>
                    <w14:schemeClr w14:val="tx1"/>
                  </w14:solidFill>
                </w14:textFill>
              </w:rPr>
              <w:t>满足</w:t>
            </w:r>
            <w:r>
              <w:rPr>
                <w:rFonts w:hint="eastAsia"/>
                <w:color w:val="000000" w:themeColor="text1"/>
                <w:kern w:val="0"/>
                <w:sz w:val="24"/>
                <w14:textFill>
                  <w14:solidFill>
                    <w14:schemeClr w14:val="tx1"/>
                  </w14:solidFill>
                </w14:textFill>
              </w:rPr>
              <w:t>《发酵酒精和白酒工业水污染物排放标准》（GB27631-2011）及其修改单表2间接排放标准、《啤酒工业水污染物排放标准》（DB41/681-2011）</w:t>
            </w:r>
            <w:r>
              <w:rPr>
                <w:color w:val="000000" w:themeColor="text1"/>
                <w:kern w:val="0"/>
                <w:sz w:val="24"/>
                <w14:textFill>
                  <w14:solidFill>
                    <w14:schemeClr w14:val="tx1"/>
                  </w14:solidFill>
                </w14:textFill>
              </w:rPr>
              <w:t>及镇平县第二污水处理厂进水水质指标要求后经市政污水管网进入镇平县第二污水处理厂进一步处理达到《城镇污水处理厂污染物排放标准》（GB18918-2002）一级A标准后</w:t>
            </w:r>
            <w:r>
              <w:rPr>
                <w:color w:val="000000" w:themeColor="text1"/>
                <w:sz w:val="24"/>
                <w14:textFill>
                  <w14:solidFill>
                    <w14:schemeClr w14:val="tx1"/>
                  </w14:solidFill>
                </w14:textFill>
              </w:rPr>
              <w:t>排入赵河</w:t>
            </w:r>
            <w:r>
              <w:rPr>
                <w:color w:val="000000" w:themeColor="text1"/>
                <w:kern w:val="0"/>
                <w:sz w:val="24"/>
                <w14:textFill>
                  <w14:solidFill>
                    <w14:schemeClr w14:val="tx1"/>
                  </w14:solidFill>
                </w14:textFill>
              </w:rPr>
              <w:t>。</w:t>
            </w:r>
          </w:p>
          <w:p w14:paraId="1EB8D35E">
            <w:pPr>
              <w:adjustRightInd w:val="0"/>
              <w:snapToGrid w:val="0"/>
              <w:spacing w:line="360" w:lineRule="auto"/>
              <w:ind w:firstLine="480" w:firstLineChars="200"/>
              <w:rPr>
                <w:rFonts w:ascii="Times" w:hAnsi="Times" w:eastAsia="Times" w:cs="Times"/>
                <w:color w:val="000000" w:themeColor="text1"/>
                <w:kern w:val="0"/>
                <w:sz w:val="24"/>
                <w14:textFill>
                  <w14:solidFill>
                    <w14:schemeClr w14:val="tx1"/>
                  </w14:solidFill>
                </w14:textFill>
              </w:rPr>
            </w:pPr>
            <w:r>
              <w:rPr>
                <w:rFonts w:hint="eastAsia" w:ascii="Times" w:hAnsi="Times" w:eastAsia="Times" w:cs="Times"/>
                <w:color w:val="000000" w:themeColor="text1"/>
                <w:kern w:val="0"/>
                <w:sz w:val="24"/>
                <w14:textFill>
                  <w14:solidFill>
                    <w14:schemeClr w14:val="tx1"/>
                  </w14:solidFill>
                </w14:textFill>
              </w:rPr>
              <w:t>参考《酿造工业废水治理工程技术规范》（HJ575-2010）及其他同类企业，本项目污水处理站拟采用“综合废水-均质调节池-水解酸化-接触氧化-沉淀池-出水”的处理工艺，处理规模</w:t>
            </w:r>
            <w:r>
              <w:rPr>
                <w:rFonts w:hint="eastAsia" w:ascii="Times" w:hAnsi="Times" w:cs="Times"/>
                <w:color w:val="000000" w:themeColor="text1"/>
                <w:kern w:val="0"/>
                <w:sz w:val="24"/>
                <w14:textFill>
                  <w14:solidFill>
                    <w14:schemeClr w14:val="tx1"/>
                  </w14:solidFill>
                </w14:textFill>
              </w:rPr>
              <w:t>30</w:t>
            </w:r>
            <w:r>
              <w:rPr>
                <w:rFonts w:hint="eastAsia" w:ascii="Times" w:hAnsi="Times" w:eastAsia="Times" w:cs="Times"/>
                <w:color w:val="000000" w:themeColor="text1"/>
                <w:kern w:val="0"/>
                <w:sz w:val="24"/>
                <w14:textFill>
                  <w14:solidFill>
                    <w14:schemeClr w14:val="tx1"/>
                  </w14:solidFill>
                </w14:textFill>
              </w:rPr>
              <w:t>m</w:t>
            </w:r>
            <w:r>
              <w:rPr>
                <w:rFonts w:hint="eastAsia" w:ascii="Times" w:hAnsi="Times" w:eastAsia="Times" w:cs="Times"/>
                <w:color w:val="000000" w:themeColor="text1"/>
                <w:kern w:val="0"/>
                <w:sz w:val="24"/>
                <w:vertAlign w:val="superscript"/>
                <w14:textFill>
                  <w14:solidFill>
                    <w14:schemeClr w14:val="tx1"/>
                  </w14:solidFill>
                </w14:textFill>
              </w:rPr>
              <w:t>3</w:t>
            </w:r>
            <w:r>
              <w:rPr>
                <w:rFonts w:hint="eastAsia" w:ascii="Times" w:hAnsi="Times" w:eastAsia="Times" w:cs="Times"/>
                <w:color w:val="000000" w:themeColor="text1"/>
                <w:kern w:val="0"/>
                <w:sz w:val="24"/>
                <w14:textFill>
                  <w14:solidFill>
                    <w14:schemeClr w14:val="tx1"/>
                  </w14:solidFill>
                </w14:textFill>
              </w:rPr>
              <w:t>/d。</w:t>
            </w:r>
          </w:p>
          <w:p w14:paraId="7ED76029">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2.2废水处理措施可行性及达标性分析</w:t>
            </w:r>
          </w:p>
          <w:p w14:paraId="5FA7F6D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（1）生活</w:t>
            </w:r>
            <w:r>
              <w:rPr>
                <w:rFonts w:hint="eastAsia"/>
                <w:color w:val="000000" w:themeColor="text1"/>
                <w:sz w:val="24"/>
                <w14:textFill>
                  <w14:solidFill>
                    <w14:schemeClr w14:val="tx1"/>
                  </w14:solidFill>
                </w14:textFill>
              </w:rPr>
              <w:t>污水化粪池预</w:t>
            </w:r>
            <w:r>
              <w:rPr>
                <w:color w:val="000000" w:themeColor="text1"/>
                <w:sz w:val="24"/>
                <w14:textFill>
                  <w14:solidFill>
                    <w14:schemeClr w14:val="tx1"/>
                  </w14:solidFill>
                </w14:textFill>
              </w:rPr>
              <w:t>处理措施</w:t>
            </w:r>
          </w:p>
          <w:p w14:paraId="3602E18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本项目劳动定员</w:t>
            </w:r>
            <w:r>
              <w:rPr>
                <w:rFonts w:hint="eastAsia"/>
                <w:color w:val="000000" w:themeColor="text1"/>
                <w:sz w:val="24"/>
                <w14:textFill>
                  <w14:solidFill>
                    <w14:schemeClr w14:val="tx1"/>
                  </w14:solidFill>
                </w14:textFill>
              </w:rPr>
              <w:t>45</w:t>
            </w:r>
            <w:r>
              <w:rPr>
                <w:color w:val="000000" w:themeColor="text1"/>
                <w:sz w:val="24"/>
                <w14:textFill>
                  <w14:solidFill>
                    <w14:schemeClr w14:val="tx1"/>
                  </w14:solidFill>
                </w14:textFill>
              </w:rPr>
              <w:t>人，均不在厂区食宿，职工办公生活废水量为</w:t>
            </w:r>
            <w:r>
              <w:rPr>
                <w:rFonts w:hint="eastAsia"/>
                <w:color w:val="000000" w:themeColor="text1"/>
                <w:sz w:val="24"/>
                <w14:textFill>
                  <w14:solidFill>
                    <w14:schemeClr w14:val="tx1"/>
                  </w14:solidFill>
                </w14:textFill>
              </w:rPr>
              <w:t>1.8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/d，废水中主要污染物为COD、BOD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-N、SS，产生浓度分别为350mg/L、250mg/L、30mg/L、280mg/L，生活废水经化粪池（5m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三防</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措施）处理后</w:t>
            </w:r>
            <w:r>
              <w:rPr>
                <w:rFonts w:hint="eastAsia"/>
                <w:color w:val="000000" w:themeColor="text1"/>
                <w:sz w:val="24"/>
                <w14:textFill>
                  <w14:solidFill>
                    <w14:schemeClr w14:val="tx1"/>
                  </w14:solidFill>
                </w14:textFill>
              </w:rPr>
              <w:t>进入厂区污水处理站处理</w:t>
            </w:r>
            <w:r>
              <w:rPr>
                <w:color w:val="000000" w:themeColor="text1"/>
                <w:sz w:val="24"/>
                <w14:textFill>
                  <w14:solidFill>
                    <w14:schemeClr w14:val="tx1"/>
                  </w14:solidFill>
                </w14:textFill>
              </w:rPr>
              <w:t>。项目废水产生量为</w:t>
            </w:r>
            <w:r>
              <w:rPr>
                <w:rFonts w:hint="eastAsia"/>
                <w:color w:val="000000" w:themeColor="text1"/>
                <w:sz w:val="24"/>
                <w14:textFill>
                  <w14:solidFill>
                    <w14:schemeClr w14:val="tx1"/>
                  </w14:solidFill>
                </w14:textFill>
              </w:rPr>
              <w:t>1.8</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/d，化粪池容积为5m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，处理能力能够满足需求</w:t>
            </w:r>
            <w:r>
              <w:rPr>
                <w:rFonts w:hint="eastAsia"/>
                <w:color w:val="000000" w:themeColor="text1"/>
                <w:sz w:val="24"/>
                <w14:textFill>
                  <w14:solidFill>
                    <w14:schemeClr w14:val="tx1"/>
                  </w14:solidFill>
                </w14:textFill>
              </w:rPr>
              <w:t>，因此处理措施可行</w:t>
            </w:r>
            <w:r>
              <w:rPr>
                <w:color w:val="000000" w:themeColor="text1"/>
                <w:sz w:val="24"/>
                <w14:textFill>
                  <w14:solidFill>
                    <w14:schemeClr w14:val="tx1"/>
                  </w14:solidFill>
                </w14:textFill>
              </w:rPr>
              <w:t>。</w:t>
            </w:r>
          </w:p>
          <w:p w14:paraId="2C076DDC">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（2）综合废水处理站</w:t>
            </w:r>
          </w:p>
          <w:p w14:paraId="3F34F43C">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lang w:val="en-US" w:eastAsia="zh-CN"/>
                <w14:textFill>
                  <w14:solidFill>
                    <w14:schemeClr w14:val="tx1"/>
                  </w14:solidFill>
                </w14:textFill>
              </w:rPr>
              <w:t>本项目废水为间歇产生，考虑到污水处理站连续稳定运行，设置调节池进行水量调节，调节池按照单次最大水量设计（单次最大废水量为40.533</w:t>
            </w:r>
            <w:r>
              <w:rPr>
                <w:rFonts w:hint="eastAsia" w:ascii="Times" w:hAnsi="Times" w:eastAsia="Times" w:cs="Times"/>
                <w:color w:val="000000" w:themeColor="text1"/>
                <w:kern w:val="0"/>
                <w:sz w:val="24"/>
                <w14:textFill>
                  <w14:solidFill>
                    <w14:schemeClr w14:val="tx1"/>
                  </w14:solidFill>
                </w14:textFill>
              </w:rPr>
              <w:t>m</w:t>
            </w:r>
            <w:r>
              <w:rPr>
                <w:rFonts w:hint="eastAsia" w:ascii="Times" w:hAnsi="Times" w:eastAsia="Times" w:cs="Times"/>
                <w:color w:val="000000" w:themeColor="text1"/>
                <w:kern w:val="0"/>
                <w:sz w:val="24"/>
                <w:vertAlign w:val="superscript"/>
                <w14:textFill>
                  <w14:solidFill>
                    <w14:schemeClr w14:val="tx1"/>
                  </w14:solidFill>
                </w14:textFill>
              </w:rPr>
              <w:t>3</w:t>
            </w:r>
            <w:r>
              <w:rPr>
                <w:rFonts w:hint="eastAsia" w:ascii="Times" w:hAnsi="Times" w:eastAsia="Times" w:cs="Times"/>
                <w:color w:val="000000" w:themeColor="text1"/>
                <w:kern w:val="0"/>
                <w:sz w:val="24"/>
                <w14:textFill>
                  <w14:solidFill>
                    <w14:schemeClr w14:val="tx1"/>
                  </w14:solidFill>
                </w14:textFill>
              </w:rPr>
              <w:t>/d</w:t>
            </w:r>
            <w:r>
              <w:rPr>
                <w:rFonts w:hint="eastAsia" w:ascii="Times" w:hAnsi="Times" w:eastAsia="宋体" w:cs="Times"/>
                <w:color w:val="000000" w:themeColor="text1"/>
                <w:kern w:val="0"/>
                <w:sz w:val="24"/>
                <w:lang w:eastAsia="zh-CN"/>
                <w14:textFill>
                  <w14:solidFill>
                    <w14:schemeClr w14:val="tx1"/>
                  </w14:solidFill>
                </w14:textFill>
              </w:rPr>
              <w:t>，</w:t>
            </w:r>
            <w:r>
              <w:rPr>
                <w:rFonts w:hint="eastAsia" w:ascii="Times" w:hAnsi="Times" w:eastAsia="宋体" w:cs="Times"/>
                <w:color w:val="000000" w:themeColor="text1"/>
                <w:kern w:val="0"/>
                <w:sz w:val="24"/>
                <w:lang w:val="en-US" w:eastAsia="zh-CN"/>
                <w14:textFill>
                  <w14:solidFill>
                    <w14:schemeClr w14:val="tx1"/>
                  </w14:solidFill>
                </w14:textFill>
              </w:rPr>
              <w:t>因此调节池设计能力为50</w:t>
            </w:r>
            <w:r>
              <w:rPr>
                <w:rFonts w:hint="eastAsia" w:ascii="Times" w:hAnsi="Times" w:eastAsia="Times" w:cs="Times"/>
                <w:color w:val="000000" w:themeColor="text1"/>
                <w:kern w:val="0"/>
                <w:sz w:val="24"/>
                <w14:textFill>
                  <w14:solidFill>
                    <w14:schemeClr w14:val="tx1"/>
                  </w14:solidFill>
                </w14:textFill>
              </w:rPr>
              <w:t>m</w:t>
            </w:r>
            <w:r>
              <w:rPr>
                <w:rFonts w:hint="eastAsia" w:ascii="Times" w:hAnsi="Times" w:eastAsia="Times" w:cs="Times"/>
                <w:color w:val="000000" w:themeColor="text1"/>
                <w:kern w:val="0"/>
                <w:sz w:val="24"/>
                <w:vertAlign w:val="superscript"/>
                <w14:textFill>
                  <w14:solidFill>
                    <w14:schemeClr w14:val="tx1"/>
                  </w14:solidFill>
                </w14:textFill>
              </w:rPr>
              <w:t>3</w:t>
            </w:r>
            <w:r>
              <w:rPr>
                <w:rFonts w:hint="eastAsia" w:ascii="Times" w:hAnsi="Times" w:eastAsia="Times" w:cs="Times"/>
                <w:color w:val="000000" w:themeColor="text1"/>
                <w:kern w:val="0"/>
                <w:sz w:val="24"/>
                <w14:textFill>
                  <w14:solidFill>
                    <w14:schemeClr w14:val="tx1"/>
                  </w14:solidFill>
                </w14:textFill>
              </w:rPr>
              <w:t>/d</w:t>
            </w:r>
            <w:r>
              <w:rPr>
                <w:rFonts w:hint="eastAsia" w:ascii="Times" w:hAnsi="Times" w:eastAsia="宋体" w:cs="Times"/>
                <w:color w:val="000000" w:themeColor="text1"/>
                <w:kern w:val="0"/>
                <w:sz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w:t>
            </w:r>
            <w:r>
              <w:rPr>
                <w:rFonts w:hint="eastAsia"/>
                <w:color w:val="000000" w:themeColor="text1"/>
                <w:sz w:val="24"/>
                <w14:textFill>
                  <w14:solidFill>
                    <w14:schemeClr w14:val="tx1"/>
                  </w14:solidFill>
                </w14:textFill>
              </w:rPr>
              <w:t>废水处理工艺：</w:t>
            </w:r>
            <w:r>
              <w:rPr>
                <w:rFonts w:hint="eastAsia" w:ascii="Times" w:hAnsi="Times" w:eastAsia="Times" w:cs="Times"/>
                <w:color w:val="000000" w:themeColor="text1"/>
                <w:kern w:val="0"/>
                <w:sz w:val="24"/>
                <w14:textFill>
                  <w14:solidFill>
                    <w14:schemeClr w14:val="tx1"/>
                  </w14:solidFill>
                </w14:textFill>
              </w:rPr>
              <w:t>综合废水-均质调节池-水解酸化-接触氧化-沉淀池-出水，处理规模</w:t>
            </w:r>
            <w:r>
              <w:rPr>
                <w:rFonts w:hint="eastAsia" w:ascii="Times" w:hAnsi="Times" w:cs="Times"/>
                <w:color w:val="000000" w:themeColor="text1"/>
                <w:kern w:val="0"/>
                <w:sz w:val="24"/>
                <w14:textFill>
                  <w14:solidFill>
                    <w14:schemeClr w14:val="tx1"/>
                  </w14:solidFill>
                </w14:textFill>
              </w:rPr>
              <w:t>3</w:t>
            </w:r>
            <w:r>
              <w:rPr>
                <w:rFonts w:hint="eastAsia" w:ascii="Times" w:hAnsi="Times" w:eastAsia="Times" w:cs="Times"/>
                <w:color w:val="000000" w:themeColor="text1"/>
                <w:kern w:val="0"/>
                <w:sz w:val="24"/>
                <w14:textFill>
                  <w14:solidFill>
                    <w14:schemeClr w14:val="tx1"/>
                  </w14:solidFill>
                </w14:textFill>
              </w:rPr>
              <w:t>0m</w:t>
            </w:r>
            <w:r>
              <w:rPr>
                <w:rFonts w:hint="eastAsia" w:ascii="Times" w:hAnsi="Times" w:eastAsia="Times" w:cs="Times"/>
                <w:color w:val="000000" w:themeColor="text1"/>
                <w:kern w:val="0"/>
                <w:sz w:val="24"/>
                <w:vertAlign w:val="superscript"/>
                <w14:textFill>
                  <w14:solidFill>
                    <w14:schemeClr w14:val="tx1"/>
                  </w14:solidFill>
                </w14:textFill>
              </w:rPr>
              <w:t>3</w:t>
            </w:r>
            <w:r>
              <w:rPr>
                <w:rFonts w:hint="eastAsia" w:ascii="Times" w:hAnsi="Times" w:eastAsia="Times" w:cs="Times"/>
                <w:color w:val="000000" w:themeColor="text1"/>
                <w:kern w:val="0"/>
                <w:sz w:val="24"/>
                <w14:textFill>
                  <w14:solidFill>
                    <w14:schemeClr w14:val="tx1"/>
                  </w14:solidFill>
                </w14:textFill>
              </w:rPr>
              <w:t>/d。本项目生产废水和生活污水总计为2</w:t>
            </w:r>
            <w:r>
              <w:rPr>
                <w:rFonts w:hint="eastAsia" w:ascii="Times" w:hAnsi="Times" w:eastAsia="宋体" w:cs="Times"/>
                <w:color w:val="000000" w:themeColor="text1"/>
                <w:kern w:val="0"/>
                <w:sz w:val="24"/>
                <w:lang w:val="en-US" w:eastAsia="zh-CN"/>
                <w14:textFill>
                  <w14:solidFill>
                    <w14:schemeClr w14:val="tx1"/>
                  </w14:solidFill>
                </w14:textFill>
              </w:rPr>
              <w:t>1.869</w:t>
            </w:r>
            <w:r>
              <w:rPr>
                <w:color w:val="000000" w:themeColor="text1"/>
                <w:kern w:val="0"/>
                <w:sz w:val="24"/>
                <w14:textFill>
                  <w14:solidFill>
                    <w14:schemeClr w14:val="tx1"/>
                  </w14:solidFill>
                </w14:textFill>
              </w:rPr>
              <w:t>m</w:t>
            </w:r>
            <w:r>
              <w:rPr>
                <w:rFonts w:hint="eastAsia"/>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/d</w:t>
            </w:r>
            <w:r>
              <w:rPr>
                <w:rFonts w:hint="eastAsia"/>
                <w:color w:val="000000" w:themeColor="text1"/>
                <w:kern w:val="0"/>
                <w:sz w:val="24"/>
                <w14:textFill>
                  <w14:solidFill>
                    <w14:schemeClr w14:val="tx1"/>
                  </w14:solidFill>
                </w14:textFill>
              </w:rPr>
              <w:t>（4</w:t>
            </w:r>
            <w:r>
              <w:rPr>
                <w:rFonts w:hint="eastAsia"/>
                <w:color w:val="000000" w:themeColor="text1"/>
                <w:kern w:val="0"/>
                <w:sz w:val="24"/>
                <w:lang w:val="en-US" w:eastAsia="zh-CN"/>
                <w14:textFill>
                  <w14:solidFill>
                    <w14:schemeClr w14:val="tx1"/>
                  </w14:solidFill>
                </w14:textFill>
              </w:rPr>
              <w:t>985.752</w:t>
            </w:r>
            <w:r>
              <w:rPr>
                <w:color w:val="000000" w:themeColor="text1"/>
                <w:kern w:val="0"/>
                <w:sz w:val="24"/>
                <w14:textFill>
                  <w14:solidFill>
                    <w14:schemeClr w14:val="tx1"/>
                  </w14:solidFill>
                </w14:textFill>
              </w:rPr>
              <w:t>m</w:t>
            </w:r>
            <w:r>
              <w:rPr>
                <w:rFonts w:hint="eastAsia"/>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a）。污水处理站处理规模能够满足本项目废水处理需要。</w:t>
            </w:r>
            <w:r>
              <w:rPr>
                <w:color w:val="000000" w:themeColor="text1"/>
                <w:sz w:val="24"/>
                <w14:textFill>
                  <w14:solidFill>
                    <w14:schemeClr w14:val="tx1"/>
                  </w14:solidFill>
                </w14:textFill>
              </w:rPr>
              <w:t>污水站处理工艺流程见下图。</w:t>
            </w:r>
          </w:p>
          <w:tbl>
            <w:tblPr>
              <w:tblStyle w:val="26"/>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253"/>
            </w:tblGrid>
            <w:tr w14:paraId="7C2BAB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70" w:type="dxa"/>
                  <w:vAlign w:val="center"/>
                </w:tcPr>
                <w:p w14:paraId="6913604D">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648325" cy="2112010"/>
                        <wp:effectExtent l="0" t="0" r="9525" b="2540"/>
                        <wp:docPr id="1052" name="图片 11"/>
                        <wp:cNvGraphicFramePr/>
                        <a:graphic xmlns:a="http://schemas.openxmlformats.org/drawingml/2006/main">
                          <a:graphicData uri="http://schemas.openxmlformats.org/drawingml/2006/picture">
                            <pic:pic xmlns:pic="http://schemas.openxmlformats.org/drawingml/2006/picture">
                              <pic:nvPicPr>
                                <pic:cNvPr id="1052" name="图片 11"/>
                                <pic:cNvPicPr/>
                              </pic:nvPicPr>
                              <pic:blipFill>
                                <a:blip r:embed="rId43" cstate="print"/>
                                <a:srcRect/>
                                <a:stretch>
                                  <a:fillRect/>
                                </a:stretch>
                              </pic:blipFill>
                              <pic:spPr>
                                <a:xfrm>
                                  <a:off x="0" y="0"/>
                                  <a:ext cx="5648325" cy="2112010"/>
                                </a:xfrm>
                                <a:prstGeom prst="rect">
                                  <a:avLst/>
                                </a:prstGeom>
                                <a:ln>
                                  <a:noFill/>
                                </a:ln>
                              </pic:spPr>
                            </pic:pic>
                          </a:graphicData>
                        </a:graphic>
                      </wp:inline>
                    </w:drawing>
                  </w:r>
                </w:p>
              </w:tc>
            </w:tr>
            <w:tr w14:paraId="429CBF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270" w:type="dxa"/>
                  <w:vAlign w:val="center"/>
                </w:tcPr>
                <w:p w14:paraId="27C8F46C">
                  <w:pPr>
                    <w:adjustRightInd w:val="0"/>
                    <w:snapToGrid w:val="0"/>
                    <w:spacing w:line="360" w:lineRule="auto"/>
                    <w:jc w:val="center"/>
                    <w:rPr>
                      <w:color w:val="000000" w:themeColor="text1"/>
                      <w14:textFill>
                        <w14:solidFill>
                          <w14:schemeClr w14:val="tx1"/>
                        </w14:solidFill>
                      </w14:textFill>
                    </w:rPr>
                  </w:pPr>
                  <w:r>
                    <w:rPr>
                      <w:b/>
                      <w:color w:val="000000" w:themeColor="text1"/>
                      <w:sz w:val="24"/>
                      <w14:textFill>
                        <w14:solidFill>
                          <w14:schemeClr w14:val="tx1"/>
                        </w14:solidFill>
                      </w14:textFill>
                    </w:rPr>
                    <w:t>图4-1</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污水处理站处理工艺流程图</w:t>
                  </w:r>
                </w:p>
              </w:tc>
            </w:tr>
          </w:tbl>
          <w:p w14:paraId="145C1B06">
            <w:pPr>
              <w:rPr>
                <w:color w:val="000000" w:themeColor="text1"/>
                <w14:textFill>
                  <w14:solidFill>
                    <w14:schemeClr w14:val="tx1"/>
                  </w14:solidFill>
                </w14:textFill>
              </w:rPr>
            </w:pPr>
          </w:p>
          <w:p w14:paraId="3336258F">
            <w:pPr>
              <w:widowControl/>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工艺流程简述：</w:t>
            </w:r>
          </w:p>
          <w:p w14:paraId="2F17CDE7">
            <w:pPr>
              <w:widowControl/>
              <w:spacing w:line="360" w:lineRule="auto"/>
              <w:ind w:firstLine="480" w:firstLineChars="200"/>
              <w:jc w:val="left"/>
              <w:rPr>
                <w:color w:val="000000" w:themeColor="text1"/>
                <w14:textFill>
                  <w14:solidFill>
                    <w14:schemeClr w14:val="tx1"/>
                  </w14:solidFill>
                </w14:textFill>
              </w:rPr>
            </w:pPr>
            <w:r>
              <w:rPr>
                <w:rFonts w:hint="eastAsia"/>
                <w:color w:val="000000" w:themeColor="text1"/>
                <w:sz w:val="24"/>
                <w14:textFill>
                  <w14:solidFill>
                    <w14:schemeClr w14:val="tx1"/>
                  </w14:solidFill>
                </w14:textFill>
              </w:rPr>
              <w:t>①均质调节池：</w:t>
            </w:r>
            <w:r>
              <w:rPr>
                <w:rFonts w:hint="eastAsia" w:ascii="宋体" w:hAnsi="宋体" w:cs="宋体"/>
                <w:color w:val="000000" w:themeColor="text1"/>
                <w:kern w:val="0"/>
                <w:sz w:val="24"/>
                <w14:textFill>
                  <w14:solidFill>
                    <w14:schemeClr w14:val="tx1"/>
                  </w14:solidFill>
                </w14:textFill>
              </w:rPr>
              <w:t>项目调节池的功能为调节水量、均化水质。由于项目废水排放过程中废水量及水质不均匀，使得废水的流量或浓度，在排水时段内有较大范围的变化。</w:t>
            </w:r>
          </w:p>
          <w:p w14:paraId="39A8C7ED">
            <w:pPr>
              <w:widowControl/>
              <w:spacing w:line="360" w:lineRule="auto"/>
              <w:ind w:firstLine="480" w:firstLineChars="200"/>
              <w:jc w:val="left"/>
              <w:rPr>
                <w:color w:val="000000" w:themeColor="text1"/>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为使处理构筑物正常工作，不受废水高峰流量或浓度变化的影响，需要设一调节池来调节水量和水质，收集企业内污水并提升污水，满足后续处理设施水力要求。</w:t>
            </w:r>
          </w:p>
          <w:p w14:paraId="77629654">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②水解酸化：</w:t>
            </w:r>
          </w:p>
          <w:p w14:paraId="00B839C4">
            <w:pPr>
              <w:widowControl/>
              <w:spacing w:line="360" w:lineRule="auto"/>
              <w:ind w:firstLine="480" w:firstLineChars="200"/>
              <w:jc w:val="left"/>
              <w:rPr>
                <w:color w:val="000000" w:themeColor="text1"/>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水解酸化的作用是将废水中分子链较长的有机化合物，在缺氧状态下，通过厌氧和兼氧微生物的作用而分解成分子量较小的有机化合物，有利于下一级处理。</w:t>
            </w:r>
          </w:p>
          <w:p w14:paraId="200127EC">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③接触氧化：</w:t>
            </w:r>
          </w:p>
          <w:p w14:paraId="3E1AF4F7">
            <w:pPr>
              <w:widowControl/>
              <w:spacing w:line="360" w:lineRule="auto"/>
              <w:ind w:firstLine="480" w:firstLineChars="200"/>
              <w:rPr>
                <w:color w:val="000000" w:themeColor="text1"/>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生物接触氧化法以生物膜法为主，兼有活性污泥法的特点。共分两阶段。前段在生物接触氧化即在较高的有机负荷下，通过附着于填料上的大量不同种属的微生物群落共同参与，生化降解和吸附作用，去除污水中的各种有机物质，使污水中的有机物含量大幅度降低。后段在有机负荷较低的情况下，通过硝化菌的作用，在氧量充足的条件下降解污水中的氨氮，同时也使污水中的</w:t>
            </w:r>
            <w:r>
              <w:rPr>
                <w:color w:val="000000" w:themeColor="text1"/>
                <w:kern w:val="0"/>
                <w:sz w:val="24"/>
                <w14:textFill>
                  <w14:solidFill>
                    <w14:schemeClr w14:val="tx1"/>
                  </w14:solidFill>
                </w14:textFill>
              </w:rPr>
              <w:t>COD</w:t>
            </w:r>
            <w:r>
              <w:rPr>
                <w:rFonts w:hint="eastAsia" w:ascii="宋体" w:hAnsi="宋体" w:cs="宋体"/>
                <w:color w:val="000000" w:themeColor="text1"/>
                <w:kern w:val="0"/>
                <w:sz w:val="24"/>
                <w14:textFill>
                  <w14:solidFill>
                    <w14:schemeClr w14:val="tx1"/>
                  </w14:solidFill>
                </w14:textFill>
              </w:rPr>
              <w:t>值降低到更低的水平，使污水得以净化。</w:t>
            </w:r>
          </w:p>
          <w:p w14:paraId="7B59D1E9">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④沉淀池：</w:t>
            </w:r>
          </w:p>
          <w:p w14:paraId="707927E9">
            <w:pPr>
              <w:widowControl/>
              <w:spacing w:line="360" w:lineRule="auto"/>
              <w:ind w:firstLine="480" w:firstLineChars="200"/>
              <w:jc w:val="left"/>
              <w:rPr>
                <w:color w:val="000000" w:themeColor="text1"/>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沉淀池通过沉淀，进一步去除污水中的</w:t>
            </w:r>
            <w:r>
              <w:rPr>
                <w:color w:val="000000" w:themeColor="text1"/>
                <w:kern w:val="0"/>
                <w:sz w:val="24"/>
                <w14:textFill>
                  <w14:solidFill>
                    <w14:schemeClr w14:val="tx1"/>
                  </w14:solidFill>
                </w14:textFill>
              </w:rPr>
              <w:t>COD</w:t>
            </w:r>
            <w:r>
              <w:rPr>
                <w:rFonts w:hint="eastAsia" w:ascii="宋体" w:hAnsi="宋体" w:cs="宋体"/>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SS</w:t>
            </w:r>
            <w:r>
              <w:rPr>
                <w:rFonts w:hint="eastAsia" w:ascii="宋体" w:hAnsi="宋体" w:cs="宋体"/>
                <w:color w:val="000000" w:themeColor="text1"/>
                <w:kern w:val="0"/>
                <w:sz w:val="24"/>
                <w14:textFill>
                  <w14:solidFill>
                    <w14:schemeClr w14:val="tx1"/>
                  </w14:solidFill>
                </w14:textFill>
              </w:rPr>
              <w:t>等；还通过重力沉降作用进行泥水分离，部分回流，作为污泥补充，剩余污泥脱水后定期外运。</w:t>
            </w:r>
          </w:p>
          <w:p w14:paraId="172D42BA">
            <w:pPr>
              <w:spacing w:line="360" w:lineRule="auto"/>
              <w:ind w:firstLine="480" w:firstLineChars="200"/>
              <w:rPr>
                <w:color w:val="000000" w:themeColor="text1"/>
                <w:kern w:val="21"/>
                <w:sz w:val="24"/>
                <w14:textFill>
                  <w14:solidFill>
                    <w14:schemeClr w14:val="tx1"/>
                  </w14:solidFill>
                </w14:textFill>
              </w:rPr>
            </w:pPr>
            <w:r>
              <w:rPr>
                <w:rFonts w:hint="eastAsia"/>
                <w:color w:val="000000" w:themeColor="text1"/>
                <w:sz w:val="24"/>
                <w14:textFill>
                  <w14:solidFill>
                    <w14:schemeClr w14:val="tx1"/>
                  </w14:solidFill>
                </w14:textFill>
              </w:rPr>
              <w:t>本项目为</w:t>
            </w:r>
            <w:r>
              <w:rPr>
                <w:rFonts w:hint="eastAsia"/>
                <w:color w:val="000000" w:themeColor="text1"/>
                <w:kern w:val="21"/>
                <w:sz w:val="24"/>
                <w14:textFill>
                  <w14:solidFill>
                    <w14:schemeClr w14:val="tx1"/>
                  </w14:solidFill>
                </w14:textFill>
              </w:rPr>
              <w:t>酒类制造项目，比对《固定污染源排污许可分类管理名录（2019年版）》，属于简化管理，适用《排污许可证申请与核发技术规范 酒、饮料制造工业》（HJ 1028-2019）。根据《排污许可证申请与核发技术规范 酒、饮料制造工业》（HJ1028-2019）中表8 酒、饮料制造工业排污单位废水污染防治可行技术参考表，本项目比对分析如下：</w:t>
            </w:r>
          </w:p>
          <w:p w14:paraId="098E924A">
            <w:pPr>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表4-10  与HJ 1028-2019中可行技术比对分析表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5"/>
              <w:gridCol w:w="797"/>
              <w:gridCol w:w="3044"/>
              <w:gridCol w:w="2537"/>
              <w:gridCol w:w="1161"/>
            </w:tblGrid>
            <w:tr w14:paraId="4F8FA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999" w:type="pct"/>
                  <w:gridSpan w:val="3"/>
                  <w:vAlign w:val="center"/>
                </w:tcPr>
                <w:p w14:paraId="36D61FEA">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HJ 1028-2019</w:t>
                  </w:r>
                </w:p>
              </w:tc>
              <w:tc>
                <w:tcPr>
                  <w:tcW w:w="1372" w:type="pct"/>
                  <w:vMerge w:val="restart"/>
                  <w:vAlign w:val="center"/>
                </w:tcPr>
                <w:p w14:paraId="5DD11991">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本项目采取措施</w:t>
                  </w:r>
                </w:p>
              </w:tc>
              <w:tc>
                <w:tcPr>
                  <w:tcW w:w="628" w:type="pct"/>
                  <w:vMerge w:val="restart"/>
                  <w:vAlign w:val="center"/>
                </w:tcPr>
                <w:p w14:paraId="5AA14D87">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是否为可行技术</w:t>
                  </w:r>
                </w:p>
              </w:tc>
            </w:tr>
            <w:tr w14:paraId="2AF33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22" w:type="pct"/>
                  <w:vAlign w:val="center"/>
                </w:tcPr>
                <w:p w14:paraId="158A9827">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废水类别</w:t>
                  </w:r>
                </w:p>
              </w:tc>
              <w:tc>
                <w:tcPr>
                  <w:tcW w:w="431" w:type="pct"/>
                  <w:vAlign w:val="center"/>
                </w:tcPr>
                <w:p w14:paraId="08EECD32">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排放去向</w:t>
                  </w:r>
                </w:p>
              </w:tc>
              <w:tc>
                <w:tcPr>
                  <w:tcW w:w="1645" w:type="pct"/>
                  <w:vAlign w:val="center"/>
                </w:tcPr>
                <w:p w14:paraId="226A3ED2">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可行技术（一般排污单位）</w:t>
                  </w:r>
                </w:p>
              </w:tc>
              <w:tc>
                <w:tcPr>
                  <w:tcW w:w="1372" w:type="pct"/>
                  <w:vMerge w:val="continue"/>
                  <w:vAlign w:val="center"/>
                </w:tcPr>
                <w:p w14:paraId="2594A522">
                  <w:pPr>
                    <w:adjustRightInd w:val="0"/>
                    <w:snapToGrid w:val="0"/>
                    <w:jc w:val="center"/>
                    <w:rPr>
                      <w:color w:val="000000" w:themeColor="text1"/>
                      <w:kern w:val="21"/>
                      <w:szCs w:val="21"/>
                      <w14:textFill>
                        <w14:solidFill>
                          <w14:schemeClr w14:val="tx1"/>
                        </w14:solidFill>
                      </w14:textFill>
                    </w:rPr>
                  </w:pPr>
                </w:p>
              </w:tc>
              <w:tc>
                <w:tcPr>
                  <w:tcW w:w="628" w:type="pct"/>
                  <w:vMerge w:val="continue"/>
                  <w:vAlign w:val="center"/>
                </w:tcPr>
                <w:p w14:paraId="342703D2">
                  <w:pPr>
                    <w:adjustRightInd w:val="0"/>
                    <w:snapToGrid w:val="0"/>
                    <w:jc w:val="center"/>
                    <w:rPr>
                      <w:color w:val="000000" w:themeColor="text1"/>
                      <w:kern w:val="21"/>
                      <w:szCs w:val="21"/>
                      <w14:textFill>
                        <w14:solidFill>
                          <w14:schemeClr w14:val="tx1"/>
                        </w14:solidFill>
                      </w14:textFill>
                    </w:rPr>
                  </w:pPr>
                </w:p>
              </w:tc>
            </w:tr>
            <w:tr w14:paraId="543AE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22" w:type="pct"/>
                  <w:vAlign w:val="center"/>
                </w:tcPr>
                <w:p w14:paraId="71609912">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厂内综合污水处理站的综合污水（生产废水、生活污水等）</w:t>
                  </w:r>
                </w:p>
              </w:tc>
              <w:tc>
                <w:tcPr>
                  <w:tcW w:w="431" w:type="pct"/>
                  <w:vAlign w:val="center"/>
                </w:tcPr>
                <w:p w14:paraId="4CBF9E36">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间接排放</w:t>
                  </w:r>
                </w:p>
              </w:tc>
              <w:tc>
                <w:tcPr>
                  <w:tcW w:w="1645" w:type="pct"/>
                  <w:vAlign w:val="center"/>
                </w:tcPr>
                <w:p w14:paraId="264D4A7B">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预处理：除油、沉淀、过滤；</w:t>
                  </w:r>
                </w:p>
                <w:p w14:paraId="20D11F50">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二级处理：好氧、水解酸化-好氧、厌氧-好氧、兼性-好氧、氧化沟、生物转盘</w:t>
                  </w:r>
                </w:p>
              </w:tc>
              <w:tc>
                <w:tcPr>
                  <w:tcW w:w="1372" w:type="pct"/>
                  <w:vAlign w:val="center"/>
                </w:tcPr>
                <w:p w14:paraId="0A6094FC">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预处理：化粪池、调节池（具备沉淀作用）；</w:t>
                  </w:r>
                </w:p>
                <w:p w14:paraId="2F62479F">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二级处理：水解酸化、接触氧化（好氧）、沉淀</w:t>
                  </w:r>
                </w:p>
              </w:tc>
              <w:tc>
                <w:tcPr>
                  <w:tcW w:w="628" w:type="pct"/>
                  <w:vAlign w:val="center"/>
                </w:tcPr>
                <w:p w14:paraId="35A574AB">
                  <w:pPr>
                    <w:adjustRightInd w:val="0"/>
                    <w:snapToGrid w:val="0"/>
                    <w:jc w:val="center"/>
                    <w:rPr>
                      <w:color w:val="000000" w:themeColor="text1"/>
                      <w:kern w:val="21"/>
                      <w:szCs w:val="21"/>
                      <w14:textFill>
                        <w14:solidFill>
                          <w14:schemeClr w14:val="tx1"/>
                        </w14:solidFill>
                      </w14:textFill>
                    </w:rPr>
                  </w:pPr>
                  <w:r>
                    <w:rPr>
                      <w:rFonts w:hint="eastAsia"/>
                      <w:color w:val="000000" w:themeColor="text1"/>
                      <w:kern w:val="21"/>
                      <w:szCs w:val="21"/>
                      <w14:textFill>
                        <w14:solidFill>
                          <w14:schemeClr w14:val="tx1"/>
                        </w14:solidFill>
                      </w14:textFill>
                    </w:rPr>
                    <w:t>是</w:t>
                  </w:r>
                </w:p>
              </w:tc>
            </w:tr>
          </w:tbl>
          <w:p w14:paraId="2E9874CF">
            <w:pPr>
              <w:tabs>
                <w:tab w:val="left" w:pos="0"/>
                <w:tab w:val="left" w:pos="6305"/>
              </w:tabs>
              <w:snapToGrid w:val="0"/>
              <w:spacing w:line="360" w:lineRule="auto"/>
              <w:ind w:firstLine="480" w:firstLineChars="200"/>
              <w:rPr>
                <w:b/>
                <w:color w:val="000000" w:themeColor="text1"/>
                <w:sz w:val="24"/>
                <w14:textFill>
                  <w14:solidFill>
                    <w14:schemeClr w14:val="tx1"/>
                  </w14:solidFill>
                </w14:textFill>
              </w:rPr>
            </w:pPr>
            <w:r>
              <w:rPr>
                <w:color w:val="000000" w:themeColor="text1"/>
                <w:sz w:val="24"/>
                <w14:textFill>
                  <w14:solidFill>
                    <w14:schemeClr w14:val="tx1"/>
                  </w14:solidFill>
                </w14:textFill>
              </w:rPr>
              <w:t>项目废水处理设施处理效率见下表。</w:t>
            </w:r>
          </w:p>
          <w:p w14:paraId="17ED4C23">
            <w:pPr>
              <w:tabs>
                <w:tab w:val="left" w:pos="0"/>
                <w:tab w:val="left" w:pos="6305"/>
              </w:tabs>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11  </w:t>
            </w:r>
            <w:r>
              <w:rPr>
                <w:b/>
                <w:bCs/>
                <w:color w:val="000000" w:themeColor="text1"/>
                <w:sz w:val="24"/>
                <w14:textFill>
                  <w14:solidFill>
                    <w14:schemeClr w14:val="tx1"/>
                  </w14:solidFill>
                </w14:textFill>
              </w:rPr>
              <w:t>污水处理设施各工序处理效率以及污染物排放浓度一览表</w:t>
            </w:r>
          </w:p>
          <w:tbl>
            <w:tblPr>
              <w:tblStyle w:val="25"/>
              <w:tblW w:w="492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7"/>
              <w:gridCol w:w="1167"/>
              <w:gridCol w:w="1098"/>
              <w:gridCol w:w="1003"/>
              <w:gridCol w:w="899"/>
              <w:gridCol w:w="1001"/>
              <w:gridCol w:w="895"/>
              <w:gridCol w:w="895"/>
              <w:gridCol w:w="794"/>
            </w:tblGrid>
            <w:tr w14:paraId="1E38B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6" w:type="pct"/>
                  <w:gridSpan w:val="3"/>
                  <w:tcBorders>
                    <w:left w:val="single" w:color="auto" w:sz="4" w:space="0"/>
                    <w:tl2br w:val="single" w:color="auto" w:sz="4" w:space="0"/>
                  </w:tcBorders>
                  <w:vAlign w:val="center"/>
                </w:tcPr>
                <w:p w14:paraId="4D162EC8">
                  <w:pPr>
                    <w:jc w:val="right"/>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p w14:paraId="7F40AC2B">
                  <w:pPr>
                    <w:jc w:val="center"/>
                    <w:rPr>
                      <w:color w:val="000000" w:themeColor="text1"/>
                      <w:szCs w:val="21"/>
                      <w14:textFill>
                        <w14:solidFill>
                          <w14:schemeClr w14:val="tx1"/>
                        </w14:solidFill>
                      </w14:textFill>
                    </w:rPr>
                  </w:pPr>
                </w:p>
                <w:p w14:paraId="6983D304">
                  <w:pPr>
                    <w:jc w:val="left"/>
                    <w:rPr>
                      <w:color w:val="000000" w:themeColor="text1"/>
                      <w:szCs w:val="21"/>
                      <w14:textFill>
                        <w14:solidFill>
                          <w14:schemeClr w14:val="tx1"/>
                        </w14:solidFill>
                      </w14:textFill>
                    </w:rPr>
                  </w:pPr>
                  <w:r>
                    <w:rPr>
                      <w:color w:val="000000" w:themeColor="text1"/>
                      <w:szCs w:val="21"/>
                      <w14:textFill>
                        <w14:solidFill>
                          <w14:schemeClr w14:val="tx1"/>
                        </w14:solidFill>
                      </w14:textFill>
                    </w:rPr>
                    <w:t>工段</w:t>
                  </w:r>
                </w:p>
              </w:tc>
              <w:tc>
                <w:tcPr>
                  <w:tcW w:w="550" w:type="pct"/>
                  <w:shd w:val="clear" w:color="auto" w:fill="auto"/>
                  <w:vAlign w:val="center"/>
                </w:tcPr>
                <w:p w14:paraId="6634EAD5">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COD</w:t>
                  </w:r>
                </w:p>
              </w:tc>
              <w:tc>
                <w:tcPr>
                  <w:tcW w:w="493" w:type="pct"/>
                  <w:shd w:val="clear" w:color="auto" w:fill="auto"/>
                  <w:vAlign w:val="center"/>
                </w:tcPr>
                <w:p w14:paraId="72A27621">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BOD</w:t>
                  </w:r>
                  <w:r>
                    <w:rPr>
                      <w:bCs/>
                      <w:color w:val="000000" w:themeColor="text1"/>
                      <w:szCs w:val="21"/>
                      <w:vertAlign w:val="subscript"/>
                      <w14:textFill>
                        <w14:solidFill>
                          <w14:schemeClr w14:val="tx1"/>
                        </w14:solidFill>
                      </w14:textFill>
                    </w:rPr>
                    <w:t>5</w:t>
                  </w:r>
                </w:p>
              </w:tc>
              <w:tc>
                <w:tcPr>
                  <w:tcW w:w="549" w:type="pct"/>
                  <w:shd w:val="clear" w:color="auto" w:fill="auto"/>
                  <w:vAlign w:val="center"/>
                </w:tcPr>
                <w:p w14:paraId="64722C94">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SS</w:t>
                  </w:r>
                </w:p>
              </w:tc>
              <w:tc>
                <w:tcPr>
                  <w:tcW w:w="491" w:type="pct"/>
                  <w:shd w:val="clear" w:color="auto" w:fill="auto"/>
                  <w:vAlign w:val="center"/>
                </w:tcPr>
                <w:p w14:paraId="46D97BB7">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NH</w:t>
                  </w:r>
                  <w:r>
                    <w:rPr>
                      <w:bCs/>
                      <w:color w:val="000000" w:themeColor="text1"/>
                      <w:szCs w:val="21"/>
                      <w:vertAlign w:val="subscript"/>
                      <w14:textFill>
                        <w14:solidFill>
                          <w14:schemeClr w14:val="tx1"/>
                        </w14:solidFill>
                      </w14:textFill>
                    </w:rPr>
                    <w:t>3</w:t>
                  </w:r>
                  <w:r>
                    <w:rPr>
                      <w:bCs/>
                      <w:color w:val="000000" w:themeColor="text1"/>
                      <w:szCs w:val="21"/>
                      <w14:textFill>
                        <w14:solidFill>
                          <w14:schemeClr w14:val="tx1"/>
                        </w14:solidFill>
                      </w14:textFill>
                    </w:rPr>
                    <w:t>-N</w:t>
                  </w:r>
                </w:p>
              </w:tc>
              <w:tc>
                <w:tcPr>
                  <w:tcW w:w="491" w:type="pct"/>
                  <w:shd w:val="clear" w:color="auto" w:fill="auto"/>
                  <w:vAlign w:val="center"/>
                </w:tcPr>
                <w:p w14:paraId="613E14CC">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TN</w:t>
                  </w:r>
                </w:p>
              </w:tc>
              <w:tc>
                <w:tcPr>
                  <w:tcW w:w="435" w:type="pct"/>
                  <w:shd w:val="clear" w:color="auto" w:fill="auto"/>
                  <w:vAlign w:val="center"/>
                </w:tcPr>
                <w:p w14:paraId="725A9CCE">
                  <w:pPr>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TP</w:t>
                  </w:r>
                </w:p>
              </w:tc>
            </w:tr>
            <w:tr w14:paraId="39057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4" w:type="pct"/>
                  <w:vMerge w:val="restart"/>
                  <w:tcBorders>
                    <w:left w:val="single" w:color="auto" w:sz="4" w:space="0"/>
                  </w:tcBorders>
                  <w:vAlign w:val="center"/>
                </w:tcPr>
                <w:p w14:paraId="2E1309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综合废水2</w:t>
                  </w:r>
                  <w:r>
                    <w:rPr>
                      <w:rFonts w:hint="eastAsia"/>
                      <w:color w:val="000000" w:themeColor="text1"/>
                      <w:szCs w:val="21"/>
                      <w:lang w:val="en-US" w:eastAsia="zh-CN"/>
                      <w14:textFill>
                        <w14:solidFill>
                          <w14:schemeClr w14:val="tx1"/>
                        </w14:solidFill>
                      </w14:textFill>
                    </w:rPr>
                    <w:t>1.869</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640" w:type="pct"/>
                  <w:vMerge w:val="restart"/>
                  <w:tcBorders>
                    <w:left w:val="single" w:color="auto" w:sz="4" w:space="0"/>
                  </w:tcBorders>
                  <w:vAlign w:val="center"/>
                </w:tcPr>
                <w:p w14:paraId="0B39641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均质调节池</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水解酸化</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接触氧化</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沉淀池</w:t>
                  </w:r>
                </w:p>
              </w:tc>
              <w:tc>
                <w:tcPr>
                  <w:tcW w:w="600" w:type="pct"/>
                  <w:vAlign w:val="center"/>
                </w:tcPr>
                <w:p w14:paraId="44B926D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进水水质（mg/L）</w:t>
                  </w:r>
                </w:p>
              </w:tc>
              <w:tc>
                <w:tcPr>
                  <w:tcW w:w="1004" w:type="dxa"/>
                  <w:shd w:val="clear" w:color="auto" w:fill="auto"/>
                  <w:vAlign w:val="center"/>
                </w:tcPr>
                <w:p w14:paraId="7846CFE7">
                  <w:pPr>
                    <w:keepNext w:val="0"/>
                    <w:keepLines w:val="0"/>
                    <w:widowControl/>
                    <w:suppressLineNumbers w:val="0"/>
                    <w:jc w:val="center"/>
                    <w:textAlignment w:val="center"/>
                    <w:rPr>
                      <w:bCs/>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949.344</w:t>
                  </w:r>
                </w:p>
              </w:tc>
              <w:tc>
                <w:tcPr>
                  <w:tcW w:w="899" w:type="dxa"/>
                  <w:shd w:val="clear" w:color="auto" w:fill="auto"/>
                  <w:vAlign w:val="center"/>
                </w:tcPr>
                <w:p w14:paraId="2CB00404">
                  <w:pPr>
                    <w:keepNext w:val="0"/>
                    <w:keepLines w:val="0"/>
                    <w:widowControl/>
                    <w:suppressLineNumbers w:val="0"/>
                    <w:jc w:val="center"/>
                    <w:textAlignment w:val="center"/>
                    <w:rPr>
                      <w:bCs/>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535.689</w:t>
                  </w:r>
                </w:p>
              </w:tc>
              <w:tc>
                <w:tcPr>
                  <w:tcW w:w="1001" w:type="dxa"/>
                  <w:shd w:val="clear" w:color="auto" w:fill="auto"/>
                  <w:vAlign w:val="center"/>
                </w:tcPr>
                <w:p w14:paraId="0B5CC7D0">
                  <w:pPr>
                    <w:keepNext w:val="0"/>
                    <w:keepLines w:val="0"/>
                    <w:widowControl/>
                    <w:suppressLineNumbers w:val="0"/>
                    <w:jc w:val="center"/>
                    <w:textAlignment w:val="center"/>
                    <w:rPr>
                      <w:bCs/>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425.334</w:t>
                  </w:r>
                </w:p>
              </w:tc>
              <w:tc>
                <w:tcPr>
                  <w:tcW w:w="895" w:type="dxa"/>
                  <w:shd w:val="clear" w:color="auto" w:fill="auto"/>
                  <w:vAlign w:val="center"/>
                </w:tcPr>
                <w:p w14:paraId="209D6FF1">
                  <w:pPr>
                    <w:keepNext w:val="0"/>
                    <w:keepLines w:val="0"/>
                    <w:widowControl/>
                    <w:suppressLineNumbers w:val="0"/>
                    <w:jc w:val="center"/>
                    <w:textAlignment w:val="center"/>
                    <w:rPr>
                      <w:bCs/>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26.472</w:t>
                  </w:r>
                </w:p>
              </w:tc>
              <w:tc>
                <w:tcPr>
                  <w:tcW w:w="895" w:type="dxa"/>
                  <w:shd w:val="clear" w:color="auto" w:fill="auto"/>
                  <w:vAlign w:val="center"/>
                </w:tcPr>
                <w:p w14:paraId="38AA0B57">
                  <w:pPr>
                    <w:keepNext w:val="0"/>
                    <w:keepLines w:val="0"/>
                    <w:widowControl/>
                    <w:suppressLineNumbers w:val="0"/>
                    <w:jc w:val="center"/>
                    <w:textAlignment w:val="center"/>
                    <w:rPr>
                      <w:bCs/>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53.106</w:t>
                  </w:r>
                </w:p>
              </w:tc>
              <w:tc>
                <w:tcPr>
                  <w:tcW w:w="794" w:type="dxa"/>
                  <w:shd w:val="clear" w:color="auto" w:fill="auto"/>
                  <w:vAlign w:val="center"/>
                </w:tcPr>
                <w:p w14:paraId="7BBD2A3A">
                  <w:pPr>
                    <w:keepNext w:val="0"/>
                    <w:keepLines w:val="0"/>
                    <w:widowControl/>
                    <w:suppressLineNumbers w:val="0"/>
                    <w:jc w:val="center"/>
                    <w:textAlignment w:val="center"/>
                    <w:rPr>
                      <w:bCs/>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7.849</w:t>
                  </w:r>
                </w:p>
              </w:tc>
            </w:tr>
            <w:tr w14:paraId="5A850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4" w:type="pct"/>
                  <w:vMerge w:val="continue"/>
                  <w:tcBorders>
                    <w:left w:val="single" w:color="auto" w:sz="4" w:space="0"/>
                  </w:tcBorders>
                  <w:vAlign w:val="center"/>
                </w:tcPr>
                <w:p w14:paraId="0B933B1E">
                  <w:pPr>
                    <w:jc w:val="center"/>
                    <w:rPr>
                      <w:color w:val="000000" w:themeColor="text1"/>
                      <w:szCs w:val="21"/>
                      <w14:textFill>
                        <w14:solidFill>
                          <w14:schemeClr w14:val="tx1"/>
                        </w14:solidFill>
                      </w14:textFill>
                    </w:rPr>
                  </w:pPr>
                </w:p>
              </w:tc>
              <w:tc>
                <w:tcPr>
                  <w:tcW w:w="640" w:type="pct"/>
                  <w:vMerge w:val="continue"/>
                  <w:tcBorders>
                    <w:left w:val="single" w:color="auto" w:sz="4" w:space="0"/>
                  </w:tcBorders>
                  <w:vAlign w:val="center"/>
                </w:tcPr>
                <w:p w14:paraId="548A16FD">
                  <w:pPr>
                    <w:jc w:val="center"/>
                    <w:rPr>
                      <w:color w:val="000000" w:themeColor="text1"/>
                      <w:szCs w:val="21"/>
                      <w14:textFill>
                        <w14:solidFill>
                          <w14:schemeClr w14:val="tx1"/>
                        </w14:solidFill>
                      </w14:textFill>
                    </w:rPr>
                  </w:pPr>
                </w:p>
              </w:tc>
              <w:tc>
                <w:tcPr>
                  <w:tcW w:w="600" w:type="pct"/>
                  <w:vAlign w:val="center"/>
                </w:tcPr>
                <w:p w14:paraId="6C241FE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出水水质（mg/L）</w:t>
                  </w:r>
                </w:p>
              </w:tc>
              <w:tc>
                <w:tcPr>
                  <w:tcW w:w="1004" w:type="dxa"/>
                  <w:vAlign w:val="center"/>
                </w:tcPr>
                <w:p w14:paraId="22B87147">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142.402</w:t>
                  </w:r>
                </w:p>
              </w:tc>
              <w:tc>
                <w:tcPr>
                  <w:tcW w:w="899" w:type="dxa"/>
                  <w:vAlign w:val="center"/>
                </w:tcPr>
                <w:p w14:paraId="2130FDB9">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37.498</w:t>
                  </w:r>
                </w:p>
              </w:tc>
              <w:tc>
                <w:tcPr>
                  <w:tcW w:w="1001" w:type="dxa"/>
                  <w:vAlign w:val="center"/>
                </w:tcPr>
                <w:p w14:paraId="7595F420">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63.800</w:t>
                  </w:r>
                </w:p>
              </w:tc>
              <w:tc>
                <w:tcPr>
                  <w:tcW w:w="895" w:type="dxa"/>
                  <w:vAlign w:val="center"/>
                </w:tcPr>
                <w:p w14:paraId="1E1D1729">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9.265</w:t>
                  </w:r>
                </w:p>
              </w:tc>
              <w:tc>
                <w:tcPr>
                  <w:tcW w:w="895" w:type="dxa"/>
                  <w:vAlign w:val="center"/>
                </w:tcPr>
                <w:p w14:paraId="2A81CB17">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18.587</w:t>
                  </w:r>
                </w:p>
              </w:tc>
              <w:tc>
                <w:tcPr>
                  <w:tcW w:w="794" w:type="dxa"/>
                  <w:vAlign w:val="center"/>
                </w:tcPr>
                <w:p w14:paraId="6D4C455C">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2.747</w:t>
                  </w:r>
                </w:p>
              </w:tc>
            </w:tr>
            <w:tr w14:paraId="4D842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4" w:type="pct"/>
                  <w:vMerge w:val="continue"/>
                  <w:tcBorders>
                    <w:left w:val="single" w:color="auto" w:sz="4" w:space="0"/>
                  </w:tcBorders>
                  <w:vAlign w:val="center"/>
                </w:tcPr>
                <w:p w14:paraId="2C4B2008">
                  <w:pPr>
                    <w:jc w:val="center"/>
                    <w:rPr>
                      <w:color w:val="000000" w:themeColor="text1"/>
                      <w:szCs w:val="21"/>
                      <w14:textFill>
                        <w14:solidFill>
                          <w14:schemeClr w14:val="tx1"/>
                        </w14:solidFill>
                      </w14:textFill>
                    </w:rPr>
                  </w:pPr>
                </w:p>
              </w:tc>
              <w:tc>
                <w:tcPr>
                  <w:tcW w:w="1241" w:type="pct"/>
                  <w:gridSpan w:val="2"/>
                  <w:tcBorders>
                    <w:left w:val="single" w:color="auto" w:sz="4" w:space="0"/>
                  </w:tcBorders>
                  <w:vAlign w:val="center"/>
                </w:tcPr>
                <w:p w14:paraId="67E2B3E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去除率（%）</w:t>
                  </w:r>
                </w:p>
              </w:tc>
              <w:tc>
                <w:tcPr>
                  <w:tcW w:w="550" w:type="pct"/>
                  <w:vAlign w:val="center"/>
                </w:tcPr>
                <w:p w14:paraId="3B18E0A8">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85</w:t>
                  </w:r>
                </w:p>
              </w:tc>
              <w:tc>
                <w:tcPr>
                  <w:tcW w:w="493" w:type="pct"/>
                  <w:vAlign w:val="center"/>
                </w:tcPr>
                <w:p w14:paraId="344A8B8D">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93</w:t>
                  </w:r>
                </w:p>
              </w:tc>
              <w:tc>
                <w:tcPr>
                  <w:tcW w:w="549" w:type="pct"/>
                  <w:vAlign w:val="center"/>
                </w:tcPr>
                <w:p w14:paraId="7C3693F5">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85</w:t>
                  </w:r>
                </w:p>
              </w:tc>
              <w:tc>
                <w:tcPr>
                  <w:tcW w:w="491" w:type="pct"/>
                  <w:vAlign w:val="center"/>
                </w:tcPr>
                <w:p w14:paraId="5701B54C">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65</w:t>
                  </w:r>
                </w:p>
              </w:tc>
              <w:tc>
                <w:tcPr>
                  <w:tcW w:w="491" w:type="pct"/>
                  <w:vAlign w:val="center"/>
                </w:tcPr>
                <w:p w14:paraId="42374D01">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65</w:t>
                  </w:r>
                </w:p>
              </w:tc>
              <w:tc>
                <w:tcPr>
                  <w:tcW w:w="435" w:type="pct"/>
                  <w:vAlign w:val="center"/>
                </w:tcPr>
                <w:p w14:paraId="06803CBF">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65</w:t>
                  </w:r>
                </w:p>
              </w:tc>
            </w:tr>
            <w:tr w14:paraId="4AD11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4" w:type="pct"/>
                  <w:tcBorders>
                    <w:left w:val="single" w:color="auto" w:sz="4" w:space="0"/>
                  </w:tcBorders>
                  <w:vAlign w:val="center"/>
                </w:tcPr>
                <w:p w14:paraId="13C08FA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纯水制备浓水5.32</w:t>
                  </w:r>
                  <w:r>
                    <w:rPr>
                      <w:rFonts w:hint="eastAsia"/>
                      <w:color w:val="000000" w:themeColor="text1"/>
                      <w:szCs w:val="21"/>
                      <w:lang w:val="en-US" w:eastAsia="zh-CN"/>
                      <w14:textFill>
                        <w14:solidFill>
                          <w14:schemeClr w14:val="tx1"/>
                        </w14:solidFill>
                      </w14:textFill>
                    </w:rPr>
                    <w:t>9</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1241" w:type="pct"/>
                  <w:gridSpan w:val="2"/>
                  <w:tcBorders>
                    <w:left w:val="single" w:color="auto" w:sz="4" w:space="0"/>
                  </w:tcBorders>
                  <w:vAlign w:val="center"/>
                </w:tcPr>
                <w:p w14:paraId="13C01E7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550" w:type="pct"/>
                  <w:shd w:val="clear" w:color="auto" w:fill="auto"/>
                  <w:vAlign w:val="center"/>
                </w:tcPr>
                <w:p w14:paraId="31C89B69">
                  <w:pPr>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493" w:type="pct"/>
                  <w:shd w:val="clear" w:color="auto" w:fill="auto"/>
                  <w:vAlign w:val="center"/>
                </w:tcPr>
                <w:p w14:paraId="1015E606">
                  <w:pPr>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w:t>
                  </w:r>
                </w:p>
              </w:tc>
              <w:tc>
                <w:tcPr>
                  <w:tcW w:w="549" w:type="pct"/>
                  <w:shd w:val="clear" w:color="auto" w:fill="auto"/>
                  <w:vAlign w:val="center"/>
                </w:tcPr>
                <w:p w14:paraId="5420185E">
                  <w:pPr>
                    <w:jc w:val="center"/>
                    <w:rPr>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491" w:type="pct"/>
                  <w:shd w:val="clear" w:color="auto" w:fill="auto"/>
                  <w:vAlign w:val="center"/>
                </w:tcPr>
                <w:p w14:paraId="2ED8F6AA">
                  <w:pPr>
                    <w:jc w:val="center"/>
                    <w:rPr>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c>
                <w:tcPr>
                  <w:tcW w:w="491" w:type="pct"/>
                  <w:shd w:val="clear" w:color="auto" w:fill="auto"/>
                  <w:vAlign w:val="center"/>
                </w:tcPr>
                <w:p w14:paraId="5B2042B0">
                  <w:pPr>
                    <w:jc w:val="center"/>
                    <w:rPr>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c>
                <w:tcPr>
                  <w:tcW w:w="435" w:type="pct"/>
                  <w:shd w:val="clear" w:color="auto" w:fill="auto"/>
                  <w:vAlign w:val="center"/>
                </w:tcPr>
                <w:p w14:paraId="6C461E91">
                  <w:pPr>
                    <w:jc w:val="center"/>
                    <w:rPr>
                      <w:color w:val="000000" w:themeColor="text1"/>
                      <w:kern w:val="0"/>
                      <w:szCs w:val="21"/>
                      <w14:textFill>
                        <w14:solidFill>
                          <w14:schemeClr w14:val="tx1"/>
                        </w14:solidFill>
                      </w14:textFill>
                    </w:rPr>
                  </w:pPr>
                  <w:r>
                    <w:rPr>
                      <w:rFonts w:hint="eastAsia" w:ascii="Times" w:hAnsi="Times" w:eastAsia="Times" w:cs="Times"/>
                      <w:color w:val="000000" w:themeColor="text1"/>
                      <w:kern w:val="0"/>
                      <w:szCs w:val="21"/>
                      <w14:textFill>
                        <w14:solidFill>
                          <w14:schemeClr w14:val="tx1"/>
                        </w14:solidFill>
                      </w14:textFill>
                    </w:rPr>
                    <w:t>/</w:t>
                  </w:r>
                </w:p>
              </w:tc>
            </w:tr>
            <w:tr w14:paraId="20DB1C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44" w:type="pct"/>
                  <w:tcBorders>
                    <w:left w:val="single" w:color="auto" w:sz="4" w:space="0"/>
                  </w:tcBorders>
                  <w:vAlign w:val="center"/>
                </w:tcPr>
                <w:p w14:paraId="013B7AF1">
                  <w:pPr>
                    <w:jc w:val="center"/>
                    <w:rPr>
                      <w:color w:val="000000" w:themeColor="text1"/>
                      <w:kern w:val="0"/>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综合</w:t>
                  </w:r>
                  <w:r>
                    <w:rPr>
                      <w:rFonts w:hint="eastAsia"/>
                      <w:color w:val="000000" w:themeColor="text1"/>
                      <w:szCs w:val="21"/>
                      <w14:textFill>
                        <w14:solidFill>
                          <w14:schemeClr w14:val="tx1"/>
                        </w14:solidFill>
                      </w14:textFill>
                    </w:rPr>
                    <w:t>废水2</w:t>
                  </w:r>
                  <w:r>
                    <w:rPr>
                      <w:rFonts w:hint="eastAsia"/>
                      <w:color w:val="000000" w:themeColor="text1"/>
                      <w:szCs w:val="21"/>
                      <w:lang w:val="en-US" w:eastAsia="zh-CN"/>
                      <w14:textFill>
                        <w14:solidFill>
                          <w14:schemeClr w14:val="tx1"/>
                        </w14:solidFill>
                      </w14:textFill>
                    </w:rPr>
                    <w:t>1.869</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1241" w:type="pct"/>
                  <w:gridSpan w:val="2"/>
                  <w:tcBorders>
                    <w:left w:val="single" w:color="auto" w:sz="4" w:space="0"/>
                  </w:tcBorders>
                  <w:vAlign w:val="center"/>
                </w:tcPr>
                <w:p w14:paraId="5B9C96B7">
                  <w:pPr>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经污水站处理后水质</w:t>
                  </w:r>
                </w:p>
              </w:tc>
              <w:tc>
                <w:tcPr>
                  <w:tcW w:w="1003" w:type="dxa"/>
                  <w:shd w:val="clear" w:color="auto" w:fill="auto"/>
                  <w:vAlign w:val="center"/>
                </w:tcPr>
                <w:p w14:paraId="3F4310D4">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142.402</w:t>
                  </w:r>
                </w:p>
              </w:tc>
              <w:tc>
                <w:tcPr>
                  <w:tcW w:w="899" w:type="dxa"/>
                  <w:shd w:val="clear" w:color="auto" w:fill="auto"/>
                  <w:vAlign w:val="center"/>
                </w:tcPr>
                <w:p w14:paraId="345F69A9">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37.498</w:t>
                  </w:r>
                </w:p>
              </w:tc>
              <w:tc>
                <w:tcPr>
                  <w:tcW w:w="1001" w:type="dxa"/>
                  <w:shd w:val="clear" w:color="auto" w:fill="auto"/>
                  <w:vAlign w:val="center"/>
                </w:tcPr>
                <w:p w14:paraId="6F3A59BA">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63.800</w:t>
                  </w:r>
                </w:p>
              </w:tc>
              <w:tc>
                <w:tcPr>
                  <w:tcW w:w="895" w:type="dxa"/>
                  <w:shd w:val="clear" w:color="auto" w:fill="auto"/>
                  <w:vAlign w:val="center"/>
                </w:tcPr>
                <w:p w14:paraId="3B3D8E64">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9.265</w:t>
                  </w:r>
                </w:p>
              </w:tc>
              <w:tc>
                <w:tcPr>
                  <w:tcW w:w="895" w:type="dxa"/>
                  <w:shd w:val="clear" w:color="auto" w:fill="auto"/>
                  <w:vAlign w:val="center"/>
                </w:tcPr>
                <w:p w14:paraId="342B68C2">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18.587</w:t>
                  </w:r>
                </w:p>
              </w:tc>
              <w:tc>
                <w:tcPr>
                  <w:tcW w:w="794" w:type="dxa"/>
                  <w:shd w:val="clear" w:color="auto" w:fill="auto"/>
                  <w:vAlign w:val="center"/>
                </w:tcPr>
                <w:p w14:paraId="6A0ACFE0">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2.747</w:t>
                  </w:r>
                </w:p>
              </w:tc>
            </w:tr>
            <w:tr w14:paraId="626C1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6" w:type="pct"/>
                  <w:gridSpan w:val="3"/>
                  <w:tcBorders>
                    <w:left w:val="single" w:color="auto" w:sz="4" w:space="0"/>
                  </w:tcBorders>
                  <w:shd w:val="clear" w:color="auto" w:fill="auto"/>
                  <w:vAlign w:val="center"/>
                </w:tcPr>
                <w:p w14:paraId="441D9D1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厂区污水（</w:t>
                  </w:r>
                  <w:r>
                    <w:rPr>
                      <w:rFonts w:hint="eastAsia"/>
                      <w:color w:val="000000" w:themeColor="text1"/>
                      <w:szCs w:val="21"/>
                      <w:lang w:val="en-US" w:eastAsia="zh-CN"/>
                      <w14:textFill>
                        <w14:solidFill>
                          <w14:schemeClr w14:val="tx1"/>
                        </w14:solidFill>
                      </w14:textFill>
                    </w:rPr>
                    <w:t>27.198</w:t>
                  </w:r>
                  <w:r>
                    <w:rPr>
                      <w:rFonts w:hint="eastAsia"/>
                      <w:color w:val="000000" w:themeColor="text1"/>
                      <w:szCs w:val="21"/>
                      <w14:textFill>
                        <w14:solidFill>
                          <w14:schemeClr w14:val="tx1"/>
                        </w14:solidFill>
                      </w14:textFill>
                    </w:rPr>
                    <w:t>m</w:t>
                  </w:r>
                  <w:r>
                    <w:rPr>
                      <w:rFonts w:hint="eastAsia"/>
                      <w:color w:val="000000" w:themeColor="text1"/>
                      <w:szCs w:val="21"/>
                      <w:vertAlign w:val="superscript"/>
                      <w14:textFill>
                        <w14:solidFill>
                          <w14:schemeClr w14:val="tx1"/>
                        </w14:solidFill>
                      </w14:textFill>
                    </w:rPr>
                    <w:t>3</w:t>
                  </w:r>
                  <w:r>
                    <w:rPr>
                      <w:rFonts w:hint="eastAsia"/>
                      <w:color w:val="000000" w:themeColor="text1"/>
                      <w:szCs w:val="21"/>
                      <w14:textFill>
                        <w14:solidFill>
                          <w14:schemeClr w14:val="tx1"/>
                        </w14:solidFill>
                      </w14:textFill>
                    </w:rPr>
                    <w:t>/d）总排口浓度</w:t>
                  </w:r>
                </w:p>
              </w:tc>
              <w:tc>
                <w:tcPr>
                  <w:tcW w:w="1003" w:type="dxa"/>
                  <w:shd w:val="clear" w:color="auto" w:fill="auto"/>
                  <w:vAlign w:val="center"/>
                </w:tcPr>
                <w:p w14:paraId="2ED212B4">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114.500</w:t>
                  </w:r>
                </w:p>
              </w:tc>
              <w:tc>
                <w:tcPr>
                  <w:tcW w:w="899" w:type="dxa"/>
                  <w:shd w:val="clear" w:color="auto" w:fill="auto"/>
                  <w:vAlign w:val="center"/>
                </w:tcPr>
                <w:p w14:paraId="54C88253">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30.151</w:t>
                  </w:r>
                </w:p>
              </w:tc>
              <w:tc>
                <w:tcPr>
                  <w:tcW w:w="1001" w:type="dxa"/>
                  <w:shd w:val="clear" w:color="auto" w:fill="auto"/>
                  <w:vAlign w:val="center"/>
                </w:tcPr>
                <w:p w14:paraId="3FE0704A">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61.096</w:t>
                  </w:r>
                </w:p>
              </w:tc>
              <w:tc>
                <w:tcPr>
                  <w:tcW w:w="895" w:type="dxa"/>
                  <w:shd w:val="clear" w:color="auto" w:fill="auto"/>
                  <w:vAlign w:val="center"/>
                </w:tcPr>
                <w:p w14:paraId="60C29699">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7.450</w:t>
                  </w:r>
                </w:p>
              </w:tc>
              <w:tc>
                <w:tcPr>
                  <w:tcW w:w="895" w:type="dxa"/>
                  <w:shd w:val="clear" w:color="auto" w:fill="auto"/>
                  <w:vAlign w:val="center"/>
                </w:tcPr>
                <w:p w14:paraId="76C0DDA7">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14.945</w:t>
                  </w:r>
                </w:p>
              </w:tc>
              <w:tc>
                <w:tcPr>
                  <w:tcW w:w="794" w:type="dxa"/>
                  <w:shd w:val="clear" w:color="auto" w:fill="auto"/>
                  <w:vAlign w:val="center"/>
                </w:tcPr>
                <w:p w14:paraId="1EC72DCD">
                  <w:pPr>
                    <w:keepNext w:val="0"/>
                    <w:keepLines w:val="0"/>
                    <w:widowControl/>
                    <w:suppressLineNumbers w:val="0"/>
                    <w:jc w:val="center"/>
                    <w:textAlignment w:val="center"/>
                    <w:rPr>
                      <w:color w:val="000000" w:themeColor="text1"/>
                      <w:sz w:val="2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u w:val="none"/>
                      <w:lang w:val="en-US" w:eastAsia="zh-CN" w:bidi="ar"/>
                      <w14:textFill>
                        <w14:solidFill>
                          <w14:schemeClr w14:val="tx1"/>
                        </w14:solidFill>
                      </w14:textFill>
                    </w:rPr>
                    <w:t>2.209</w:t>
                  </w:r>
                </w:p>
              </w:tc>
            </w:tr>
            <w:tr w14:paraId="50109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6" w:type="pct"/>
                  <w:gridSpan w:val="3"/>
                  <w:tcBorders>
                    <w:left w:val="single" w:color="auto" w:sz="4" w:space="0"/>
                  </w:tcBorders>
                  <w:vAlign w:val="center"/>
                </w:tcPr>
                <w:p w14:paraId="1302FF9A">
                  <w:pPr>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《发酵酒精和白酒工业水污染物排放标准》（GB27631-2011）及修改单</w:t>
                  </w:r>
                </w:p>
              </w:tc>
              <w:tc>
                <w:tcPr>
                  <w:tcW w:w="550" w:type="pct"/>
                  <w:vAlign w:val="center"/>
                </w:tcPr>
                <w:p w14:paraId="4C7B71E3">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w:t>
                  </w:r>
                  <w:r>
                    <w:rPr>
                      <w:color w:val="000000" w:themeColor="text1"/>
                      <w:kern w:val="0"/>
                      <w:szCs w:val="21"/>
                      <w14:textFill>
                        <w14:solidFill>
                          <w14:schemeClr w14:val="tx1"/>
                        </w14:solidFill>
                      </w14:textFill>
                    </w:rPr>
                    <w:t>00</w:t>
                  </w:r>
                </w:p>
              </w:tc>
              <w:tc>
                <w:tcPr>
                  <w:tcW w:w="493" w:type="pct"/>
                  <w:vAlign w:val="center"/>
                </w:tcPr>
                <w:p w14:paraId="660FD9B3">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8</w:t>
                  </w:r>
                  <w:r>
                    <w:rPr>
                      <w:color w:val="000000" w:themeColor="text1"/>
                      <w:kern w:val="0"/>
                      <w:szCs w:val="21"/>
                      <w14:textFill>
                        <w14:solidFill>
                          <w14:schemeClr w14:val="tx1"/>
                        </w14:solidFill>
                      </w14:textFill>
                    </w:rPr>
                    <w:t>0</w:t>
                  </w:r>
                </w:p>
              </w:tc>
              <w:tc>
                <w:tcPr>
                  <w:tcW w:w="549" w:type="pct"/>
                  <w:vAlign w:val="center"/>
                </w:tcPr>
                <w:p w14:paraId="56E1FE25">
                  <w:pPr>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r>
                    <w:rPr>
                      <w:rFonts w:hint="eastAsia"/>
                      <w:color w:val="000000" w:themeColor="text1"/>
                      <w:kern w:val="0"/>
                      <w:szCs w:val="21"/>
                      <w14:textFill>
                        <w14:solidFill>
                          <w14:schemeClr w14:val="tx1"/>
                        </w14:solidFill>
                      </w14:textFill>
                    </w:rPr>
                    <w:t>4</w:t>
                  </w:r>
                  <w:r>
                    <w:rPr>
                      <w:color w:val="000000" w:themeColor="text1"/>
                      <w:kern w:val="0"/>
                      <w:szCs w:val="21"/>
                      <w14:textFill>
                        <w14:solidFill>
                          <w14:schemeClr w14:val="tx1"/>
                        </w14:solidFill>
                      </w14:textFill>
                    </w:rPr>
                    <w:t>0</w:t>
                  </w:r>
                </w:p>
              </w:tc>
              <w:tc>
                <w:tcPr>
                  <w:tcW w:w="491" w:type="pct"/>
                  <w:vAlign w:val="center"/>
                </w:tcPr>
                <w:p w14:paraId="6EC30537">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w:t>
                  </w:r>
                  <w:r>
                    <w:rPr>
                      <w:color w:val="000000" w:themeColor="text1"/>
                      <w:kern w:val="0"/>
                      <w:szCs w:val="21"/>
                      <w14:textFill>
                        <w14:solidFill>
                          <w14:schemeClr w14:val="tx1"/>
                        </w14:solidFill>
                      </w14:textFill>
                    </w:rPr>
                    <w:t>0</w:t>
                  </w:r>
                </w:p>
              </w:tc>
              <w:tc>
                <w:tcPr>
                  <w:tcW w:w="491" w:type="pct"/>
                  <w:vAlign w:val="center"/>
                </w:tcPr>
                <w:p w14:paraId="59A79C53">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50</w:t>
                  </w:r>
                </w:p>
              </w:tc>
              <w:tc>
                <w:tcPr>
                  <w:tcW w:w="435" w:type="pct"/>
                  <w:vAlign w:val="center"/>
                </w:tcPr>
                <w:p w14:paraId="06FA4668">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3.0</w:t>
                  </w:r>
                </w:p>
              </w:tc>
            </w:tr>
            <w:tr w14:paraId="12A34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6" w:type="pct"/>
                  <w:gridSpan w:val="3"/>
                  <w:tcBorders>
                    <w:left w:val="single" w:color="auto" w:sz="4" w:space="0"/>
                  </w:tcBorders>
                  <w:vAlign w:val="center"/>
                </w:tcPr>
                <w:p w14:paraId="5CB3F667">
                  <w:pPr>
                    <w:adjustRightIn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《啤酒工业水污染物排放标准》（DB41/681-2011）</w:t>
                  </w:r>
                </w:p>
              </w:tc>
              <w:tc>
                <w:tcPr>
                  <w:tcW w:w="550" w:type="pct"/>
                  <w:vAlign w:val="center"/>
                </w:tcPr>
                <w:p w14:paraId="05196B47">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150</w:t>
                  </w:r>
                </w:p>
              </w:tc>
              <w:tc>
                <w:tcPr>
                  <w:tcW w:w="493" w:type="pct"/>
                  <w:vAlign w:val="center"/>
                </w:tcPr>
                <w:p w14:paraId="454D5C53">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40</w:t>
                  </w:r>
                </w:p>
              </w:tc>
              <w:tc>
                <w:tcPr>
                  <w:tcW w:w="549" w:type="pct"/>
                  <w:vAlign w:val="center"/>
                </w:tcPr>
                <w:p w14:paraId="56287E3C">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100</w:t>
                  </w:r>
                </w:p>
              </w:tc>
              <w:tc>
                <w:tcPr>
                  <w:tcW w:w="491" w:type="pct"/>
                  <w:vAlign w:val="center"/>
                </w:tcPr>
                <w:p w14:paraId="0EC7E5AB">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25</w:t>
                  </w:r>
                </w:p>
              </w:tc>
              <w:tc>
                <w:tcPr>
                  <w:tcW w:w="491" w:type="pct"/>
                  <w:vAlign w:val="center"/>
                </w:tcPr>
                <w:p w14:paraId="2DFA1DBD">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40</w:t>
                  </w:r>
                </w:p>
              </w:tc>
              <w:tc>
                <w:tcPr>
                  <w:tcW w:w="435" w:type="pct"/>
                  <w:vAlign w:val="center"/>
                </w:tcPr>
                <w:p w14:paraId="6AD70A65">
                  <w:pPr>
                    <w:adjustRightIn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3.0</w:t>
                  </w:r>
                </w:p>
              </w:tc>
            </w:tr>
            <w:tr w14:paraId="5EC50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86" w:type="pct"/>
                  <w:gridSpan w:val="3"/>
                  <w:tcBorders>
                    <w:left w:val="single" w:color="auto" w:sz="4" w:space="0"/>
                  </w:tcBorders>
                  <w:vAlign w:val="center"/>
                </w:tcPr>
                <w:p w14:paraId="1D3A724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镇平县第二污水处理厂进水水质指标</w:t>
                  </w:r>
                </w:p>
              </w:tc>
              <w:tc>
                <w:tcPr>
                  <w:tcW w:w="550" w:type="pct"/>
                  <w:vAlign w:val="center"/>
                </w:tcPr>
                <w:p w14:paraId="7DD1FC6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400</w:t>
                  </w:r>
                </w:p>
              </w:tc>
              <w:tc>
                <w:tcPr>
                  <w:tcW w:w="493" w:type="pct"/>
                  <w:vAlign w:val="center"/>
                </w:tcPr>
                <w:p w14:paraId="78C869B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0</w:t>
                  </w:r>
                </w:p>
              </w:tc>
              <w:tc>
                <w:tcPr>
                  <w:tcW w:w="549" w:type="pct"/>
                  <w:vAlign w:val="center"/>
                </w:tcPr>
                <w:p w14:paraId="21DDDCC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300</w:t>
                  </w:r>
                </w:p>
              </w:tc>
              <w:tc>
                <w:tcPr>
                  <w:tcW w:w="491" w:type="pct"/>
                  <w:vAlign w:val="center"/>
                </w:tcPr>
                <w:p w14:paraId="37172F1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w:t>
                  </w:r>
                </w:p>
              </w:tc>
              <w:tc>
                <w:tcPr>
                  <w:tcW w:w="491" w:type="pct"/>
                  <w:vAlign w:val="center"/>
                </w:tcPr>
                <w:p w14:paraId="591F721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435" w:type="pct"/>
                  <w:vAlign w:val="center"/>
                </w:tcPr>
                <w:p w14:paraId="7DB7C9C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bl>
          <w:p w14:paraId="3CA66058">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由上表可知，项目营运期</w:t>
            </w:r>
            <w:r>
              <w:rPr>
                <w:color w:val="000000" w:themeColor="text1"/>
                <w:kern w:val="0"/>
                <w:sz w:val="24"/>
                <w14:textFill>
                  <w14:solidFill>
                    <w14:schemeClr w14:val="tx1"/>
                  </w14:solidFill>
                </w14:textFill>
              </w:rPr>
              <w:t>生产废水及生活污水经污水处理站处理后废水水质可满足</w:t>
            </w:r>
            <w:r>
              <w:rPr>
                <w:rFonts w:hint="eastAsia"/>
                <w:color w:val="000000" w:themeColor="text1"/>
                <w:kern w:val="0"/>
                <w:sz w:val="24"/>
                <w14:textFill>
                  <w14:solidFill>
                    <w14:schemeClr w14:val="tx1"/>
                  </w14:solidFill>
                </w14:textFill>
              </w:rPr>
              <w:t>《发酵酒精和白酒工业水污染物排放标准》（GB27631-2011）及其修改单表2间接排放标准、《啤酒工业水污染物排放标准》（DB41/681-2011）</w:t>
            </w:r>
            <w:r>
              <w:rPr>
                <w:color w:val="000000" w:themeColor="text1"/>
                <w:kern w:val="0"/>
                <w:sz w:val="24"/>
                <w14:textFill>
                  <w14:solidFill>
                    <w14:schemeClr w14:val="tx1"/>
                  </w14:solidFill>
                </w14:textFill>
              </w:rPr>
              <w:t>及镇平县第二污水处理厂进水水质指标要求后经市政污水管网进入镇平县第二污水处理厂进一步处理达到《城镇污水处理厂污染物排放标准》（GB18918-2002）一级A标准后</w:t>
            </w:r>
            <w:r>
              <w:rPr>
                <w:color w:val="000000" w:themeColor="text1"/>
                <w:sz w:val="24"/>
                <w14:textFill>
                  <w14:solidFill>
                    <w14:schemeClr w14:val="tx1"/>
                  </w14:solidFill>
                </w14:textFill>
              </w:rPr>
              <w:t>排入赵河</w:t>
            </w:r>
            <w:r>
              <w:rPr>
                <w:color w:val="000000" w:themeColor="text1"/>
                <w:kern w:val="0"/>
                <w:sz w:val="24"/>
                <w14:textFill>
                  <w14:solidFill>
                    <w14:schemeClr w14:val="tx1"/>
                  </w14:solidFill>
                </w14:textFill>
              </w:rPr>
              <w:t>。</w:t>
            </w:r>
          </w:p>
          <w:p w14:paraId="7966352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2.3</w:t>
            </w:r>
            <w:r>
              <w:rPr>
                <w:color w:val="000000" w:themeColor="text1"/>
                <w:sz w:val="24"/>
                <w14:textFill>
                  <w14:solidFill>
                    <w14:schemeClr w14:val="tx1"/>
                  </w14:solidFill>
                </w14:textFill>
              </w:rPr>
              <w:t>废水依托镇平县第二污水处理厂的可行性分析</w:t>
            </w:r>
          </w:p>
          <w:p w14:paraId="6097460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（1）镇平县第二污水处理厂简介</w:t>
            </w:r>
          </w:p>
          <w:p w14:paraId="3205D86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镇平县第二污水处理厂一期工程建设规模为2.5万m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/d，厂址位于镇平县玉源大道西侧、快速通道北侧，采用改良型氧化沟+混凝沉淀过滤工艺，主要收集镇平县产业集聚区废水。</w:t>
            </w:r>
          </w:p>
          <w:p w14:paraId="580CAEB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（2）废水依托镇平县第二污水处理厂的可行性分析</w:t>
            </w:r>
          </w:p>
          <w:p w14:paraId="2AC40B6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①接管可行性分析</w:t>
            </w:r>
          </w:p>
          <w:p w14:paraId="6551E0A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本项目位于</w:t>
            </w:r>
            <w:r>
              <w:rPr>
                <w:rFonts w:hint="eastAsia"/>
                <w:color w:val="000000" w:themeColor="text1"/>
                <w:sz w:val="24"/>
                <w14:textFill>
                  <w14:solidFill>
                    <w14:schemeClr w14:val="tx1"/>
                  </w14:solidFill>
                </w14:textFill>
              </w:rPr>
              <w:t>南阳市镇平县玉都工业园区新星路8号</w:t>
            </w:r>
            <w:r>
              <w:rPr>
                <w:color w:val="000000" w:themeColor="text1"/>
                <w:sz w:val="24"/>
                <w14:textFill>
                  <w14:solidFill>
                    <w14:schemeClr w14:val="tx1"/>
                  </w14:solidFill>
                </w14:textFill>
              </w:rPr>
              <w:t>，位于镇平县第二污水处理厂收水范围内，且项目区污水管网已配套建设，因此项目</w:t>
            </w:r>
            <w:r>
              <w:rPr>
                <w:rFonts w:hint="eastAsia"/>
                <w:bCs/>
                <w:color w:val="000000" w:themeColor="text1"/>
                <w:sz w:val="24"/>
                <w14:textFill>
                  <w14:solidFill>
                    <w14:schemeClr w14:val="tx1"/>
                  </w14:solidFill>
                </w14:textFill>
              </w:rPr>
              <w:t>综合废水</w:t>
            </w:r>
            <w:r>
              <w:rPr>
                <w:color w:val="000000" w:themeColor="text1"/>
                <w:sz w:val="24"/>
                <w14:textFill>
                  <w14:solidFill>
                    <w14:schemeClr w14:val="tx1"/>
                  </w14:solidFill>
                </w14:textFill>
              </w:rPr>
              <w:t>可经市政污水管网进入镇平县第二污水处理厂。</w:t>
            </w:r>
          </w:p>
          <w:p w14:paraId="22D4E390">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②进水水质可行性分析</w:t>
            </w:r>
          </w:p>
          <w:p w14:paraId="5EEC24CA">
            <w:pPr>
              <w:adjustRightInd w:val="0"/>
              <w:snapToGrid w:val="0"/>
              <w:spacing w:line="360" w:lineRule="auto"/>
              <w:ind w:firstLine="480" w:firstLineChars="200"/>
              <w:rPr>
                <w:color w:val="000000" w:themeColor="text1"/>
                <w:sz w:val="24"/>
                <w14:textFill>
                  <w14:solidFill>
                    <w14:schemeClr w14:val="tx1"/>
                  </w14:solidFill>
                </w14:textFill>
              </w:rPr>
            </w:pPr>
            <w:bookmarkStart w:id="157" w:name="_Toc17641"/>
            <w:bookmarkStart w:id="158" w:name="_Toc21740"/>
            <w:bookmarkStart w:id="159" w:name="_Toc26133"/>
            <w:bookmarkStart w:id="160" w:name="_Toc11459"/>
            <w:r>
              <w:rPr>
                <w:color w:val="000000" w:themeColor="text1"/>
                <w:sz w:val="24"/>
                <w14:textFill>
                  <w14:solidFill>
                    <w14:schemeClr w14:val="tx1"/>
                  </w14:solidFill>
                </w14:textFill>
              </w:rPr>
              <w:t>镇平县第二污水处理厂设计进水水质为</w:t>
            </w:r>
            <w:r>
              <w:rPr>
                <w:bCs/>
                <w:color w:val="000000" w:themeColor="text1"/>
                <w:sz w:val="24"/>
                <w14:textFill>
                  <w14:solidFill>
                    <w14:schemeClr w14:val="tx1"/>
                  </w14:solidFill>
                </w14:textFill>
              </w:rPr>
              <w:t>COD400mg/L、</w:t>
            </w:r>
            <w:r>
              <w:rPr>
                <w:color w:val="000000" w:themeColor="text1"/>
                <w:sz w:val="24"/>
                <w14:textFill>
                  <w14:solidFill>
                    <w14:schemeClr w14:val="tx1"/>
                  </w14:solidFill>
                </w14:textFill>
              </w:rPr>
              <w:t>BOD</w:t>
            </w:r>
            <w:r>
              <w:rPr>
                <w:color w:val="000000" w:themeColor="text1"/>
                <w:sz w:val="24"/>
                <w:vertAlign w:val="subscript"/>
                <w14:textFill>
                  <w14:solidFill>
                    <w14:schemeClr w14:val="tx1"/>
                  </w14:solidFill>
                </w14:textFill>
              </w:rPr>
              <w:t>5</w:t>
            </w:r>
            <w:r>
              <w:rPr>
                <w:color w:val="000000" w:themeColor="text1"/>
                <w:sz w:val="24"/>
                <w14:textFill>
                  <w14:solidFill>
                    <w14:schemeClr w14:val="tx1"/>
                  </w14:solidFill>
                </w14:textFill>
              </w:rPr>
              <w:t>150mg/L、</w:t>
            </w:r>
            <w:r>
              <w:rPr>
                <w:bCs/>
                <w:color w:val="000000" w:themeColor="text1"/>
                <w:sz w:val="24"/>
                <w14:textFill>
                  <w14:solidFill>
                    <w14:schemeClr w14:val="tx1"/>
                  </w14:solidFill>
                </w14:textFill>
              </w:rPr>
              <w:t>SS300mg/L、NH</w:t>
            </w:r>
            <w:r>
              <w:rPr>
                <w:bCs/>
                <w:color w:val="000000" w:themeColor="text1"/>
                <w:sz w:val="24"/>
                <w:vertAlign w:val="subscript"/>
                <w14:textFill>
                  <w14:solidFill>
                    <w14:schemeClr w14:val="tx1"/>
                  </w14:solidFill>
                </w14:textFill>
              </w:rPr>
              <w:t>3</w:t>
            </w:r>
            <w:r>
              <w:rPr>
                <w:bCs/>
                <w:color w:val="000000" w:themeColor="text1"/>
                <w:sz w:val="24"/>
                <w14:textFill>
                  <w14:solidFill>
                    <w14:schemeClr w14:val="tx1"/>
                  </w14:solidFill>
                </w14:textFill>
              </w:rPr>
              <w:t>-N40mg/L，</w:t>
            </w: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综合废水</w:t>
            </w:r>
            <w:r>
              <w:rPr>
                <w:color w:val="000000" w:themeColor="text1"/>
                <w:sz w:val="24"/>
                <w14:textFill>
                  <w14:solidFill>
                    <w14:schemeClr w14:val="tx1"/>
                  </w14:solidFill>
                </w14:textFill>
              </w:rPr>
              <w:t>经处理后排放水质为COD11</w:t>
            </w:r>
            <w:r>
              <w:rPr>
                <w:rFonts w:hint="eastAsia"/>
                <w:color w:val="000000" w:themeColor="text1"/>
                <w:sz w:val="24"/>
                <w:lang w:val="en-US" w:eastAsia="zh-CN"/>
                <w14:textFill>
                  <w14:solidFill>
                    <w14:schemeClr w14:val="tx1"/>
                  </w14:solidFill>
                </w14:textFill>
              </w:rPr>
              <w:t>4.500</w:t>
            </w:r>
            <w:r>
              <w:rPr>
                <w:color w:val="000000" w:themeColor="text1"/>
                <w:sz w:val="24"/>
                <w14:textFill>
                  <w14:solidFill>
                    <w14:schemeClr w14:val="tx1"/>
                  </w14:solidFill>
                </w14:textFill>
              </w:rPr>
              <w:t>mg/L、BOD</w:t>
            </w:r>
            <w:r>
              <w:rPr>
                <w:color w:val="000000" w:themeColor="text1"/>
                <w:sz w:val="24"/>
                <w:vertAlign w:val="subscript"/>
                <w14:textFill>
                  <w14:solidFill>
                    <w14:schemeClr w14:val="tx1"/>
                  </w14:solidFill>
                </w14:textFill>
              </w:rPr>
              <w:t>5</w:t>
            </w:r>
            <w:r>
              <w:rPr>
                <w:rFonts w:hint="eastAsia"/>
                <w:color w:val="000000" w:themeColor="text1"/>
                <w:sz w:val="24"/>
                <w14:textFill>
                  <w14:solidFill>
                    <w14:schemeClr w14:val="tx1"/>
                  </w14:solidFill>
                </w14:textFill>
              </w:rPr>
              <w:t>30.</w:t>
            </w:r>
            <w:r>
              <w:rPr>
                <w:rFonts w:hint="eastAsia"/>
                <w:color w:val="000000" w:themeColor="text1"/>
                <w:sz w:val="24"/>
                <w:lang w:val="en-US" w:eastAsia="zh-CN"/>
                <w14:textFill>
                  <w14:solidFill>
                    <w14:schemeClr w14:val="tx1"/>
                  </w14:solidFill>
                </w14:textFill>
              </w:rPr>
              <w:t>151</w:t>
            </w:r>
            <w:r>
              <w:rPr>
                <w:color w:val="000000" w:themeColor="text1"/>
                <w:sz w:val="24"/>
                <w14:textFill>
                  <w14:solidFill>
                    <w14:schemeClr w14:val="tx1"/>
                  </w14:solidFill>
                </w14:textFill>
              </w:rPr>
              <w:t>mg/L、SS</w:t>
            </w:r>
            <w:r>
              <w:rPr>
                <w:rFonts w:hint="eastAsia"/>
                <w:color w:val="000000" w:themeColor="text1"/>
                <w:sz w:val="24"/>
                <w14:textFill>
                  <w14:solidFill>
                    <w14:schemeClr w14:val="tx1"/>
                  </w14:solidFill>
                </w14:textFill>
              </w:rPr>
              <w:t>6</w:t>
            </w:r>
            <w:r>
              <w:rPr>
                <w:rFonts w:hint="eastAsia"/>
                <w:color w:val="000000" w:themeColor="text1"/>
                <w:sz w:val="24"/>
                <w:lang w:val="en-US" w:eastAsia="zh-CN"/>
                <w14:textFill>
                  <w14:solidFill>
                    <w14:schemeClr w14:val="tx1"/>
                  </w14:solidFill>
                </w14:textFill>
              </w:rPr>
              <w:t>1</w:t>
            </w:r>
            <w:r>
              <w:rPr>
                <w:rFonts w:hint="eastAsia"/>
                <w:color w:val="000000" w:themeColor="text1"/>
                <w:sz w:val="24"/>
                <w14:textFill>
                  <w14:solidFill>
                    <w14:schemeClr w14:val="tx1"/>
                  </w14:solidFill>
                </w14:textFill>
              </w:rPr>
              <w:t>.</w:t>
            </w:r>
            <w:r>
              <w:rPr>
                <w:rFonts w:hint="eastAsia"/>
                <w:color w:val="000000" w:themeColor="text1"/>
                <w:sz w:val="24"/>
                <w:lang w:val="en-US" w:eastAsia="zh-CN"/>
                <w14:textFill>
                  <w14:solidFill>
                    <w14:schemeClr w14:val="tx1"/>
                  </w14:solidFill>
                </w14:textFill>
              </w:rPr>
              <w:t>096</w:t>
            </w:r>
            <w:r>
              <w:rPr>
                <w:color w:val="000000" w:themeColor="text1"/>
                <w:sz w:val="24"/>
                <w14:textFill>
                  <w14:solidFill>
                    <w14:schemeClr w14:val="tx1"/>
                  </w14:solidFill>
                </w14:textFill>
              </w:rPr>
              <w:t>mg/L、NH</w:t>
            </w:r>
            <w:r>
              <w:rPr>
                <w:color w:val="000000" w:themeColor="text1"/>
                <w:sz w:val="24"/>
                <w:vertAlign w:val="subscript"/>
                <w14:textFill>
                  <w14:solidFill>
                    <w14:schemeClr w14:val="tx1"/>
                  </w14:solidFill>
                </w14:textFill>
              </w:rPr>
              <w:t>3</w:t>
            </w:r>
            <w:r>
              <w:rPr>
                <w:color w:val="000000" w:themeColor="text1"/>
                <w:sz w:val="24"/>
                <w14:textFill>
                  <w14:solidFill>
                    <w14:schemeClr w14:val="tx1"/>
                  </w14:solidFill>
                </w14:textFill>
              </w:rPr>
              <w:t>-N</w:t>
            </w:r>
            <w:r>
              <w:rPr>
                <w:rFonts w:hint="eastAsia"/>
                <w:color w:val="000000" w:themeColor="text1"/>
                <w:sz w:val="24"/>
                <w14:textFill>
                  <w14:solidFill>
                    <w14:schemeClr w14:val="tx1"/>
                  </w14:solidFill>
                </w14:textFill>
              </w:rPr>
              <w:t>7.</w:t>
            </w:r>
            <w:r>
              <w:rPr>
                <w:rFonts w:hint="eastAsia"/>
                <w:color w:val="000000" w:themeColor="text1"/>
                <w:sz w:val="24"/>
                <w:lang w:val="en-US" w:eastAsia="zh-CN"/>
                <w14:textFill>
                  <w14:solidFill>
                    <w14:schemeClr w14:val="tx1"/>
                  </w14:solidFill>
                </w14:textFill>
              </w:rPr>
              <w:t>450</w:t>
            </w:r>
            <w:r>
              <w:rPr>
                <w:color w:val="000000" w:themeColor="text1"/>
                <w:sz w:val="24"/>
                <w14:textFill>
                  <w14:solidFill>
                    <w14:schemeClr w14:val="tx1"/>
                  </w14:solidFill>
                </w14:textFill>
              </w:rPr>
              <w:t>mg/L，可以满足镇平县第二污水处理厂进水水质指标要求。</w:t>
            </w:r>
            <w:bookmarkEnd w:id="157"/>
            <w:bookmarkEnd w:id="158"/>
            <w:bookmarkEnd w:id="159"/>
            <w:bookmarkEnd w:id="160"/>
          </w:p>
          <w:p w14:paraId="14184CF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③对镇平县第二污水处理厂的冲击影响</w:t>
            </w:r>
          </w:p>
          <w:p w14:paraId="70CC6D8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镇平县第二污水处理厂一期工程建设规模为2.5万m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/d，本项目外排废水量为</w:t>
            </w:r>
            <w:r>
              <w:rPr>
                <w:rFonts w:hint="eastAsia"/>
                <w:color w:val="000000" w:themeColor="text1"/>
                <w:sz w:val="24"/>
                <w:lang w:val="en-US" w:eastAsia="zh-CN"/>
                <w14:textFill>
                  <w14:solidFill>
                    <w14:schemeClr w14:val="tx1"/>
                  </w14:solidFill>
                </w14:textFill>
              </w:rPr>
              <w:t>27.196</w:t>
            </w:r>
            <w:r>
              <w:rPr>
                <w:color w:val="000000" w:themeColor="text1"/>
                <w:kern w:val="0"/>
                <w:sz w:val="24"/>
                <w14:textFill>
                  <w14:solidFill>
                    <w14:schemeClr w14:val="tx1"/>
                  </w14:solidFill>
                </w14:textFill>
              </w:rPr>
              <w:t>m</w:t>
            </w:r>
            <w:r>
              <w:rPr>
                <w:rFonts w:hint="eastAsia"/>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/d</w:t>
            </w:r>
            <w:r>
              <w:rPr>
                <w:color w:val="000000" w:themeColor="text1"/>
                <w:sz w:val="24"/>
                <w14:textFill>
                  <w14:solidFill>
                    <w14:schemeClr w14:val="tx1"/>
                  </w14:solidFill>
                </w14:textFill>
              </w:rPr>
              <w:t>，在镇平县第二污水处理厂的进水污染负荷量（2.5万m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/d）中所占的比重很小，因此从水量分析，本项目</w:t>
            </w:r>
            <w:r>
              <w:rPr>
                <w:rFonts w:hint="eastAsia"/>
                <w:color w:val="000000" w:themeColor="text1"/>
                <w:sz w:val="24"/>
                <w14:textFill>
                  <w14:solidFill>
                    <w14:schemeClr w14:val="tx1"/>
                  </w14:solidFill>
                </w14:textFill>
              </w:rPr>
              <w:t>综合废水</w:t>
            </w:r>
            <w:r>
              <w:rPr>
                <w:color w:val="000000" w:themeColor="text1"/>
                <w:sz w:val="24"/>
                <w14:textFill>
                  <w14:solidFill>
                    <w14:schemeClr w14:val="tx1"/>
                  </w14:solidFill>
                </w14:textFill>
              </w:rPr>
              <w:t>接管镇平县第二污水处理厂是可行的，不会对污水处理厂的正常运行产生冲击。</w:t>
            </w:r>
            <w:bookmarkStart w:id="161" w:name="_Toc17917"/>
            <w:bookmarkStart w:id="162" w:name="_Toc20815"/>
            <w:bookmarkStart w:id="163" w:name="_Toc11065"/>
            <w:bookmarkStart w:id="164" w:name="_Toc14106"/>
          </w:p>
          <w:p w14:paraId="3009DB2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综上，本项目营运期废水经采取措施后不会对周围地表水产生不良影响。</w:t>
            </w:r>
            <w:bookmarkEnd w:id="161"/>
            <w:bookmarkEnd w:id="162"/>
            <w:bookmarkEnd w:id="163"/>
            <w:bookmarkEnd w:id="164"/>
          </w:p>
          <w:p w14:paraId="1AE1FB49">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因此，本项目营运期</w:t>
            </w:r>
            <w:r>
              <w:rPr>
                <w:rFonts w:hint="eastAsia"/>
                <w:color w:val="000000" w:themeColor="text1"/>
                <w:sz w:val="24"/>
                <w14:textFill>
                  <w14:solidFill>
                    <w14:schemeClr w14:val="tx1"/>
                  </w14:solidFill>
                </w14:textFill>
              </w:rPr>
              <w:t>生产和生活废水</w:t>
            </w:r>
            <w:r>
              <w:rPr>
                <w:color w:val="000000" w:themeColor="text1"/>
                <w:sz w:val="24"/>
                <w14:textFill>
                  <w14:solidFill>
                    <w14:schemeClr w14:val="tx1"/>
                  </w14:solidFill>
                </w14:textFill>
              </w:rPr>
              <w:t>依托镇平县第二污水处理厂处理是可行的。</w:t>
            </w:r>
          </w:p>
          <w:p w14:paraId="19AFD50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2.4废水类别、污染物及污染治理设施信息表</w:t>
            </w:r>
          </w:p>
          <w:p w14:paraId="64743EA2">
            <w:pPr>
              <w:widowControl/>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12  </w:t>
            </w:r>
            <w:r>
              <w:rPr>
                <w:b/>
                <w:bCs/>
                <w:color w:val="000000" w:themeColor="text1"/>
                <w:sz w:val="24"/>
                <w14:textFill>
                  <w14:solidFill>
                    <w14:schemeClr w14:val="tx1"/>
                  </w14:solidFill>
                </w14:textFill>
              </w:rPr>
              <w:t>废水类别、污染物及污染治理设施信息表</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7"/>
              <w:gridCol w:w="1361"/>
              <w:gridCol w:w="782"/>
              <w:gridCol w:w="459"/>
              <w:gridCol w:w="923"/>
              <w:gridCol w:w="738"/>
              <w:gridCol w:w="1195"/>
              <w:gridCol w:w="949"/>
              <w:gridCol w:w="927"/>
              <w:gridCol w:w="710"/>
            </w:tblGrid>
            <w:tr w14:paraId="423314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Merge w:val="restart"/>
                  <w:vAlign w:val="center"/>
                </w:tcPr>
                <w:p w14:paraId="34F4ED61">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废水类别</w:t>
                  </w:r>
                </w:p>
              </w:tc>
              <w:tc>
                <w:tcPr>
                  <w:tcW w:w="736" w:type="pct"/>
                  <w:vMerge w:val="restart"/>
                  <w:vAlign w:val="center"/>
                </w:tcPr>
                <w:p w14:paraId="32B136FE">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污染物种类</w:t>
                  </w:r>
                </w:p>
              </w:tc>
              <w:tc>
                <w:tcPr>
                  <w:tcW w:w="423" w:type="pct"/>
                  <w:vMerge w:val="restart"/>
                  <w:vAlign w:val="center"/>
                </w:tcPr>
                <w:p w14:paraId="4583584A">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排放去向</w:t>
                  </w:r>
                </w:p>
              </w:tc>
              <w:tc>
                <w:tcPr>
                  <w:tcW w:w="248" w:type="pct"/>
                  <w:vMerge w:val="restart"/>
                  <w:vAlign w:val="center"/>
                </w:tcPr>
                <w:p w14:paraId="17A768FA">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排放规律</w:t>
                  </w:r>
                </w:p>
              </w:tc>
              <w:tc>
                <w:tcPr>
                  <w:tcW w:w="1544" w:type="pct"/>
                  <w:gridSpan w:val="3"/>
                  <w:vAlign w:val="center"/>
                </w:tcPr>
                <w:p w14:paraId="52ED68C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污染治理设施</w:t>
                  </w:r>
                </w:p>
              </w:tc>
              <w:tc>
                <w:tcPr>
                  <w:tcW w:w="513" w:type="pct"/>
                  <w:vMerge w:val="restart"/>
                  <w:vAlign w:val="center"/>
                </w:tcPr>
                <w:p w14:paraId="756AADF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排放口编号</w:t>
                  </w:r>
                </w:p>
              </w:tc>
              <w:tc>
                <w:tcPr>
                  <w:tcW w:w="501" w:type="pct"/>
                  <w:vMerge w:val="restart"/>
                  <w:vAlign w:val="center"/>
                </w:tcPr>
                <w:p w14:paraId="1521DCF1">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排放口设置是否符合要求</w:t>
                  </w:r>
                </w:p>
              </w:tc>
              <w:tc>
                <w:tcPr>
                  <w:tcW w:w="384" w:type="pct"/>
                  <w:vMerge w:val="restart"/>
                  <w:vAlign w:val="center"/>
                </w:tcPr>
                <w:p w14:paraId="59484FE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排放口类型</w:t>
                  </w:r>
                </w:p>
              </w:tc>
            </w:tr>
            <w:tr w14:paraId="771F9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Merge w:val="continue"/>
                  <w:vAlign w:val="center"/>
                </w:tcPr>
                <w:p w14:paraId="73E32D87">
                  <w:pPr>
                    <w:jc w:val="center"/>
                    <w:rPr>
                      <w:color w:val="000000" w:themeColor="text1"/>
                      <w:szCs w:val="21"/>
                      <w14:textFill>
                        <w14:solidFill>
                          <w14:schemeClr w14:val="tx1"/>
                        </w14:solidFill>
                      </w14:textFill>
                    </w:rPr>
                  </w:pPr>
                </w:p>
              </w:tc>
              <w:tc>
                <w:tcPr>
                  <w:tcW w:w="736" w:type="pct"/>
                  <w:vMerge w:val="continue"/>
                  <w:vAlign w:val="center"/>
                </w:tcPr>
                <w:p w14:paraId="60754488">
                  <w:pPr>
                    <w:jc w:val="center"/>
                    <w:rPr>
                      <w:color w:val="000000" w:themeColor="text1"/>
                      <w:szCs w:val="21"/>
                      <w14:textFill>
                        <w14:solidFill>
                          <w14:schemeClr w14:val="tx1"/>
                        </w14:solidFill>
                      </w14:textFill>
                    </w:rPr>
                  </w:pPr>
                </w:p>
              </w:tc>
              <w:tc>
                <w:tcPr>
                  <w:tcW w:w="423" w:type="pct"/>
                  <w:vMerge w:val="continue"/>
                  <w:vAlign w:val="center"/>
                </w:tcPr>
                <w:p w14:paraId="60931578">
                  <w:pPr>
                    <w:jc w:val="center"/>
                    <w:rPr>
                      <w:color w:val="000000" w:themeColor="text1"/>
                      <w:szCs w:val="21"/>
                      <w14:textFill>
                        <w14:solidFill>
                          <w14:schemeClr w14:val="tx1"/>
                        </w14:solidFill>
                      </w14:textFill>
                    </w:rPr>
                  </w:pPr>
                </w:p>
              </w:tc>
              <w:tc>
                <w:tcPr>
                  <w:tcW w:w="248" w:type="pct"/>
                  <w:vMerge w:val="continue"/>
                  <w:vAlign w:val="center"/>
                </w:tcPr>
                <w:p w14:paraId="273D5A27">
                  <w:pPr>
                    <w:jc w:val="center"/>
                    <w:rPr>
                      <w:color w:val="000000" w:themeColor="text1"/>
                      <w:szCs w:val="21"/>
                      <w14:textFill>
                        <w14:solidFill>
                          <w14:schemeClr w14:val="tx1"/>
                        </w14:solidFill>
                      </w14:textFill>
                    </w:rPr>
                  </w:pPr>
                </w:p>
              </w:tc>
              <w:tc>
                <w:tcPr>
                  <w:tcW w:w="499" w:type="pct"/>
                  <w:vAlign w:val="center"/>
                </w:tcPr>
                <w:p w14:paraId="5EDA3F1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污染治理设施编号</w:t>
                  </w:r>
                </w:p>
              </w:tc>
              <w:tc>
                <w:tcPr>
                  <w:tcW w:w="399" w:type="pct"/>
                  <w:vAlign w:val="center"/>
                </w:tcPr>
                <w:p w14:paraId="5F51E8E7">
                  <w:pPr>
                    <w:jc w:val="center"/>
                    <w:rPr>
                      <w:color w:val="000000" w:themeColor="text1"/>
                      <w:szCs w:val="21"/>
                      <w:vertAlign w:val="superscript"/>
                      <w14:textFill>
                        <w14:solidFill>
                          <w14:schemeClr w14:val="tx1"/>
                        </w14:solidFill>
                      </w14:textFill>
                    </w:rPr>
                  </w:pPr>
                  <w:r>
                    <w:rPr>
                      <w:color w:val="000000" w:themeColor="text1"/>
                      <w:szCs w:val="21"/>
                      <w14:textFill>
                        <w14:solidFill>
                          <w14:schemeClr w14:val="tx1"/>
                        </w14:solidFill>
                      </w14:textFill>
                    </w:rPr>
                    <w:t>污染治理设施名称</w:t>
                  </w:r>
                </w:p>
              </w:tc>
              <w:tc>
                <w:tcPr>
                  <w:tcW w:w="646" w:type="pct"/>
                  <w:vAlign w:val="center"/>
                </w:tcPr>
                <w:p w14:paraId="06698EB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污染治理设施工艺</w:t>
                  </w:r>
                </w:p>
              </w:tc>
              <w:tc>
                <w:tcPr>
                  <w:tcW w:w="513" w:type="pct"/>
                  <w:vMerge w:val="continue"/>
                  <w:vAlign w:val="center"/>
                </w:tcPr>
                <w:p w14:paraId="2150562E">
                  <w:pPr>
                    <w:jc w:val="center"/>
                    <w:rPr>
                      <w:color w:val="000000" w:themeColor="text1"/>
                      <w:szCs w:val="21"/>
                      <w14:textFill>
                        <w14:solidFill>
                          <w14:schemeClr w14:val="tx1"/>
                        </w14:solidFill>
                      </w14:textFill>
                    </w:rPr>
                  </w:pPr>
                </w:p>
              </w:tc>
              <w:tc>
                <w:tcPr>
                  <w:tcW w:w="501" w:type="pct"/>
                  <w:vMerge w:val="continue"/>
                  <w:vAlign w:val="center"/>
                </w:tcPr>
                <w:p w14:paraId="4182BEA3">
                  <w:pPr>
                    <w:jc w:val="center"/>
                    <w:rPr>
                      <w:color w:val="000000" w:themeColor="text1"/>
                      <w:szCs w:val="21"/>
                      <w14:textFill>
                        <w14:solidFill>
                          <w14:schemeClr w14:val="tx1"/>
                        </w14:solidFill>
                      </w14:textFill>
                    </w:rPr>
                  </w:pPr>
                </w:p>
              </w:tc>
              <w:tc>
                <w:tcPr>
                  <w:tcW w:w="384" w:type="pct"/>
                  <w:vMerge w:val="continue"/>
                  <w:vAlign w:val="center"/>
                </w:tcPr>
                <w:p w14:paraId="390CD3FF">
                  <w:pPr>
                    <w:jc w:val="center"/>
                    <w:rPr>
                      <w:color w:val="000000" w:themeColor="text1"/>
                      <w:szCs w:val="21"/>
                      <w14:textFill>
                        <w14:solidFill>
                          <w14:schemeClr w14:val="tx1"/>
                        </w14:solidFill>
                      </w14:textFill>
                    </w:rPr>
                  </w:pPr>
                </w:p>
              </w:tc>
            </w:tr>
            <w:tr w14:paraId="69570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Align w:val="center"/>
                </w:tcPr>
                <w:p w14:paraId="75D0D49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生产废水</w:t>
                  </w:r>
                </w:p>
              </w:tc>
              <w:tc>
                <w:tcPr>
                  <w:tcW w:w="736" w:type="pct"/>
                  <w:tcBorders>
                    <w:bottom w:val="single" w:color="000000" w:sz="6" w:space="0"/>
                  </w:tcBorders>
                  <w:vAlign w:val="center"/>
                </w:tcPr>
                <w:p w14:paraId="3CC07DF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r>
                    <w:rPr>
                      <w:rFonts w:hint="eastAsia"/>
                      <w:bCs/>
                      <w:color w:val="000000" w:themeColor="text1"/>
                      <w:szCs w:val="21"/>
                      <w14:textFill>
                        <w14:solidFill>
                          <w14:schemeClr w14:val="tx1"/>
                        </w14:solidFill>
                      </w14:textFill>
                    </w:rPr>
                    <w:t>TN、TP</w:t>
                  </w:r>
                </w:p>
              </w:tc>
              <w:tc>
                <w:tcPr>
                  <w:tcW w:w="423" w:type="pct"/>
                  <w:vMerge w:val="restart"/>
                  <w:vAlign w:val="center"/>
                </w:tcPr>
                <w:p w14:paraId="0C541DC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镇平县第二污水处理厂</w:t>
                  </w:r>
                </w:p>
              </w:tc>
              <w:tc>
                <w:tcPr>
                  <w:tcW w:w="248" w:type="pct"/>
                  <w:vMerge w:val="restart"/>
                  <w:vAlign w:val="center"/>
                </w:tcPr>
                <w:p w14:paraId="0F3F83C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间歇排放</w:t>
                  </w:r>
                </w:p>
              </w:tc>
              <w:tc>
                <w:tcPr>
                  <w:tcW w:w="499" w:type="pct"/>
                  <w:vAlign w:val="center"/>
                </w:tcPr>
                <w:p w14:paraId="74AD59D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TW001</w:t>
                  </w:r>
                </w:p>
              </w:tc>
              <w:tc>
                <w:tcPr>
                  <w:tcW w:w="399" w:type="pct"/>
                  <w:vAlign w:val="center"/>
                </w:tcPr>
                <w:p w14:paraId="5E12BFC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污水处理站</w:t>
                  </w:r>
                </w:p>
              </w:tc>
              <w:tc>
                <w:tcPr>
                  <w:tcW w:w="646" w:type="pct"/>
                  <w:shd w:val="clear" w:color="auto" w:fill="auto"/>
                  <w:vAlign w:val="center"/>
                </w:tcPr>
                <w:p w14:paraId="258F89F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均质调节池</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水解酸化</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接触氧化</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沉淀池</w:t>
                  </w:r>
                </w:p>
              </w:tc>
              <w:tc>
                <w:tcPr>
                  <w:tcW w:w="513" w:type="pct"/>
                  <w:vMerge w:val="restart"/>
                  <w:vAlign w:val="center"/>
                </w:tcPr>
                <w:p w14:paraId="03A59F2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DW001</w:t>
                  </w:r>
                </w:p>
              </w:tc>
              <w:tc>
                <w:tcPr>
                  <w:tcW w:w="501" w:type="pct"/>
                  <w:vMerge w:val="restart"/>
                  <w:vAlign w:val="center"/>
                </w:tcPr>
                <w:p w14:paraId="1225640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■是</w:t>
                  </w:r>
                </w:p>
                <w:p w14:paraId="4994FBE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□否</w:t>
                  </w:r>
                </w:p>
              </w:tc>
              <w:tc>
                <w:tcPr>
                  <w:tcW w:w="384" w:type="pct"/>
                  <w:vMerge w:val="restart"/>
                  <w:vAlign w:val="center"/>
                </w:tcPr>
                <w:p w14:paraId="1B535A1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一般排放口</w:t>
                  </w:r>
                </w:p>
              </w:tc>
            </w:tr>
            <w:tr w14:paraId="19CE6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48" w:type="pct"/>
                  <w:vAlign w:val="center"/>
                </w:tcPr>
                <w:p w14:paraId="3F891D8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生活污水</w:t>
                  </w:r>
                </w:p>
              </w:tc>
              <w:tc>
                <w:tcPr>
                  <w:tcW w:w="736" w:type="pct"/>
                  <w:tcBorders>
                    <w:top w:val="single" w:color="000000" w:sz="6" w:space="0"/>
                    <w:bottom w:val="single" w:color="000000" w:sz="6" w:space="0"/>
                  </w:tcBorders>
                  <w:vAlign w:val="center"/>
                </w:tcPr>
                <w:p w14:paraId="1EF491D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COD、BOD</w:t>
                  </w:r>
                  <w:r>
                    <w:rPr>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、SS、NH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423" w:type="pct"/>
                  <w:vMerge w:val="continue"/>
                  <w:vAlign w:val="center"/>
                </w:tcPr>
                <w:p w14:paraId="0F9EFCE4">
                  <w:pPr>
                    <w:jc w:val="center"/>
                    <w:rPr>
                      <w:color w:val="000000" w:themeColor="text1"/>
                      <w:szCs w:val="21"/>
                      <w14:textFill>
                        <w14:solidFill>
                          <w14:schemeClr w14:val="tx1"/>
                        </w14:solidFill>
                      </w14:textFill>
                    </w:rPr>
                  </w:pPr>
                </w:p>
              </w:tc>
              <w:tc>
                <w:tcPr>
                  <w:tcW w:w="248" w:type="pct"/>
                  <w:vMerge w:val="continue"/>
                  <w:vAlign w:val="center"/>
                </w:tcPr>
                <w:p w14:paraId="02F4D583">
                  <w:pPr>
                    <w:jc w:val="center"/>
                    <w:rPr>
                      <w:color w:val="000000" w:themeColor="text1"/>
                      <w:szCs w:val="21"/>
                      <w14:textFill>
                        <w14:solidFill>
                          <w14:schemeClr w14:val="tx1"/>
                        </w14:solidFill>
                      </w14:textFill>
                    </w:rPr>
                  </w:pPr>
                </w:p>
              </w:tc>
              <w:tc>
                <w:tcPr>
                  <w:tcW w:w="499" w:type="pct"/>
                  <w:vAlign w:val="center"/>
                </w:tcPr>
                <w:p w14:paraId="193DEAC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TW002</w:t>
                  </w:r>
                </w:p>
              </w:tc>
              <w:tc>
                <w:tcPr>
                  <w:tcW w:w="399" w:type="pct"/>
                  <w:vAlign w:val="center"/>
                </w:tcPr>
                <w:p w14:paraId="6EBC836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化粪池</w:t>
                  </w:r>
                </w:p>
              </w:tc>
              <w:tc>
                <w:tcPr>
                  <w:tcW w:w="646" w:type="pct"/>
                  <w:vAlign w:val="center"/>
                </w:tcPr>
                <w:p w14:paraId="1880645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厌氧</w:t>
                  </w:r>
                </w:p>
              </w:tc>
              <w:tc>
                <w:tcPr>
                  <w:tcW w:w="513" w:type="pct"/>
                  <w:vMerge w:val="continue"/>
                  <w:vAlign w:val="center"/>
                </w:tcPr>
                <w:p w14:paraId="0DB25CC3">
                  <w:pPr>
                    <w:jc w:val="center"/>
                    <w:rPr>
                      <w:color w:val="000000" w:themeColor="text1"/>
                      <w:szCs w:val="21"/>
                      <w14:textFill>
                        <w14:solidFill>
                          <w14:schemeClr w14:val="tx1"/>
                        </w14:solidFill>
                      </w14:textFill>
                    </w:rPr>
                  </w:pPr>
                </w:p>
              </w:tc>
              <w:tc>
                <w:tcPr>
                  <w:tcW w:w="501" w:type="pct"/>
                  <w:vMerge w:val="continue"/>
                  <w:vAlign w:val="center"/>
                </w:tcPr>
                <w:p w14:paraId="67E6FCA7">
                  <w:pPr>
                    <w:jc w:val="center"/>
                    <w:rPr>
                      <w:color w:val="000000" w:themeColor="text1"/>
                      <w:szCs w:val="21"/>
                      <w14:textFill>
                        <w14:solidFill>
                          <w14:schemeClr w14:val="tx1"/>
                        </w14:solidFill>
                      </w14:textFill>
                    </w:rPr>
                  </w:pPr>
                </w:p>
              </w:tc>
              <w:tc>
                <w:tcPr>
                  <w:tcW w:w="384" w:type="pct"/>
                  <w:vMerge w:val="continue"/>
                  <w:vAlign w:val="center"/>
                </w:tcPr>
                <w:p w14:paraId="17C10AA9">
                  <w:pPr>
                    <w:jc w:val="center"/>
                    <w:rPr>
                      <w:color w:val="000000" w:themeColor="text1"/>
                      <w:szCs w:val="21"/>
                      <w14:textFill>
                        <w14:solidFill>
                          <w14:schemeClr w14:val="tx1"/>
                        </w14:solidFill>
                      </w14:textFill>
                    </w:rPr>
                  </w:pPr>
                </w:p>
              </w:tc>
            </w:tr>
          </w:tbl>
          <w:p w14:paraId="01883D19">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2.5废水间接排放口基本情况表</w:t>
            </w:r>
          </w:p>
          <w:p w14:paraId="1DA1D99E">
            <w:pPr>
              <w:widowControl/>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13  </w:t>
            </w:r>
            <w:r>
              <w:rPr>
                <w:b/>
                <w:bCs/>
                <w:color w:val="000000" w:themeColor="text1"/>
                <w:sz w:val="24"/>
                <w14:textFill>
                  <w14:solidFill>
                    <w14:schemeClr w14:val="tx1"/>
                  </w14:solidFill>
                </w14:textFill>
              </w:rPr>
              <w:t>废水间接排放口基本情况表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67"/>
              <w:gridCol w:w="1337"/>
              <w:gridCol w:w="1233"/>
              <w:gridCol w:w="1056"/>
              <w:gridCol w:w="1001"/>
              <w:gridCol w:w="500"/>
              <w:gridCol w:w="500"/>
              <w:gridCol w:w="796"/>
              <w:gridCol w:w="783"/>
              <w:gridCol w:w="1271"/>
            </w:tblGrid>
            <w:tr w14:paraId="26D51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5" w:type="pct"/>
                  <w:vMerge w:val="restart"/>
                  <w:tcMar>
                    <w:top w:w="0" w:type="dxa"/>
                    <w:left w:w="28" w:type="dxa"/>
                    <w:bottom w:w="0" w:type="dxa"/>
                    <w:right w:w="28" w:type="dxa"/>
                  </w:tcMar>
                  <w:vAlign w:val="center"/>
                </w:tcPr>
                <w:p w14:paraId="1F842AA1">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排放口编号</w:t>
                  </w:r>
                </w:p>
              </w:tc>
              <w:tc>
                <w:tcPr>
                  <w:tcW w:w="1390" w:type="pct"/>
                  <w:gridSpan w:val="2"/>
                  <w:tcMar>
                    <w:top w:w="0" w:type="dxa"/>
                    <w:left w:w="28" w:type="dxa"/>
                    <w:bottom w:w="0" w:type="dxa"/>
                    <w:right w:w="28" w:type="dxa"/>
                  </w:tcMar>
                  <w:vAlign w:val="center"/>
                </w:tcPr>
                <w:p w14:paraId="2644A5C3">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排放口地理坐标</w:t>
                  </w:r>
                </w:p>
              </w:tc>
              <w:tc>
                <w:tcPr>
                  <w:tcW w:w="571" w:type="pct"/>
                  <w:vMerge w:val="restart"/>
                  <w:tcMar>
                    <w:top w:w="0" w:type="dxa"/>
                    <w:left w:w="28" w:type="dxa"/>
                    <w:bottom w:w="0" w:type="dxa"/>
                    <w:right w:w="28" w:type="dxa"/>
                  </w:tcMar>
                  <w:vAlign w:val="center"/>
                </w:tcPr>
                <w:p w14:paraId="571B2A13">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废水排放量m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w:t>
                  </w:r>
                </w:p>
              </w:tc>
              <w:tc>
                <w:tcPr>
                  <w:tcW w:w="541" w:type="pct"/>
                  <w:vMerge w:val="restart"/>
                  <w:tcMar>
                    <w:top w:w="0" w:type="dxa"/>
                    <w:left w:w="28" w:type="dxa"/>
                    <w:bottom w:w="0" w:type="dxa"/>
                    <w:right w:w="28" w:type="dxa"/>
                  </w:tcMar>
                  <w:vAlign w:val="center"/>
                </w:tcPr>
                <w:p w14:paraId="5B161F6C">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w:t>
                  </w:r>
                </w:p>
                <w:p w14:paraId="6CA812FC">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去向</w:t>
                  </w:r>
                </w:p>
              </w:tc>
              <w:tc>
                <w:tcPr>
                  <w:tcW w:w="270" w:type="pct"/>
                  <w:vMerge w:val="restart"/>
                  <w:tcMar>
                    <w:top w:w="0" w:type="dxa"/>
                    <w:left w:w="28" w:type="dxa"/>
                    <w:bottom w:w="0" w:type="dxa"/>
                    <w:right w:w="28" w:type="dxa"/>
                  </w:tcMar>
                  <w:vAlign w:val="center"/>
                </w:tcPr>
                <w:p w14:paraId="7DA7209F">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排放规律</w:t>
                  </w:r>
                </w:p>
              </w:tc>
              <w:tc>
                <w:tcPr>
                  <w:tcW w:w="270" w:type="pct"/>
                  <w:vMerge w:val="restart"/>
                  <w:tcMar>
                    <w:top w:w="0" w:type="dxa"/>
                    <w:left w:w="28" w:type="dxa"/>
                    <w:bottom w:w="0" w:type="dxa"/>
                    <w:right w:w="28" w:type="dxa"/>
                  </w:tcMar>
                  <w:vAlign w:val="center"/>
                </w:tcPr>
                <w:p w14:paraId="3FAAC625">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间歇排放时段</w:t>
                  </w:r>
                </w:p>
              </w:tc>
              <w:tc>
                <w:tcPr>
                  <w:tcW w:w="1540" w:type="pct"/>
                  <w:gridSpan w:val="3"/>
                  <w:tcMar>
                    <w:top w:w="0" w:type="dxa"/>
                    <w:left w:w="28" w:type="dxa"/>
                    <w:bottom w:w="0" w:type="dxa"/>
                    <w:right w:w="28" w:type="dxa"/>
                  </w:tcMar>
                  <w:vAlign w:val="center"/>
                </w:tcPr>
                <w:p w14:paraId="584D9F59">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受纳污水处理厂信息</w:t>
                  </w:r>
                </w:p>
              </w:tc>
            </w:tr>
            <w:tr w14:paraId="5081E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5" w:type="pct"/>
                  <w:vMerge w:val="continue"/>
                  <w:tcMar>
                    <w:top w:w="0" w:type="dxa"/>
                    <w:left w:w="28" w:type="dxa"/>
                    <w:bottom w:w="0" w:type="dxa"/>
                    <w:right w:w="28" w:type="dxa"/>
                  </w:tcMar>
                  <w:vAlign w:val="center"/>
                </w:tcPr>
                <w:p w14:paraId="118631BB">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723" w:type="pct"/>
                  <w:tcMar>
                    <w:top w:w="0" w:type="dxa"/>
                    <w:left w:w="28" w:type="dxa"/>
                    <w:bottom w:w="0" w:type="dxa"/>
                    <w:right w:w="28" w:type="dxa"/>
                  </w:tcMar>
                  <w:vAlign w:val="center"/>
                </w:tcPr>
                <w:p w14:paraId="515934A9">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经度</w:t>
                  </w:r>
                </w:p>
              </w:tc>
              <w:tc>
                <w:tcPr>
                  <w:tcW w:w="667" w:type="pct"/>
                  <w:tcMar>
                    <w:top w:w="0" w:type="dxa"/>
                    <w:left w:w="28" w:type="dxa"/>
                    <w:bottom w:w="0" w:type="dxa"/>
                    <w:right w:w="28" w:type="dxa"/>
                  </w:tcMar>
                  <w:vAlign w:val="center"/>
                </w:tcPr>
                <w:p w14:paraId="26AFB246">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纬度</w:t>
                  </w:r>
                </w:p>
              </w:tc>
              <w:tc>
                <w:tcPr>
                  <w:tcW w:w="571" w:type="pct"/>
                  <w:vMerge w:val="continue"/>
                  <w:tcMar>
                    <w:top w:w="0" w:type="dxa"/>
                    <w:left w:w="28" w:type="dxa"/>
                    <w:bottom w:w="0" w:type="dxa"/>
                    <w:right w:w="28" w:type="dxa"/>
                  </w:tcMar>
                  <w:vAlign w:val="center"/>
                </w:tcPr>
                <w:p w14:paraId="73066E2F">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541" w:type="pct"/>
                  <w:vMerge w:val="continue"/>
                  <w:tcMar>
                    <w:top w:w="0" w:type="dxa"/>
                    <w:left w:w="28" w:type="dxa"/>
                    <w:bottom w:w="0" w:type="dxa"/>
                    <w:right w:w="28" w:type="dxa"/>
                  </w:tcMar>
                  <w:vAlign w:val="center"/>
                </w:tcPr>
                <w:p w14:paraId="52A533B5">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6FE2F3AD">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42795902">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430" w:type="pct"/>
                  <w:tcMar>
                    <w:top w:w="0" w:type="dxa"/>
                    <w:left w:w="28" w:type="dxa"/>
                    <w:bottom w:w="0" w:type="dxa"/>
                    <w:right w:w="28" w:type="dxa"/>
                  </w:tcMar>
                  <w:vAlign w:val="center"/>
                </w:tcPr>
                <w:p w14:paraId="32B7D101">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名称</w:t>
                  </w:r>
                </w:p>
              </w:tc>
              <w:tc>
                <w:tcPr>
                  <w:tcW w:w="423" w:type="pct"/>
                  <w:tcMar>
                    <w:top w:w="0" w:type="dxa"/>
                    <w:left w:w="28" w:type="dxa"/>
                    <w:bottom w:w="0" w:type="dxa"/>
                    <w:right w:w="28" w:type="dxa"/>
                  </w:tcMar>
                  <w:vAlign w:val="center"/>
                </w:tcPr>
                <w:p w14:paraId="1EFF8C1E">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污染物种类</w:t>
                  </w:r>
                </w:p>
              </w:tc>
              <w:tc>
                <w:tcPr>
                  <w:tcW w:w="686" w:type="pct"/>
                  <w:tcMar>
                    <w:top w:w="0" w:type="dxa"/>
                    <w:left w:w="28" w:type="dxa"/>
                    <w:bottom w:w="0" w:type="dxa"/>
                    <w:right w:w="28" w:type="dxa"/>
                  </w:tcMar>
                  <w:vAlign w:val="center"/>
                </w:tcPr>
                <w:p w14:paraId="17C610E5">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国家或地方污染物排放标准浓度（mg/L）</w:t>
                  </w:r>
                </w:p>
              </w:tc>
            </w:tr>
            <w:tr w14:paraId="7E1A8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5" w:type="pct"/>
                  <w:vMerge w:val="restart"/>
                  <w:tcMar>
                    <w:top w:w="0" w:type="dxa"/>
                    <w:left w:w="28" w:type="dxa"/>
                    <w:bottom w:w="0" w:type="dxa"/>
                    <w:right w:w="28" w:type="dxa"/>
                  </w:tcMar>
                  <w:vAlign w:val="center"/>
                </w:tcPr>
                <w:p w14:paraId="5609CC3C">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DW001</w:t>
                  </w:r>
                </w:p>
              </w:tc>
              <w:tc>
                <w:tcPr>
                  <w:tcW w:w="723" w:type="pct"/>
                  <w:vMerge w:val="restart"/>
                  <w:tcMar>
                    <w:top w:w="0" w:type="dxa"/>
                    <w:left w:w="28" w:type="dxa"/>
                    <w:bottom w:w="0" w:type="dxa"/>
                    <w:right w:w="28" w:type="dxa"/>
                  </w:tcMar>
                  <w:vAlign w:val="center"/>
                </w:tcPr>
                <w:p w14:paraId="6F225930">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112.20839802</w:t>
                  </w:r>
                </w:p>
              </w:tc>
              <w:tc>
                <w:tcPr>
                  <w:tcW w:w="667" w:type="pct"/>
                  <w:vMerge w:val="restart"/>
                  <w:tcMar>
                    <w:top w:w="0" w:type="dxa"/>
                    <w:left w:w="28" w:type="dxa"/>
                    <w:bottom w:w="0" w:type="dxa"/>
                    <w:right w:w="28" w:type="dxa"/>
                  </w:tcMar>
                  <w:vAlign w:val="center"/>
                </w:tcPr>
                <w:p w14:paraId="03E87D52">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33.06167458</w:t>
                  </w:r>
                </w:p>
              </w:tc>
              <w:tc>
                <w:tcPr>
                  <w:tcW w:w="571" w:type="pct"/>
                  <w:vMerge w:val="restart"/>
                  <w:tcMar>
                    <w:top w:w="0" w:type="dxa"/>
                    <w:left w:w="28" w:type="dxa"/>
                    <w:bottom w:w="0" w:type="dxa"/>
                    <w:right w:w="28" w:type="dxa"/>
                  </w:tcMar>
                  <w:vAlign w:val="center"/>
                </w:tcPr>
                <w:p w14:paraId="31E8000C">
                  <w:pPr>
                    <w:tabs>
                      <w:tab w:val="left" w:pos="4500"/>
                    </w:tabs>
                    <w:adjustRightInd w:val="0"/>
                    <w:snapToGrid w:val="0"/>
                    <w:jc w:val="center"/>
                    <w:textAlignment w:val="baseline"/>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27.198</w:t>
                  </w:r>
                </w:p>
              </w:tc>
              <w:tc>
                <w:tcPr>
                  <w:tcW w:w="541" w:type="pct"/>
                  <w:vMerge w:val="restart"/>
                  <w:tcMar>
                    <w:top w:w="0" w:type="dxa"/>
                    <w:left w:w="28" w:type="dxa"/>
                    <w:bottom w:w="0" w:type="dxa"/>
                    <w:right w:w="28" w:type="dxa"/>
                  </w:tcMar>
                  <w:vAlign w:val="center"/>
                </w:tcPr>
                <w:p w14:paraId="0E10B0F3">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镇平县第二污水处理厂</w:t>
                  </w:r>
                </w:p>
              </w:tc>
              <w:tc>
                <w:tcPr>
                  <w:tcW w:w="270" w:type="pct"/>
                  <w:vMerge w:val="restart"/>
                  <w:tcMar>
                    <w:top w:w="0" w:type="dxa"/>
                    <w:left w:w="28" w:type="dxa"/>
                    <w:bottom w:w="0" w:type="dxa"/>
                    <w:right w:w="28" w:type="dxa"/>
                  </w:tcMar>
                  <w:vAlign w:val="center"/>
                </w:tcPr>
                <w:p w14:paraId="411E4C05">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连续排放</w:t>
                  </w:r>
                </w:p>
              </w:tc>
              <w:tc>
                <w:tcPr>
                  <w:tcW w:w="270" w:type="pct"/>
                  <w:vMerge w:val="restart"/>
                  <w:tcMar>
                    <w:top w:w="0" w:type="dxa"/>
                    <w:left w:w="28" w:type="dxa"/>
                    <w:bottom w:w="0" w:type="dxa"/>
                    <w:right w:w="28" w:type="dxa"/>
                  </w:tcMar>
                  <w:vAlign w:val="center"/>
                </w:tcPr>
                <w:p w14:paraId="5DDACBF8">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430" w:type="pct"/>
                  <w:vMerge w:val="restart"/>
                  <w:tcMar>
                    <w:top w:w="0" w:type="dxa"/>
                    <w:left w:w="28" w:type="dxa"/>
                    <w:bottom w:w="0" w:type="dxa"/>
                    <w:right w:w="28" w:type="dxa"/>
                  </w:tcMar>
                  <w:vAlign w:val="center"/>
                </w:tcPr>
                <w:p w14:paraId="29468ACA">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镇平县第二污水处理厂</w:t>
                  </w:r>
                </w:p>
              </w:tc>
              <w:tc>
                <w:tcPr>
                  <w:tcW w:w="423" w:type="pct"/>
                  <w:tcMar>
                    <w:top w:w="0" w:type="dxa"/>
                    <w:left w:w="28" w:type="dxa"/>
                    <w:bottom w:w="0" w:type="dxa"/>
                    <w:right w:w="28" w:type="dxa"/>
                  </w:tcMar>
                  <w:vAlign w:val="center"/>
                </w:tcPr>
                <w:p w14:paraId="1414D943">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686" w:type="pct"/>
                  <w:tcMar>
                    <w:top w:w="0" w:type="dxa"/>
                    <w:left w:w="28" w:type="dxa"/>
                    <w:bottom w:w="0" w:type="dxa"/>
                    <w:right w:w="28" w:type="dxa"/>
                  </w:tcMar>
                  <w:vAlign w:val="center"/>
                </w:tcPr>
                <w:p w14:paraId="7B929443">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50</w:t>
                  </w:r>
                </w:p>
              </w:tc>
            </w:tr>
            <w:tr w14:paraId="78C97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415" w:type="pct"/>
                  <w:vMerge w:val="continue"/>
                  <w:tcMar>
                    <w:top w:w="0" w:type="dxa"/>
                    <w:left w:w="28" w:type="dxa"/>
                    <w:bottom w:w="0" w:type="dxa"/>
                    <w:right w:w="28" w:type="dxa"/>
                  </w:tcMar>
                  <w:vAlign w:val="center"/>
                </w:tcPr>
                <w:p w14:paraId="66776A46">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723" w:type="pct"/>
                  <w:vMerge w:val="continue"/>
                  <w:tcMar>
                    <w:top w:w="0" w:type="dxa"/>
                    <w:left w:w="28" w:type="dxa"/>
                    <w:bottom w:w="0" w:type="dxa"/>
                    <w:right w:w="28" w:type="dxa"/>
                  </w:tcMar>
                  <w:vAlign w:val="center"/>
                </w:tcPr>
                <w:p w14:paraId="6ADFF018">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667" w:type="pct"/>
                  <w:vMerge w:val="continue"/>
                  <w:tcMar>
                    <w:top w:w="0" w:type="dxa"/>
                    <w:left w:w="28" w:type="dxa"/>
                    <w:bottom w:w="0" w:type="dxa"/>
                    <w:right w:w="28" w:type="dxa"/>
                  </w:tcMar>
                  <w:vAlign w:val="center"/>
                </w:tcPr>
                <w:p w14:paraId="20997C45">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571" w:type="pct"/>
                  <w:vMerge w:val="continue"/>
                  <w:tcMar>
                    <w:top w:w="0" w:type="dxa"/>
                    <w:left w:w="28" w:type="dxa"/>
                    <w:bottom w:w="0" w:type="dxa"/>
                    <w:right w:w="28" w:type="dxa"/>
                  </w:tcMar>
                  <w:vAlign w:val="center"/>
                </w:tcPr>
                <w:p w14:paraId="55C17F62">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541" w:type="pct"/>
                  <w:vMerge w:val="continue"/>
                  <w:tcMar>
                    <w:top w:w="0" w:type="dxa"/>
                    <w:left w:w="28" w:type="dxa"/>
                    <w:bottom w:w="0" w:type="dxa"/>
                    <w:right w:w="28" w:type="dxa"/>
                  </w:tcMar>
                  <w:vAlign w:val="center"/>
                </w:tcPr>
                <w:p w14:paraId="7D5FC343">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63A70466">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270" w:type="pct"/>
                  <w:vMerge w:val="continue"/>
                  <w:tcMar>
                    <w:top w:w="0" w:type="dxa"/>
                    <w:left w:w="28" w:type="dxa"/>
                    <w:bottom w:w="0" w:type="dxa"/>
                    <w:right w:w="28" w:type="dxa"/>
                  </w:tcMar>
                  <w:vAlign w:val="center"/>
                </w:tcPr>
                <w:p w14:paraId="1933CD35">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430" w:type="pct"/>
                  <w:vMerge w:val="continue"/>
                  <w:tcMar>
                    <w:top w:w="0" w:type="dxa"/>
                    <w:left w:w="28" w:type="dxa"/>
                    <w:bottom w:w="0" w:type="dxa"/>
                    <w:right w:w="28" w:type="dxa"/>
                  </w:tcMar>
                  <w:vAlign w:val="center"/>
                </w:tcPr>
                <w:p w14:paraId="095177A4">
                  <w:pPr>
                    <w:tabs>
                      <w:tab w:val="left" w:pos="4500"/>
                    </w:tabs>
                    <w:adjustRightInd w:val="0"/>
                    <w:snapToGrid w:val="0"/>
                    <w:jc w:val="center"/>
                    <w:textAlignment w:val="baseline"/>
                    <w:rPr>
                      <w:color w:val="000000" w:themeColor="text1"/>
                      <w:szCs w:val="21"/>
                      <w14:textFill>
                        <w14:solidFill>
                          <w14:schemeClr w14:val="tx1"/>
                        </w14:solidFill>
                      </w14:textFill>
                    </w:rPr>
                  </w:pPr>
                </w:p>
              </w:tc>
              <w:tc>
                <w:tcPr>
                  <w:tcW w:w="423" w:type="pct"/>
                  <w:tcMar>
                    <w:top w:w="0" w:type="dxa"/>
                    <w:left w:w="28" w:type="dxa"/>
                    <w:bottom w:w="0" w:type="dxa"/>
                    <w:right w:w="28" w:type="dxa"/>
                  </w:tcMar>
                  <w:vAlign w:val="center"/>
                </w:tcPr>
                <w:p w14:paraId="294EBDF7">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686" w:type="pct"/>
                  <w:tcMar>
                    <w:top w:w="0" w:type="dxa"/>
                    <w:left w:w="28" w:type="dxa"/>
                    <w:bottom w:w="0" w:type="dxa"/>
                    <w:right w:w="28" w:type="dxa"/>
                  </w:tcMar>
                  <w:vAlign w:val="center"/>
                </w:tcPr>
                <w:p w14:paraId="45743594">
                  <w:pPr>
                    <w:tabs>
                      <w:tab w:val="left" w:pos="4500"/>
                    </w:tabs>
                    <w:adjustRightInd w:val="0"/>
                    <w:snapToGrid w:val="0"/>
                    <w:jc w:val="center"/>
                    <w:textAlignment w:val="baseline"/>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r>
          </w:tbl>
          <w:p w14:paraId="15D6A7FC">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2.6废水排放量核算</w:t>
            </w:r>
          </w:p>
          <w:p w14:paraId="59E4265C">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14  </w:t>
            </w:r>
            <w:r>
              <w:rPr>
                <w:b/>
                <w:bCs/>
                <w:color w:val="000000" w:themeColor="text1"/>
                <w:sz w:val="24"/>
                <w14:textFill>
                  <w14:solidFill>
                    <w14:schemeClr w14:val="tx1"/>
                  </w14:solidFill>
                </w14:textFill>
              </w:rPr>
              <w:t>项目废水排放量核算表</w:t>
            </w:r>
          </w:p>
          <w:tbl>
            <w:tblPr>
              <w:tblStyle w:val="25"/>
              <w:tblW w:w="4995"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813"/>
              <w:gridCol w:w="1522"/>
              <w:gridCol w:w="1688"/>
              <w:gridCol w:w="1759"/>
              <w:gridCol w:w="1838"/>
              <w:gridCol w:w="1614"/>
            </w:tblGrid>
            <w:tr w14:paraId="15E911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0" w:type="pct"/>
                  <w:vAlign w:val="center"/>
                </w:tcPr>
                <w:p w14:paraId="0667050E">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序号</w:t>
                  </w:r>
                </w:p>
              </w:tc>
              <w:tc>
                <w:tcPr>
                  <w:tcW w:w="823" w:type="pct"/>
                  <w:vAlign w:val="center"/>
                </w:tcPr>
                <w:p w14:paraId="1999D1CD">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排放口编号</w:t>
                  </w:r>
                </w:p>
              </w:tc>
              <w:tc>
                <w:tcPr>
                  <w:tcW w:w="914" w:type="pct"/>
                  <w:vAlign w:val="center"/>
                </w:tcPr>
                <w:p w14:paraId="68AB72E0">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污染物种类</w:t>
                  </w:r>
                </w:p>
              </w:tc>
              <w:tc>
                <w:tcPr>
                  <w:tcW w:w="952" w:type="pct"/>
                  <w:vAlign w:val="center"/>
                </w:tcPr>
                <w:p w14:paraId="347BC7D1">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排放浓度mg/L</w:t>
                  </w:r>
                </w:p>
              </w:tc>
              <w:tc>
                <w:tcPr>
                  <w:tcW w:w="994" w:type="pct"/>
                  <w:vAlign w:val="center"/>
                </w:tcPr>
                <w:p w14:paraId="4B7C83E4">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日排放量kg/d</w:t>
                  </w:r>
                </w:p>
              </w:tc>
              <w:tc>
                <w:tcPr>
                  <w:tcW w:w="874" w:type="pct"/>
                  <w:vAlign w:val="center"/>
                </w:tcPr>
                <w:p w14:paraId="528BAE78">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年排放量t/a</w:t>
                  </w:r>
                </w:p>
              </w:tc>
            </w:tr>
            <w:tr w14:paraId="5DC037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0" w:type="pct"/>
                  <w:vMerge w:val="restart"/>
                  <w:vAlign w:val="center"/>
                </w:tcPr>
                <w:p w14:paraId="5615CA36">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p>
              </w:tc>
              <w:tc>
                <w:tcPr>
                  <w:tcW w:w="823" w:type="pct"/>
                  <w:vMerge w:val="restart"/>
                  <w:vAlign w:val="center"/>
                </w:tcPr>
                <w:p w14:paraId="66A10D6F">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污水总排口DW001</w:t>
                  </w:r>
                </w:p>
              </w:tc>
              <w:tc>
                <w:tcPr>
                  <w:tcW w:w="914" w:type="pct"/>
                  <w:vAlign w:val="center"/>
                </w:tcPr>
                <w:p w14:paraId="32AEC41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952" w:type="pct"/>
                  <w:vAlign w:val="center"/>
                </w:tcPr>
                <w:p w14:paraId="376CF67D">
                  <w:pPr>
                    <w:widowControl/>
                    <w:jc w:val="center"/>
                    <w:textAlignment w:val="center"/>
                    <w:rPr>
                      <w:rFonts w:hint="default" w:eastAsia="宋体"/>
                      <w:color w:val="000000" w:themeColor="text1"/>
                      <w:szCs w:val="21"/>
                      <w:lang w:val="en-US" w:eastAsia="zh-CN"/>
                      <w14:textFill>
                        <w14:solidFill>
                          <w14:schemeClr w14:val="tx1"/>
                        </w14:solidFill>
                      </w14:textFill>
                    </w:rPr>
                  </w:pPr>
                  <w:r>
                    <w:rPr>
                      <w:color w:val="000000" w:themeColor="text1"/>
                      <w:kern w:val="0"/>
                      <w:szCs w:val="21"/>
                      <w:lang w:bidi="ar"/>
                      <w14:textFill>
                        <w14:solidFill>
                          <w14:schemeClr w14:val="tx1"/>
                        </w14:solidFill>
                      </w14:textFill>
                    </w:rPr>
                    <w:t>11</w:t>
                  </w:r>
                  <w:r>
                    <w:rPr>
                      <w:rFonts w:hint="eastAsia"/>
                      <w:color w:val="000000" w:themeColor="text1"/>
                      <w:kern w:val="0"/>
                      <w:szCs w:val="21"/>
                      <w:lang w:val="en-US" w:eastAsia="zh-CN" w:bidi="ar"/>
                      <w14:textFill>
                        <w14:solidFill>
                          <w14:schemeClr w14:val="tx1"/>
                        </w14:solidFill>
                      </w14:textFill>
                    </w:rPr>
                    <w:t>4.500</w:t>
                  </w:r>
                </w:p>
              </w:tc>
              <w:tc>
                <w:tcPr>
                  <w:tcW w:w="1840" w:type="dxa"/>
                  <w:vAlign w:val="center"/>
                </w:tcPr>
                <w:p w14:paraId="31274B2D">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3.114 </w:t>
                  </w:r>
                </w:p>
              </w:tc>
              <w:tc>
                <w:tcPr>
                  <w:tcW w:w="1617" w:type="dxa"/>
                  <w:vAlign w:val="center"/>
                </w:tcPr>
                <w:p w14:paraId="18AA5152">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0.710 </w:t>
                  </w:r>
                </w:p>
              </w:tc>
            </w:tr>
            <w:tr w14:paraId="443106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0" w:type="pct"/>
                  <w:vMerge w:val="continue"/>
                  <w:vAlign w:val="center"/>
                </w:tcPr>
                <w:p w14:paraId="262F46E4">
                  <w:pPr>
                    <w:jc w:val="center"/>
                    <w:rPr>
                      <w:color w:val="000000" w:themeColor="text1"/>
                      <w:kern w:val="0"/>
                      <w:szCs w:val="21"/>
                      <w14:textFill>
                        <w14:solidFill>
                          <w14:schemeClr w14:val="tx1"/>
                        </w14:solidFill>
                      </w14:textFill>
                    </w:rPr>
                  </w:pPr>
                </w:p>
              </w:tc>
              <w:tc>
                <w:tcPr>
                  <w:tcW w:w="823" w:type="pct"/>
                  <w:vMerge w:val="continue"/>
                  <w:vAlign w:val="center"/>
                </w:tcPr>
                <w:p w14:paraId="2EEF2F1A">
                  <w:pPr>
                    <w:jc w:val="center"/>
                    <w:rPr>
                      <w:color w:val="000000" w:themeColor="text1"/>
                      <w:kern w:val="0"/>
                      <w:szCs w:val="21"/>
                      <w14:textFill>
                        <w14:solidFill>
                          <w14:schemeClr w14:val="tx1"/>
                        </w14:solidFill>
                      </w14:textFill>
                    </w:rPr>
                  </w:pPr>
                </w:p>
              </w:tc>
              <w:tc>
                <w:tcPr>
                  <w:tcW w:w="914" w:type="pct"/>
                  <w:vAlign w:val="center"/>
                </w:tcPr>
                <w:p w14:paraId="446C924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color w:val="000000" w:themeColor="text1"/>
                      <w:szCs w:val="21"/>
                      <w:vertAlign w:val="subscript"/>
                      <w14:textFill>
                        <w14:solidFill>
                          <w14:schemeClr w14:val="tx1"/>
                        </w14:solidFill>
                      </w14:textFill>
                    </w:rPr>
                    <w:t>5</w:t>
                  </w:r>
                </w:p>
              </w:tc>
              <w:tc>
                <w:tcPr>
                  <w:tcW w:w="952" w:type="pct"/>
                  <w:vAlign w:val="center"/>
                </w:tcPr>
                <w:p w14:paraId="737C1C73">
                  <w:pPr>
                    <w:widowControl/>
                    <w:jc w:val="center"/>
                    <w:textAlignment w:val="center"/>
                    <w:rPr>
                      <w:rFonts w:hint="default" w:eastAsia="宋体"/>
                      <w:color w:val="000000" w:themeColor="text1"/>
                      <w:szCs w:val="21"/>
                      <w:lang w:val="en-US" w:eastAsia="zh-CN"/>
                      <w14:textFill>
                        <w14:solidFill>
                          <w14:schemeClr w14:val="tx1"/>
                        </w14:solidFill>
                      </w14:textFill>
                    </w:rPr>
                  </w:pPr>
                  <w:r>
                    <w:rPr>
                      <w:color w:val="000000" w:themeColor="text1"/>
                      <w:kern w:val="0"/>
                      <w:szCs w:val="21"/>
                      <w:lang w:bidi="ar"/>
                      <w14:textFill>
                        <w14:solidFill>
                          <w14:schemeClr w14:val="tx1"/>
                        </w14:solidFill>
                      </w14:textFill>
                    </w:rPr>
                    <w:t>30.</w:t>
                  </w:r>
                  <w:r>
                    <w:rPr>
                      <w:rFonts w:hint="eastAsia"/>
                      <w:color w:val="000000" w:themeColor="text1"/>
                      <w:kern w:val="0"/>
                      <w:szCs w:val="21"/>
                      <w:lang w:val="en-US" w:eastAsia="zh-CN" w:bidi="ar"/>
                      <w14:textFill>
                        <w14:solidFill>
                          <w14:schemeClr w14:val="tx1"/>
                        </w14:solidFill>
                      </w14:textFill>
                    </w:rPr>
                    <w:t>151</w:t>
                  </w:r>
                </w:p>
              </w:tc>
              <w:tc>
                <w:tcPr>
                  <w:tcW w:w="1840" w:type="dxa"/>
                  <w:vAlign w:val="center"/>
                </w:tcPr>
                <w:p w14:paraId="78CBF773">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0.820 </w:t>
                  </w:r>
                </w:p>
              </w:tc>
              <w:tc>
                <w:tcPr>
                  <w:tcW w:w="1617" w:type="dxa"/>
                  <w:vAlign w:val="center"/>
                </w:tcPr>
                <w:p w14:paraId="16F2241D">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0.187 </w:t>
                  </w:r>
                </w:p>
              </w:tc>
            </w:tr>
            <w:tr w14:paraId="5D5906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0" w:type="pct"/>
                  <w:vMerge w:val="continue"/>
                  <w:vAlign w:val="center"/>
                </w:tcPr>
                <w:p w14:paraId="4228591C">
                  <w:pPr>
                    <w:jc w:val="center"/>
                    <w:rPr>
                      <w:color w:val="000000" w:themeColor="text1"/>
                      <w:kern w:val="0"/>
                      <w:szCs w:val="21"/>
                      <w14:textFill>
                        <w14:solidFill>
                          <w14:schemeClr w14:val="tx1"/>
                        </w14:solidFill>
                      </w14:textFill>
                    </w:rPr>
                  </w:pPr>
                </w:p>
              </w:tc>
              <w:tc>
                <w:tcPr>
                  <w:tcW w:w="823" w:type="pct"/>
                  <w:vMerge w:val="continue"/>
                  <w:vAlign w:val="center"/>
                </w:tcPr>
                <w:p w14:paraId="24387A60">
                  <w:pPr>
                    <w:jc w:val="center"/>
                    <w:rPr>
                      <w:color w:val="000000" w:themeColor="text1"/>
                      <w:kern w:val="0"/>
                      <w:szCs w:val="21"/>
                      <w14:textFill>
                        <w14:solidFill>
                          <w14:schemeClr w14:val="tx1"/>
                        </w14:solidFill>
                      </w14:textFill>
                    </w:rPr>
                  </w:pPr>
                </w:p>
              </w:tc>
              <w:tc>
                <w:tcPr>
                  <w:tcW w:w="914" w:type="pct"/>
                  <w:vAlign w:val="center"/>
                </w:tcPr>
                <w:p w14:paraId="0D27118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SS</w:t>
                  </w:r>
                </w:p>
              </w:tc>
              <w:tc>
                <w:tcPr>
                  <w:tcW w:w="952" w:type="pct"/>
                  <w:vAlign w:val="center"/>
                </w:tcPr>
                <w:p w14:paraId="1656C70A">
                  <w:pPr>
                    <w:widowControl/>
                    <w:jc w:val="center"/>
                    <w:textAlignment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61.096</w:t>
                  </w:r>
                </w:p>
              </w:tc>
              <w:tc>
                <w:tcPr>
                  <w:tcW w:w="1840" w:type="dxa"/>
                  <w:vAlign w:val="center"/>
                </w:tcPr>
                <w:p w14:paraId="53F3BEB4">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1.662 </w:t>
                  </w:r>
                </w:p>
              </w:tc>
              <w:tc>
                <w:tcPr>
                  <w:tcW w:w="1617" w:type="dxa"/>
                  <w:vAlign w:val="center"/>
                </w:tcPr>
                <w:p w14:paraId="6C85E88A">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0.379 </w:t>
                  </w:r>
                </w:p>
              </w:tc>
            </w:tr>
            <w:tr w14:paraId="51CC198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0" w:type="pct"/>
                  <w:vMerge w:val="continue"/>
                  <w:vAlign w:val="center"/>
                </w:tcPr>
                <w:p w14:paraId="07C97457">
                  <w:pPr>
                    <w:jc w:val="center"/>
                    <w:rPr>
                      <w:color w:val="000000" w:themeColor="text1"/>
                      <w:kern w:val="0"/>
                      <w:szCs w:val="21"/>
                      <w14:textFill>
                        <w14:solidFill>
                          <w14:schemeClr w14:val="tx1"/>
                        </w14:solidFill>
                      </w14:textFill>
                    </w:rPr>
                  </w:pPr>
                </w:p>
              </w:tc>
              <w:tc>
                <w:tcPr>
                  <w:tcW w:w="823" w:type="pct"/>
                  <w:vMerge w:val="continue"/>
                  <w:vAlign w:val="center"/>
                </w:tcPr>
                <w:p w14:paraId="5BB81FE9">
                  <w:pPr>
                    <w:jc w:val="center"/>
                    <w:rPr>
                      <w:color w:val="000000" w:themeColor="text1"/>
                      <w:kern w:val="0"/>
                      <w:szCs w:val="21"/>
                      <w14:textFill>
                        <w14:solidFill>
                          <w14:schemeClr w14:val="tx1"/>
                        </w14:solidFill>
                      </w14:textFill>
                    </w:rPr>
                  </w:pPr>
                </w:p>
              </w:tc>
              <w:tc>
                <w:tcPr>
                  <w:tcW w:w="914" w:type="pct"/>
                  <w:vAlign w:val="center"/>
                </w:tcPr>
                <w:p w14:paraId="38D454A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952" w:type="pct"/>
                  <w:vAlign w:val="center"/>
                </w:tcPr>
                <w:p w14:paraId="0621F2B2">
                  <w:pPr>
                    <w:widowControl/>
                    <w:jc w:val="center"/>
                    <w:textAlignment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7.450</w:t>
                  </w:r>
                </w:p>
              </w:tc>
              <w:tc>
                <w:tcPr>
                  <w:tcW w:w="1840" w:type="dxa"/>
                  <w:vAlign w:val="center"/>
                </w:tcPr>
                <w:p w14:paraId="509EF670">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0.</w:t>
                  </w:r>
                  <w:r>
                    <w:rPr>
                      <w:rFonts w:hint="eastAsia" w:cs="Times New Roman"/>
                      <w:i w:val="0"/>
                      <w:iCs w:val="0"/>
                      <w:color w:val="000000" w:themeColor="text1"/>
                      <w:kern w:val="0"/>
                      <w:sz w:val="22"/>
                      <w:szCs w:val="22"/>
                      <w:u w:val="none"/>
                      <w:lang w:val="en-US" w:eastAsia="zh-CN" w:bidi="ar"/>
                      <w14:textFill>
                        <w14:solidFill>
                          <w14:schemeClr w14:val="tx1"/>
                        </w14:solidFill>
                      </w14:textFill>
                    </w:rPr>
                    <w:t>203</w:t>
                  </w: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 </w:t>
                  </w:r>
                </w:p>
              </w:tc>
              <w:tc>
                <w:tcPr>
                  <w:tcW w:w="1617" w:type="dxa"/>
                  <w:vAlign w:val="center"/>
                </w:tcPr>
                <w:p w14:paraId="745A2FB5">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0.0</w:t>
                  </w:r>
                  <w:r>
                    <w:rPr>
                      <w:rFonts w:hint="eastAsia" w:cs="Times New Roman"/>
                      <w:i w:val="0"/>
                      <w:iCs w:val="0"/>
                      <w:color w:val="000000" w:themeColor="text1"/>
                      <w:kern w:val="0"/>
                      <w:sz w:val="22"/>
                      <w:szCs w:val="22"/>
                      <w:u w:val="none"/>
                      <w:lang w:val="en-US" w:eastAsia="zh-CN" w:bidi="ar"/>
                      <w14:textFill>
                        <w14:solidFill>
                          <w14:schemeClr w14:val="tx1"/>
                        </w14:solidFill>
                      </w14:textFill>
                    </w:rPr>
                    <w:t>46</w:t>
                  </w: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 </w:t>
                  </w:r>
                </w:p>
              </w:tc>
            </w:tr>
            <w:tr w14:paraId="723E59A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0" w:type="pct"/>
                  <w:vMerge w:val="continue"/>
                  <w:vAlign w:val="center"/>
                </w:tcPr>
                <w:p w14:paraId="3E870595">
                  <w:pPr>
                    <w:jc w:val="center"/>
                    <w:rPr>
                      <w:color w:val="000000" w:themeColor="text1"/>
                      <w:kern w:val="0"/>
                      <w:szCs w:val="21"/>
                      <w14:textFill>
                        <w14:solidFill>
                          <w14:schemeClr w14:val="tx1"/>
                        </w14:solidFill>
                      </w14:textFill>
                    </w:rPr>
                  </w:pPr>
                </w:p>
              </w:tc>
              <w:tc>
                <w:tcPr>
                  <w:tcW w:w="823" w:type="pct"/>
                  <w:vMerge w:val="continue"/>
                  <w:vAlign w:val="center"/>
                </w:tcPr>
                <w:p w14:paraId="229E0F19">
                  <w:pPr>
                    <w:jc w:val="center"/>
                    <w:rPr>
                      <w:color w:val="000000" w:themeColor="text1"/>
                      <w:kern w:val="0"/>
                      <w:szCs w:val="21"/>
                      <w14:textFill>
                        <w14:solidFill>
                          <w14:schemeClr w14:val="tx1"/>
                        </w14:solidFill>
                      </w14:textFill>
                    </w:rPr>
                  </w:pPr>
                </w:p>
              </w:tc>
              <w:tc>
                <w:tcPr>
                  <w:tcW w:w="914" w:type="pct"/>
                  <w:vAlign w:val="center"/>
                </w:tcPr>
                <w:p w14:paraId="28640BDF">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TN</w:t>
                  </w:r>
                </w:p>
              </w:tc>
              <w:tc>
                <w:tcPr>
                  <w:tcW w:w="952" w:type="pct"/>
                  <w:shd w:val="clear" w:color="auto" w:fill="auto"/>
                  <w:vAlign w:val="center"/>
                </w:tcPr>
                <w:p w14:paraId="633152F2">
                  <w:pPr>
                    <w:widowControl/>
                    <w:jc w:val="center"/>
                    <w:textAlignment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14.945</w:t>
                  </w:r>
                </w:p>
              </w:tc>
              <w:tc>
                <w:tcPr>
                  <w:tcW w:w="1840" w:type="dxa"/>
                  <w:vAlign w:val="center"/>
                </w:tcPr>
                <w:p w14:paraId="4C47EDC5">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0.406 </w:t>
                  </w:r>
                </w:p>
              </w:tc>
              <w:tc>
                <w:tcPr>
                  <w:tcW w:w="1617" w:type="dxa"/>
                  <w:vAlign w:val="center"/>
                </w:tcPr>
                <w:p w14:paraId="46E86972">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0.093 </w:t>
                  </w:r>
                </w:p>
              </w:tc>
            </w:tr>
            <w:tr w14:paraId="54603BE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40" w:type="pct"/>
                  <w:vMerge w:val="continue"/>
                  <w:vAlign w:val="center"/>
                </w:tcPr>
                <w:p w14:paraId="1EB89736">
                  <w:pPr>
                    <w:jc w:val="center"/>
                    <w:rPr>
                      <w:color w:val="000000" w:themeColor="text1"/>
                      <w:kern w:val="0"/>
                      <w:szCs w:val="21"/>
                      <w14:textFill>
                        <w14:solidFill>
                          <w14:schemeClr w14:val="tx1"/>
                        </w14:solidFill>
                      </w14:textFill>
                    </w:rPr>
                  </w:pPr>
                </w:p>
              </w:tc>
              <w:tc>
                <w:tcPr>
                  <w:tcW w:w="823" w:type="pct"/>
                  <w:vMerge w:val="continue"/>
                  <w:vAlign w:val="center"/>
                </w:tcPr>
                <w:p w14:paraId="3ABBC460">
                  <w:pPr>
                    <w:jc w:val="center"/>
                    <w:rPr>
                      <w:color w:val="000000" w:themeColor="text1"/>
                      <w:kern w:val="0"/>
                      <w:szCs w:val="21"/>
                      <w14:textFill>
                        <w14:solidFill>
                          <w14:schemeClr w14:val="tx1"/>
                        </w14:solidFill>
                      </w14:textFill>
                    </w:rPr>
                  </w:pPr>
                </w:p>
              </w:tc>
              <w:tc>
                <w:tcPr>
                  <w:tcW w:w="914" w:type="pct"/>
                  <w:vAlign w:val="center"/>
                </w:tcPr>
                <w:p w14:paraId="37D4DA4A">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TP</w:t>
                  </w:r>
                </w:p>
              </w:tc>
              <w:tc>
                <w:tcPr>
                  <w:tcW w:w="952" w:type="pct"/>
                  <w:vAlign w:val="center"/>
                </w:tcPr>
                <w:p w14:paraId="5FC8D75B">
                  <w:pPr>
                    <w:widowControl/>
                    <w:jc w:val="center"/>
                    <w:textAlignment w:val="center"/>
                    <w:rPr>
                      <w:rFonts w:hint="default" w:eastAsia="宋体"/>
                      <w:color w:val="000000" w:themeColor="text1"/>
                      <w:szCs w:val="21"/>
                      <w:lang w:val="en-US" w:eastAsia="zh-CN"/>
                      <w14:textFill>
                        <w14:solidFill>
                          <w14:schemeClr w14:val="tx1"/>
                        </w14:solidFill>
                      </w14:textFill>
                    </w:rPr>
                  </w:pPr>
                  <w:r>
                    <w:rPr>
                      <w:rFonts w:hint="eastAsia"/>
                      <w:color w:val="000000" w:themeColor="text1"/>
                      <w:kern w:val="0"/>
                      <w:szCs w:val="21"/>
                      <w:lang w:val="en-US" w:eastAsia="zh-CN" w:bidi="ar"/>
                      <w14:textFill>
                        <w14:solidFill>
                          <w14:schemeClr w14:val="tx1"/>
                        </w14:solidFill>
                      </w14:textFill>
                    </w:rPr>
                    <w:t>2.209</w:t>
                  </w:r>
                </w:p>
              </w:tc>
              <w:tc>
                <w:tcPr>
                  <w:tcW w:w="1840" w:type="dxa"/>
                  <w:vAlign w:val="center"/>
                </w:tcPr>
                <w:p w14:paraId="4B15862F">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0.060 </w:t>
                  </w:r>
                </w:p>
              </w:tc>
              <w:tc>
                <w:tcPr>
                  <w:tcW w:w="1617" w:type="dxa"/>
                  <w:vAlign w:val="center"/>
                </w:tcPr>
                <w:p w14:paraId="038638A6">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0.014 </w:t>
                  </w:r>
                </w:p>
              </w:tc>
            </w:tr>
            <w:tr w14:paraId="4CD43F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4" w:type="pct"/>
                  <w:gridSpan w:val="2"/>
                  <w:vMerge w:val="restart"/>
                  <w:vAlign w:val="center"/>
                </w:tcPr>
                <w:p w14:paraId="23F83F8E">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全厂排放口合计</w:t>
                  </w:r>
                </w:p>
              </w:tc>
              <w:tc>
                <w:tcPr>
                  <w:tcW w:w="2861" w:type="pct"/>
                  <w:gridSpan w:val="3"/>
                  <w:vAlign w:val="center"/>
                </w:tcPr>
                <w:p w14:paraId="5A563E3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COD</w:t>
                  </w:r>
                </w:p>
              </w:tc>
              <w:tc>
                <w:tcPr>
                  <w:tcW w:w="1617" w:type="dxa"/>
                  <w:shd w:val="clear" w:color="auto" w:fill="auto"/>
                  <w:vAlign w:val="center"/>
                </w:tcPr>
                <w:p w14:paraId="7D816A0A">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0.710 </w:t>
                  </w:r>
                </w:p>
              </w:tc>
            </w:tr>
            <w:tr w14:paraId="0622CB6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4" w:type="pct"/>
                  <w:gridSpan w:val="2"/>
                  <w:vMerge w:val="continue"/>
                  <w:vAlign w:val="center"/>
                </w:tcPr>
                <w:p w14:paraId="4AF74531">
                  <w:pPr>
                    <w:jc w:val="center"/>
                    <w:rPr>
                      <w:color w:val="000000" w:themeColor="text1"/>
                      <w:kern w:val="0"/>
                      <w:szCs w:val="21"/>
                      <w14:textFill>
                        <w14:solidFill>
                          <w14:schemeClr w14:val="tx1"/>
                        </w14:solidFill>
                      </w14:textFill>
                    </w:rPr>
                  </w:pPr>
                </w:p>
              </w:tc>
              <w:tc>
                <w:tcPr>
                  <w:tcW w:w="2861" w:type="pct"/>
                  <w:gridSpan w:val="3"/>
                  <w:vAlign w:val="center"/>
                </w:tcPr>
                <w:p w14:paraId="35A3E96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BOD</w:t>
                  </w:r>
                  <w:r>
                    <w:rPr>
                      <w:color w:val="000000" w:themeColor="text1"/>
                      <w:szCs w:val="21"/>
                      <w:vertAlign w:val="subscript"/>
                      <w14:textFill>
                        <w14:solidFill>
                          <w14:schemeClr w14:val="tx1"/>
                        </w14:solidFill>
                      </w14:textFill>
                    </w:rPr>
                    <w:t>5</w:t>
                  </w:r>
                </w:p>
              </w:tc>
              <w:tc>
                <w:tcPr>
                  <w:tcW w:w="1617" w:type="dxa"/>
                  <w:shd w:val="clear" w:color="auto" w:fill="auto"/>
                  <w:vAlign w:val="center"/>
                </w:tcPr>
                <w:p w14:paraId="29B3F868">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0.187 </w:t>
                  </w:r>
                </w:p>
              </w:tc>
            </w:tr>
            <w:tr w14:paraId="6A61146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4" w:type="pct"/>
                  <w:gridSpan w:val="2"/>
                  <w:vMerge w:val="continue"/>
                  <w:vAlign w:val="center"/>
                </w:tcPr>
                <w:p w14:paraId="102367A5">
                  <w:pPr>
                    <w:jc w:val="center"/>
                    <w:rPr>
                      <w:color w:val="000000" w:themeColor="text1"/>
                      <w:kern w:val="0"/>
                      <w:szCs w:val="21"/>
                      <w14:textFill>
                        <w14:solidFill>
                          <w14:schemeClr w14:val="tx1"/>
                        </w14:solidFill>
                      </w14:textFill>
                    </w:rPr>
                  </w:pPr>
                </w:p>
              </w:tc>
              <w:tc>
                <w:tcPr>
                  <w:tcW w:w="2861" w:type="pct"/>
                  <w:gridSpan w:val="3"/>
                  <w:vAlign w:val="center"/>
                </w:tcPr>
                <w:p w14:paraId="12186C0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SS</w:t>
                  </w:r>
                </w:p>
              </w:tc>
              <w:tc>
                <w:tcPr>
                  <w:tcW w:w="1617" w:type="dxa"/>
                  <w:shd w:val="clear" w:color="auto" w:fill="auto"/>
                  <w:vAlign w:val="center"/>
                </w:tcPr>
                <w:p w14:paraId="7983C1D5">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0.379 </w:t>
                  </w:r>
                </w:p>
              </w:tc>
            </w:tr>
            <w:tr w14:paraId="3503CC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4" w:type="pct"/>
                  <w:gridSpan w:val="2"/>
                  <w:vMerge w:val="continue"/>
                  <w:vAlign w:val="center"/>
                </w:tcPr>
                <w:p w14:paraId="3B8B7F2F">
                  <w:pPr>
                    <w:jc w:val="center"/>
                    <w:rPr>
                      <w:color w:val="000000" w:themeColor="text1"/>
                      <w:kern w:val="0"/>
                      <w:szCs w:val="21"/>
                      <w14:textFill>
                        <w14:solidFill>
                          <w14:schemeClr w14:val="tx1"/>
                        </w14:solidFill>
                      </w14:textFill>
                    </w:rPr>
                  </w:pPr>
                </w:p>
              </w:tc>
              <w:tc>
                <w:tcPr>
                  <w:tcW w:w="2861" w:type="pct"/>
                  <w:gridSpan w:val="3"/>
                  <w:vAlign w:val="center"/>
                </w:tcPr>
                <w:p w14:paraId="08495B7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NH</w:t>
                  </w:r>
                  <w:r>
                    <w:rPr>
                      <w:color w:val="000000" w:themeColor="text1"/>
                      <w:szCs w:val="21"/>
                      <w:vertAlign w:val="subscript"/>
                      <w14:textFill>
                        <w14:solidFill>
                          <w14:schemeClr w14:val="tx1"/>
                        </w14:solidFill>
                      </w14:textFill>
                    </w:rPr>
                    <w:t>3</w:t>
                  </w:r>
                  <w:r>
                    <w:rPr>
                      <w:color w:val="000000" w:themeColor="text1"/>
                      <w:szCs w:val="21"/>
                      <w14:textFill>
                        <w14:solidFill>
                          <w14:schemeClr w14:val="tx1"/>
                        </w14:solidFill>
                      </w14:textFill>
                    </w:rPr>
                    <w:t>-N</w:t>
                  </w:r>
                </w:p>
              </w:tc>
              <w:tc>
                <w:tcPr>
                  <w:tcW w:w="1617" w:type="dxa"/>
                  <w:shd w:val="clear" w:color="auto" w:fill="auto"/>
                  <w:vAlign w:val="center"/>
                </w:tcPr>
                <w:p w14:paraId="40538188">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0.0</w:t>
                  </w:r>
                  <w:r>
                    <w:rPr>
                      <w:rFonts w:hint="eastAsia" w:cs="Times New Roman"/>
                      <w:i w:val="0"/>
                      <w:iCs w:val="0"/>
                      <w:color w:val="000000" w:themeColor="text1"/>
                      <w:kern w:val="0"/>
                      <w:sz w:val="22"/>
                      <w:szCs w:val="22"/>
                      <w:u w:val="none"/>
                      <w:lang w:val="en-US" w:eastAsia="zh-CN" w:bidi="ar"/>
                      <w14:textFill>
                        <w14:solidFill>
                          <w14:schemeClr w14:val="tx1"/>
                        </w14:solidFill>
                      </w14:textFill>
                    </w:rPr>
                    <w:t>46</w:t>
                  </w: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 </w:t>
                  </w:r>
                </w:p>
              </w:tc>
            </w:tr>
            <w:tr w14:paraId="1D0EE75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4" w:type="pct"/>
                  <w:gridSpan w:val="2"/>
                  <w:vMerge w:val="continue"/>
                  <w:vAlign w:val="center"/>
                </w:tcPr>
                <w:p w14:paraId="146EE08B">
                  <w:pPr>
                    <w:jc w:val="center"/>
                    <w:rPr>
                      <w:color w:val="000000" w:themeColor="text1"/>
                      <w:kern w:val="0"/>
                      <w:szCs w:val="21"/>
                      <w14:textFill>
                        <w14:solidFill>
                          <w14:schemeClr w14:val="tx1"/>
                        </w14:solidFill>
                      </w14:textFill>
                    </w:rPr>
                  </w:pPr>
                </w:p>
              </w:tc>
              <w:tc>
                <w:tcPr>
                  <w:tcW w:w="2861" w:type="pct"/>
                  <w:gridSpan w:val="3"/>
                  <w:shd w:val="clear" w:color="auto" w:fill="auto"/>
                  <w:vAlign w:val="center"/>
                </w:tcPr>
                <w:p w14:paraId="5ACDD073">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TN</w:t>
                  </w:r>
                </w:p>
              </w:tc>
              <w:tc>
                <w:tcPr>
                  <w:tcW w:w="1617" w:type="dxa"/>
                  <w:shd w:val="clear" w:color="auto" w:fill="auto"/>
                  <w:vAlign w:val="center"/>
                </w:tcPr>
                <w:p w14:paraId="4C937332">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0.093 </w:t>
                  </w:r>
                </w:p>
              </w:tc>
            </w:tr>
            <w:tr w14:paraId="75F495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1264" w:type="pct"/>
                  <w:gridSpan w:val="2"/>
                  <w:vMerge w:val="continue"/>
                  <w:vAlign w:val="center"/>
                </w:tcPr>
                <w:p w14:paraId="401A10CC">
                  <w:pPr>
                    <w:jc w:val="center"/>
                    <w:rPr>
                      <w:color w:val="000000" w:themeColor="text1"/>
                      <w:kern w:val="0"/>
                      <w:szCs w:val="21"/>
                      <w14:textFill>
                        <w14:solidFill>
                          <w14:schemeClr w14:val="tx1"/>
                        </w14:solidFill>
                      </w14:textFill>
                    </w:rPr>
                  </w:pPr>
                </w:p>
              </w:tc>
              <w:tc>
                <w:tcPr>
                  <w:tcW w:w="2861" w:type="pct"/>
                  <w:gridSpan w:val="3"/>
                  <w:shd w:val="clear" w:color="auto" w:fill="auto"/>
                  <w:vAlign w:val="center"/>
                </w:tcPr>
                <w:p w14:paraId="4BC39221">
                  <w:pPr>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TP</w:t>
                  </w:r>
                </w:p>
              </w:tc>
              <w:tc>
                <w:tcPr>
                  <w:tcW w:w="1617" w:type="dxa"/>
                  <w:shd w:val="clear" w:color="auto" w:fill="auto"/>
                  <w:vAlign w:val="center"/>
                </w:tcPr>
                <w:p w14:paraId="66949A42">
                  <w:pPr>
                    <w:keepNext w:val="0"/>
                    <w:keepLines w:val="0"/>
                    <w:widowControl/>
                    <w:suppressLineNumbers w:val="0"/>
                    <w:jc w:val="center"/>
                    <w:textAlignment w:val="center"/>
                    <w:rPr>
                      <w:color w:val="000000" w:themeColor="text1"/>
                      <w:szCs w:val="21"/>
                      <w14:textFill>
                        <w14:solidFill>
                          <w14:schemeClr w14:val="tx1"/>
                        </w14:solidFill>
                      </w14:textFill>
                    </w:rPr>
                  </w:pPr>
                  <w:r>
                    <w:rPr>
                      <w:rFonts w:hint="default" w:ascii="Times New Roman" w:hAnsi="Times New Roman" w:eastAsia="宋体" w:cs="Times New Roman"/>
                      <w:i w:val="0"/>
                      <w:iCs w:val="0"/>
                      <w:color w:val="000000" w:themeColor="text1"/>
                      <w:kern w:val="0"/>
                      <w:sz w:val="22"/>
                      <w:szCs w:val="22"/>
                      <w:u w:val="none"/>
                      <w:lang w:val="en-US" w:eastAsia="zh-CN" w:bidi="ar"/>
                      <w14:textFill>
                        <w14:solidFill>
                          <w14:schemeClr w14:val="tx1"/>
                        </w14:solidFill>
                      </w14:textFill>
                    </w:rPr>
                    <w:t xml:space="preserve">0.014 </w:t>
                  </w:r>
                </w:p>
              </w:tc>
            </w:tr>
          </w:tbl>
          <w:p w14:paraId="30DFFCF3">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2.7废水监测计划</w:t>
            </w:r>
          </w:p>
          <w:p w14:paraId="5B37CF8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"https://www.eiacloud.com/hpyzs/lawsRegulations/csSearchDetail?modelName=%E6%8E%92%E6%B1%A1%E5%90%8D%E5%BD%95&amp;id=75ad4eb16a27494ab18ae178ba0954cf" \t "https://www.eiacloud.com/hpyzs/category/_self" </w:instrText>
            </w:r>
            <w:r>
              <w:rPr>
                <w:color w:val="000000" w:themeColor="text1"/>
                <w14:textFill>
                  <w14:solidFill>
                    <w14:schemeClr w14:val="tx1"/>
                  </w14:solidFill>
                </w14:textFill>
              </w:rPr>
              <w:fldChar w:fldCharType="separate"/>
            </w:r>
            <w:r>
              <w:rPr>
                <w:rStyle w:val="29"/>
                <w:rFonts w:eastAsia="Helvetica"/>
                <w:color w:val="000000" w:themeColor="text1"/>
                <w:sz w:val="24"/>
                <w:u w:val="none"/>
                <w:shd w:val="clear" w:color="auto" w:fill="FFFFFF"/>
                <w14:textFill>
                  <w14:solidFill>
                    <w14:schemeClr w14:val="tx1"/>
                  </w14:solidFill>
                </w14:textFill>
              </w:rPr>
              <w:t>排污许可证申请与核发技术规范 酒、饮料制造工业</w:t>
            </w:r>
            <w:r>
              <w:rPr>
                <w:color w:val="000000" w:themeColor="text1"/>
                <w:sz w:val="24"/>
                <w14:textFill>
                  <w14:solidFill>
                    <w14:schemeClr w14:val="tx1"/>
                  </w14:solidFill>
                </w14:textFill>
              </w:rPr>
              <w:t>》</w:t>
            </w:r>
            <w:r>
              <w:rPr>
                <w:rStyle w:val="29"/>
                <w:color w:val="000000" w:themeColor="text1"/>
                <w:sz w:val="24"/>
                <w:u w:val="none"/>
                <w:shd w:val="clear" w:color="auto" w:fill="FFFFFF"/>
                <w14:textFill>
                  <w14:solidFill>
                    <w14:schemeClr w14:val="tx1"/>
                  </w14:solidFill>
                </w14:textFill>
              </w:rPr>
              <w:t>（</w:t>
            </w:r>
            <w:r>
              <w:rPr>
                <w:rStyle w:val="29"/>
                <w:rFonts w:eastAsia="Helvetica"/>
                <w:color w:val="000000" w:themeColor="text1"/>
                <w:sz w:val="24"/>
                <w:u w:val="none"/>
                <w:shd w:val="clear" w:color="auto" w:fill="FFFFFF"/>
                <w14:textFill>
                  <w14:solidFill>
                    <w14:schemeClr w14:val="tx1"/>
                  </w14:solidFill>
                </w14:textFill>
              </w:rPr>
              <w:t>HJ1028-2019</w:t>
            </w:r>
            <w:r>
              <w:rPr>
                <w:rStyle w:val="29"/>
                <w:rFonts w:eastAsia="Helvetica"/>
                <w:color w:val="000000" w:themeColor="text1"/>
                <w:sz w:val="24"/>
                <w:u w:val="none"/>
                <w:shd w:val="clear" w:color="auto" w:fill="FFFFFF"/>
                <w14:textFill>
                  <w14:solidFill>
                    <w14:schemeClr w14:val="tx1"/>
                  </w14:solidFill>
                </w14:textFill>
              </w:rPr>
              <w:fldChar w:fldCharType="end"/>
            </w:r>
            <w:r>
              <w:rPr>
                <w:rStyle w:val="29"/>
                <w:color w:val="000000" w:themeColor="text1"/>
                <w:sz w:val="24"/>
                <w:u w:val="none"/>
                <w:shd w:val="clear" w:color="auto" w:fill="FFFFFF"/>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"https://www.eiacloud.com/hpyzs/lawsRegulations/csSearchDetail?modelName=%E6%8E%92%E6%B1%A1%E5%90%8D%E5%BD%95&amp;id=f5cee331cb544f70bed9f7b8c91dc957" \t "https://www.eiacloud.com/hpyzs/category/_self" </w:instrText>
            </w:r>
            <w:r>
              <w:rPr>
                <w:color w:val="000000" w:themeColor="text1"/>
                <w14:textFill>
                  <w14:solidFill>
                    <w14:schemeClr w14:val="tx1"/>
                  </w14:solidFill>
                </w14:textFill>
              </w:rPr>
              <w:fldChar w:fldCharType="separate"/>
            </w:r>
            <w:r>
              <w:rPr>
                <w:rStyle w:val="29"/>
                <w:rFonts w:eastAsia="Helvetica"/>
                <w:color w:val="000000" w:themeColor="text1"/>
                <w:sz w:val="24"/>
                <w:u w:val="none"/>
                <w:shd w:val="clear" w:color="auto" w:fill="FFFFFF"/>
                <w14:textFill>
                  <w14:solidFill>
                    <w14:schemeClr w14:val="tx1"/>
                  </w14:solidFill>
                </w14:textFill>
              </w:rPr>
              <w:t>排污单位自行监测技术指南 酒、饮料制造</w:t>
            </w:r>
            <w:r>
              <w:rPr>
                <w:rStyle w:val="29"/>
                <w:color w:val="000000" w:themeColor="text1"/>
                <w:sz w:val="24"/>
                <w:u w:val="none"/>
                <w:shd w:val="clear" w:color="auto" w:fill="FFFFFF"/>
                <w14:textFill>
                  <w14:solidFill>
                    <w14:schemeClr w14:val="tx1"/>
                  </w14:solidFill>
                </w14:textFill>
              </w:rPr>
              <w:t>》（</w:t>
            </w:r>
            <w:r>
              <w:rPr>
                <w:rStyle w:val="29"/>
                <w:rFonts w:eastAsia="Helvetica"/>
                <w:color w:val="000000" w:themeColor="text1"/>
                <w:sz w:val="24"/>
                <w:u w:val="none"/>
                <w:shd w:val="clear" w:color="auto" w:fill="FFFFFF"/>
                <w14:textFill>
                  <w14:solidFill>
                    <w14:schemeClr w14:val="tx1"/>
                  </w14:solidFill>
                </w14:textFill>
              </w:rPr>
              <w:t>HJ1085-2020</w:t>
            </w:r>
            <w:r>
              <w:rPr>
                <w:rStyle w:val="29"/>
                <w:rFonts w:eastAsia="Helvetica"/>
                <w:color w:val="000000" w:themeColor="text1"/>
                <w:sz w:val="24"/>
                <w:u w:val="none"/>
                <w:shd w:val="clear" w:color="auto" w:fill="FFFFFF"/>
                <w14:textFill>
                  <w14:solidFill>
                    <w14:schemeClr w14:val="tx1"/>
                  </w14:solidFill>
                </w14:textFill>
              </w:rPr>
              <w:fldChar w:fldCharType="end"/>
            </w:r>
            <w:r>
              <w:rPr>
                <w:rStyle w:val="29"/>
                <w:color w:val="000000" w:themeColor="text1"/>
                <w:sz w:val="24"/>
                <w:u w:val="none"/>
                <w:shd w:val="clear" w:color="auto" w:fill="FFFFFF"/>
                <w14:textFill>
                  <w14:solidFill>
                    <w14:schemeClr w14:val="tx1"/>
                  </w14:solidFill>
                </w14:textFill>
              </w:rPr>
              <w:t>）</w:t>
            </w:r>
            <w:r>
              <w:rPr>
                <w:color w:val="000000" w:themeColor="text1"/>
                <w:sz w:val="24"/>
                <w14:textFill>
                  <w14:solidFill>
                    <w14:schemeClr w14:val="tx1"/>
                  </w14:solidFill>
                </w14:textFill>
              </w:rPr>
              <w:t>自行监测计划，项目废水自行监测计划如下：</w:t>
            </w:r>
          </w:p>
          <w:p w14:paraId="6B4462BF">
            <w:pPr>
              <w:adjustRightInd w:val="0"/>
              <w:snapToGrid w:val="0"/>
              <w:spacing w:line="360" w:lineRule="auto"/>
              <w:ind w:firstLine="482" w:firstLineChars="200"/>
              <w:jc w:val="center"/>
              <w:rPr>
                <w:b/>
                <w:color w:val="000000" w:themeColor="text1"/>
                <w:sz w:val="24"/>
                <w14:textFill>
                  <w14:solidFill>
                    <w14:schemeClr w14:val="tx1"/>
                  </w14:solidFill>
                </w14:textFill>
              </w:rPr>
            </w:pPr>
            <w:bookmarkStart w:id="165" w:name="_Toc6000"/>
            <w:bookmarkStart w:id="166" w:name="_Toc875"/>
            <w:bookmarkStart w:id="167" w:name="_Toc8878"/>
            <w:bookmarkStart w:id="168" w:name="_Toc24239"/>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15</w:t>
            </w:r>
            <w:r>
              <w:rPr>
                <w:b/>
                <w:color w:val="000000" w:themeColor="text1"/>
                <w:sz w:val="24"/>
                <w14:textFill>
                  <w14:solidFill>
                    <w14:schemeClr w14:val="tx1"/>
                  </w14:solidFill>
                </w14:textFill>
              </w:rPr>
              <w:t xml:space="preserve"> </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项目营运期废水监测计划</w:t>
            </w:r>
            <w:bookmarkEnd w:id="165"/>
            <w:bookmarkEnd w:id="166"/>
            <w:bookmarkEnd w:id="167"/>
            <w:bookmarkEnd w:id="168"/>
          </w:p>
          <w:tbl>
            <w:tblPr>
              <w:tblStyle w:val="26"/>
              <w:tblW w:w="4993"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59"/>
              <w:gridCol w:w="1345"/>
              <w:gridCol w:w="2355"/>
              <w:gridCol w:w="1142"/>
              <w:gridCol w:w="3329"/>
            </w:tblGrid>
            <w:tr w14:paraId="4A16C5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74" w:type="pct"/>
                  <w:vAlign w:val="center"/>
                </w:tcPr>
                <w:p w14:paraId="2D808394">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类别</w:t>
                  </w:r>
                </w:p>
              </w:tc>
              <w:tc>
                <w:tcPr>
                  <w:tcW w:w="728" w:type="pct"/>
                  <w:vAlign w:val="center"/>
                </w:tcPr>
                <w:p w14:paraId="2578B342">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监测点位</w:t>
                  </w:r>
                </w:p>
              </w:tc>
              <w:tc>
                <w:tcPr>
                  <w:tcW w:w="1275" w:type="pct"/>
                  <w:vAlign w:val="center"/>
                </w:tcPr>
                <w:p w14:paraId="760A562A">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监测因子</w:t>
                  </w:r>
                </w:p>
              </w:tc>
              <w:tc>
                <w:tcPr>
                  <w:tcW w:w="618" w:type="pct"/>
                  <w:vAlign w:val="center"/>
                </w:tcPr>
                <w:p w14:paraId="450CC4A0">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监测频率</w:t>
                  </w:r>
                </w:p>
              </w:tc>
              <w:tc>
                <w:tcPr>
                  <w:tcW w:w="1802" w:type="pct"/>
                  <w:vAlign w:val="center"/>
                </w:tcPr>
                <w:p w14:paraId="3CC0352A">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执行标准</w:t>
                  </w:r>
                </w:p>
              </w:tc>
            </w:tr>
            <w:tr w14:paraId="5901708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574" w:type="pct"/>
                  <w:vAlign w:val="center"/>
                </w:tcPr>
                <w:p w14:paraId="66D73128">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w:t>
                  </w:r>
                </w:p>
              </w:tc>
              <w:tc>
                <w:tcPr>
                  <w:tcW w:w="728" w:type="pct"/>
                  <w:vAlign w:val="center"/>
                </w:tcPr>
                <w:p w14:paraId="15B4D5EF">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DW001</w:t>
                  </w:r>
                </w:p>
              </w:tc>
              <w:tc>
                <w:tcPr>
                  <w:tcW w:w="1275" w:type="pct"/>
                  <w:vAlign w:val="center"/>
                </w:tcPr>
                <w:p w14:paraId="71111AE5">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pH、COD、BOD</w:t>
                  </w:r>
                  <w:r>
                    <w:rPr>
                      <w:color w:val="000000" w:themeColor="text1"/>
                      <w:sz w:val="21"/>
                      <w:szCs w:val="21"/>
                      <w:vertAlign w:val="subscript"/>
                      <w14:textFill>
                        <w14:solidFill>
                          <w14:schemeClr w14:val="tx1"/>
                        </w14:solidFill>
                      </w14:textFill>
                    </w:rPr>
                    <w:t>5</w:t>
                  </w:r>
                  <w:r>
                    <w:rPr>
                      <w:color w:val="000000" w:themeColor="text1"/>
                      <w:sz w:val="21"/>
                      <w:szCs w:val="21"/>
                      <w14:textFill>
                        <w14:solidFill>
                          <w14:schemeClr w14:val="tx1"/>
                        </w14:solidFill>
                      </w14:textFill>
                    </w:rPr>
                    <w:t>、SS、NH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、总氮、色度、总磷</w:t>
                  </w:r>
                </w:p>
              </w:tc>
              <w:tc>
                <w:tcPr>
                  <w:tcW w:w="618" w:type="pct"/>
                  <w:vAlign w:val="center"/>
                </w:tcPr>
                <w:p w14:paraId="77457676">
                  <w:pPr>
                    <w:autoSpaceDE w:val="0"/>
                    <w:autoSpaceDN w:val="0"/>
                    <w:adjustRightIn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1次/半</w:t>
                  </w:r>
                  <w:r>
                    <w:rPr>
                      <w:color w:val="000000" w:themeColor="text1"/>
                      <w:szCs w:val="21"/>
                      <w14:textFill>
                        <w14:solidFill>
                          <w14:schemeClr w14:val="tx1"/>
                        </w14:solidFill>
                      </w14:textFill>
                    </w:rPr>
                    <w:t>年</w:t>
                  </w:r>
                </w:p>
              </w:tc>
              <w:tc>
                <w:tcPr>
                  <w:tcW w:w="1802" w:type="pct"/>
                  <w:vAlign w:val="center"/>
                </w:tcPr>
                <w:p w14:paraId="364EE9BF">
                  <w:pPr>
                    <w:pStyle w:val="11"/>
                    <w:spacing w:line="240" w:lineRule="auto"/>
                    <w:ind w:left="0" w:right="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《发酵酒精和白酒工业水污染物排放标准》（GB27631-2011）及其修改单表2间接排放标准、《啤酒工业水污染物排放标准》（DB41/681-2011）</w:t>
                  </w:r>
                  <w:r>
                    <w:rPr>
                      <w:color w:val="000000" w:themeColor="text1"/>
                      <w:sz w:val="21"/>
                      <w:szCs w:val="21"/>
                      <w14:textFill>
                        <w14:solidFill>
                          <w14:schemeClr w14:val="tx1"/>
                        </w14:solidFill>
                      </w14:textFill>
                    </w:rPr>
                    <w:t>及镇平县第二污水处理厂进水水质指标要求</w:t>
                  </w:r>
                </w:p>
              </w:tc>
            </w:tr>
          </w:tbl>
          <w:p w14:paraId="1589148B">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2.8地表水环境影响评价结论</w:t>
            </w:r>
          </w:p>
          <w:p w14:paraId="5474FFFC">
            <w:pPr>
              <w:adjustRightInd w:val="0"/>
              <w:snapToGrid w:val="0"/>
              <w:spacing w:line="360" w:lineRule="auto"/>
              <w:ind w:firstLine="480" w:firstLineChars="200"/>
              <w:rPr>
                <w:b/>
                <w:bCs/>
                <w:color w:val="000000" w:themeColor="text1"/>
                <w:spacing w:val="-10"/>
                <w:sz w:val="24"/>
                <w14:textFill>
                  <w14:solidFill>
                    <w14:schemeClr w14:val="tx1"/>
                  </w14:solidFill>
                </w14:textFill>
              </w:rPr>
            </w:pPr>
            <w:r>
              <w:rPr>
                <w:color w:val="000000" w:themeColor="text1"/>
                <w:kern w:val="0"/>
                <w:sz w:val="24"/>
                <w14:textFill>
                  <w14:solidFill>
                    <w14:schemeClr w14:val="tx1"/>
                  </w14:solidFill>
                </w14:textFill>
              </w:rPr>
              <w:t>项目营运期</w:t>
            </w:r>
            <w:r>
              <w:rPr>
                <w:bCs/>
                <w:color w:val="000000" w:themeColor="text1"/>
                <w:sz w:val="24"/>
                <w14:textFill>
                  <w14:solidFill>
                    <w14:schemeClr w14:val="tx1"/>
                  </w14:solidFill>
                </w14:textFill>
              </w:rPr>
              <w:t>职工生活污水经化粪池（</w:t>
            </w:r>
            <w:r>
              <w:rPr>
                <w:rFonts w:hint="eastAsia"/>
                <w:bCs/>
                <w:color w:val="000000" w:themeColor="text1"/>
                <w:sz w:val="24"/>
                <w14:textFill>
                  <w14:solidFill>
                    <w14:schemeClr w14:val="tx1"/>
                  </w14:solidFill>
                </w14:textFill>
              </w:rPr>
              <w:t>总</w:t>
            </w:r>
            <w:r>
              <w:rPr>
                <w:bCs/>
                <w:color w:val="000000" w:themeColor="text1"/>
                <w:sz w:val="24"/>
                <w14:textFill>
                  <w14:solidFill>
                    <w14:schemeClr w14:val="tx1"/>
                  </w14:solidFill>
                </w14:textFill>
              </w:rPr>
              <w:t>容积5m</w:t>
            </w:r>
            <w:r>
              <w:rPr>
                <w:bCs/>
                <w:color w:val="000000" w:themeColor="text1"/>
                <w:sz w:val="24"/>
                <w:vertAlign w:val="superscript"/>
                <w14:textFill>
                  <w14:solidFill>
                    <w14:schemeClr w14:val="tx1"/>
                  </w14:solidFill>
                </w14:textFill>
              </w:rPr>
              <w:t>3</w:t>
            </w:r>
            <w:r>
              <w:rPr>
                <w:bCs/>
                <w:color w:val="000000" w:themeColor="text1"/>
                <w:sz w:val="24"/>
                <w14:textFill>
                  <w14:solidFill>
                    <w14:schemeClr w14:val="tx1"/>
                  </w14:solidFill>
                </w14:textFill>
              </w:rPr>
              <w:t>，三防措施）</w:t>
            </w:r>
            <w:r>
              <w:rPr>
                <w:rFonts w:hint="eastAsia"/>
                <w:bCs/>
                <w:color w:val="000000" w:themeColor="text1"/>
                <w:sz w:val="24"/>
                <w14:textFill>
                  <w14:solidFill>
                    <w14:schemeClr w14:val="tx1"/>
                  </w14:solidFill>
                </w14:textFill>
              </w:rPr>
              <w:t>后与各生产废水一并进入厂区污水处理站处理后</w:t>
            </w:r>
            <w:r>
              <w:rPr>
                <w:color w:val="000000" w:themeColor="text1"/>
                <w:kern w:val="0"/>
                <w:sz w:val="24"/>
                <w14:textFill>
                  <w14:solidFill>
                    <w14:schemeClr w14:val="tx1"/>
                  </w14:solidFill>
                </w14:textFill>
              </w:rPr>
              <w:t>满足</w:t>
            </w:r>
            <w:r>
              <w:rPr>
                <w:rFonts w:hint="eastAsia"/>
                <w:color w:val="000000" w:themeColor="text1"/>
                <w:kern w:val="0"/>
                <w:sz w:val="24"/>
                <w14:textFill>
                  <w14:solidFill>
                    <w14:schemeClr w14:val="tx1"/>
                  </w14:solidFill>
                </w14:textFill>
              </w:rPr>
              <w:t>《发酵酒精和白酒工业水污染物排放标准》（GB27631-2011）及其修改单表2间接排放标准、《啤酒工业水污染物排放标准》（DB41/681-2011）</w:t>
            </w:r>
            <w:r>
              <w:rPr>
                <w:color w:val="000000" w:themeColor="text1"/>
                <w:kern w:val="0"/>
                <w:sz w:val="24"/>
                <w14:textFill>
                  <w14:solidFill>
                    <w14:schemeClr w14:val="tx1"/>
                  </w14:solidFill>
                </w14:textFill>
              </w:rPr>
              <w:t>及镇平县第二污水处理厂进水水质指标要求后经市政污水管网进入镇平县第二污水处理厂进一步处理达到《城镇污水处理厂污染物排放标准》（GB18918-2002）一级A标准后</w:t>
            </w:r>
            <w:r>
              <w:rPr>
                <w:color w:val="000000" w:themeColor="text1"/>
                <w:sz w:val="24"/>
                <w14:textFill>
                  <w14:solidFill>
                    <w14:schemeClr w14:val="tx1"/>
                  </w14:solidFill>
                </w14:textFill>
              </w:rPr>
              <w:t>排入赵河</w:t>
            </w:r>
            <w:r>
              <w:rPr>
                <w:color w:val="000000" w:themeColor="text1"/>
                <w:kern w:val="0"/>
                <w:sz w:val="24"/>
                <w14:textFill>
                  <w14:solidFill>
                    <w14:schemeClr w14:val="tx1"/>
                  </w14:solidFill>
                </w14:textFill>
              </w:rPr>
              <w:t>。</w:t>
            </w:r>
          </w:p>
        </w:tc>
      </w:tr>
    </w:tbl>
    <w:p w14:paraId="39A03BB6">
      <w:pPr>
        <w:rPr>
          <w:color w:val="000000" w:themeColor="text1"/>
          <w14:textFill>
            <w14:solidFill>
              <w14:schemeClr w14:val="tx1"/>
            </w14:solidFill>
          </w14:textFill>
        </w:rPr>
      </w:pPr>
    </w:p>
    <w:p w14:paraId="11600F83">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2"/>
        <w:gridCol w:w="13729"/>
      </w:tblGrid>
      <w:tr w14:paraId="68908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tcPr>
          <w:p w14:paraId="299BA780">
            <w:pPr>
              <w:rPr>
                <w:color w:val="000000" w:themeColor="text1"/>
                <w14:textFill>
                  <w14:solidFill>
                    <w14:schemeClr w14:val="tx1"/>
                  </w14:solidFill>
                </w14:textFill>
              </w:rPr>
            </w:pPr>
          </w:p>
        </w:tc>
        <w:tc>
          <w:tcPr>
            <w:tcW w:w="4843" w:type="pct"/>
          </w:tcPr>
          <w:p w14:paraId="66196C15">
            <w:pPr>
              <w:adjustRightInd w:val="0"/>
              <w:snapToGrid w:val="0"/>
              <w:spacing w:line="360" w:lineRule="auto"/>
              <w:ind w:firstLine="482" w:firstLineChars="200"/>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3、噪声</w:t>
            </w:r>
          </w:p>
          <w:p w14:paraId="57137D8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3.1噪声源强分析</w:t>
            </w:r>
          </w:p>
          <w:p w14:paraId="4014CF97">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项目营运期产噪设备主要为</w:t>
            </w:r>
            <w:r>
              <w:rPr>
                <w:rFonts w:hint="eastAsia"/>
                <w:color w:val="000000" w:themeColor="text1"/>
                <w:sz w:val="24"/>
                <w14:textFill>
                  <w14:solidFill>
                    <w14:schemeClr w14:val="tx1"/>
                  </w14:solidFill>
                </w14:textFill>
              </w:rPr>
              <w:t>灌装线</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激光喷码机</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连续封口机、粉碎机、风机</w:t>
            </w:r>
            <w:r>
              <w:rPr>
                <w:color w:val="000000" w:themeColor="text1"/>
                <w:sz w:val="24"/>
                <w14:textFill>
                  <w14:solidFill>
                    <w14:schemeClr w14:val="tx1"/>
                  </w14:solidFill>
                </w14:textFill>
              </w:rPr>
              <w:t>等设备，噪声源强在</w:t>
            </w:r>
            <w:r>
              <w:rPr>
                <w:rFonts w:hint="eastAsia"/>
                <w:color w:val="000000" w:themeColor="text1"/>
                <w:sz w:val="24"/>
                <w14:textFill>
                  <w14:solidFill>
                    <w14:schemeClr w14:val="tx1"/>
                  </w14:solidFill>
                </w14:textFill>
              </w:rPr>
              <w:t>70</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85</w:t>
            </w:r>
            <w:r>
              <w:rPr>
                <w:color w:val="000000" w:themeColor="text1"/>
                <w:sz w:val="24"/>
                <w14:textFill>
                  <w14:solidFill>
                    <w14:schemeClr w14:val="tx1"/>
                  </w14:solidFill>
                </w14:textFill>
              </w:rPr>
              <w:t>dB（A）之间。</w:t>
            </w:r>
          </w:p>
          <w:p w14:paraId="0036B4B3">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环评要求采取以下降噪措施：选择低噪声设备；车间内设备合理布局；高噪设备采取基础减振、厂房隔声等降噪措施；设备定期维修，保证正常运转。噪声通过墙体隔声、距离衰减后可降低15~25dB（A），取20dB（A）。项目主要产噪设备、源强、降噪措施及效果见下表。 </w:t>
            </w:r>
          </w:p>
          <w:p w14:paraId="6A0404F8">
            <w:pPr>
              <w:adjustRightInd w:val="0"/>
              <w:snapToGrid w:val="0"/>
              <w:spacing w:line="360" w:lineRule="auto"/>
              <w:ind w:firstLine="361" w:firstLineChars="150"/>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16  </w:t>
            </w:r>
            <w:r>
              <w:rPr>
                <w:b/>
                <w:bCs/>
                <w:color w:val="000000" w:themeColor="text1"/>
                <w:sz w:val="24"/>
                <w14:textFill>
                  <w14:solidFill>
                    <w14:schemeClr w14:val="tx1"/>
                  </w14:solidFill>
                </w14:textFill>
              </w:rPr>
              <w:t>工业企业噪声源强调查清单（室</w:t>
            </w:r>
            <w:r>
              <w:rPr>
                <w:rFonts w:hint="eastAsia"/>
                <w:b/>
                <w:bCs/>
                <w:color w:val="000000" w:themeColor="text1"/>
                <w:sz w:val="24"/>
                <w14:textFill>
                  <w14:solidFill>
                    <w14:schemeClr w14:val="tx1"/>
                  </w14:solidFill>
                </w14:textFill>
              </w:rPr>
              <w:t>内</w:t>
            </w:r>
            <w:r>
              <w:rPr>
                <w:b/>
                <w:bCs/>
                <w:color w:val="000000" w:themeColor="text1"/>
                <w:sz w:val="24"/>
                <w14:textFill>
                  <w14:solidFill>
                    <w14:schemeClr w14:val="tx1"/>
                  </w14:solidFill>
                </w14:textFill>
              </w:rPr>
              <w:t>声源）</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426"/>
              <w:gridCol w:w="1278"/>
              <w:gridCol w:w="788"/>
              <w:gridCol w:w="501"/>
              <w:gridCol w:w="1022"/>
              <w:gridCol w:w="684"/>
              <w:gridCol w:w="689"/>
              <w:gridCol w:w="531"/>
              <w:gridCol w:w="704"/>
              <w:gridCol w:w="584"/>
              <w:gridCol w:w="726"/>
              <w:gridCol w:w="631"/>
              <w:gridCol w:w="658"/>
              <w:gridCol w:w="629"/>
              <w:gridCol w:w="610"/>
              <w:gridCol w:w="648"/>
              <w:gridCol w:w="445"/>
              <w:gridCol w:w="1523"/>
            </w:tblGrid>
            <w:tr w14:paraId="5963A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restart"/>
                  <w:vAlign w:val="center"/>
                </w:tcPr>
                <w:p w14:paraId="4E3F369F">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56" w:type="pct"/>
                  <w:vMerge w:val="restart"/>
                  <w:vAlign w:val="center"/>
                </w:tcPr>
                <w:p w14:paraId="517F9315">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建筑物名称</w:t>
                  </w:r>
                </w:p>
              </w:tc>
              <w:tc>
                <w:tcPr>
                  <w:tcW w:w="476" w:type="pct"/>
                  <w:vMerge w:val="restart"/>
                  <w:vAlign w:val="center"/>
                </w:tcPr>
                <w:p w14:paraId="0AAFC630">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固定噪声源名称</w:t>
                  </w:r>
                </w:p>
              </w:tc>
              <w:tc>
                <w:tcPr>
                  <w:tcW w:w="289" w:type="pct"/>
                  <w:vMerge w:val="restart"/>
                  <w:vAlign w:val="center"/>
                </w:tcPr>
                <w:p w14:paraId="3312B66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声功率级dB（A）</w:t>
                  </w:r>
                </w:p>
              </w:tc>
              <w:tc>
                <w:tcPr>
                  <w:tcW w:w="188" w:type="pct"/>
                  <w:vMerge w:val="restart"/>
                  <w:vAlign w:val="center"/>
                </w:tcPr>
                <w:p w14:paraId="3CE5B5C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数量</w:t>
                  </w:r>
                </w:p>
              </w:tc>
              <w:tc>
                <w:tcPr>
                  <w:tcW w:w="381" w:type="pct"/>
                  <w:vMerge w:val="restart"/>
                  <w:vAlign w:val="center"/>
                </w:tcPr>
                <w:p w14:paraId="33433DE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声源控制措施</w:t>
                  </w:r>
                </w:p>
              </w:tc>
              <w:tc>
                <w:tcPr>
                  <w:tcW w:w="685" w:type="pct"/>
                  <w:gridSpan w:val="3"/>
                  <w:vAlign w:val="center"/>
                </w:tcPr>
                <w:p w14:paraId="62554E0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空间相对位置</w:t>
                  </w:r>
                </w:p>
              </w:tc>
              <w:tc>
                <w:tcPr>
                  <w:tcW w:w="985" w:type="pct"/>
                  <w:gridSpan w:val="4"/>
                  <w:vAlign w:val="center"/>
                </w:tcPr>
                <w:p w14:paraId="29FAE7C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距室内边界距离m</w:t>
                  </w:r>
                </w:p>
              </w:tc>
              <w:tc>
                <w:tcPr>
                  <w:tcW w:w="951" w:type="pct"/>
                  <w:gridSpan w:val="4"/>
                  <w:vAlign w:val="center"/>
                </w:tcPr>
                <w:p w14:paraId="1BF4421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室内边界声级 dB（A）</w:t>
                  </w:r>
                </w:p>
              </w:tc>
              <w:tc>
                <w:tcPr>
                  <w:tcW w:w="167" w:type="pct"/>
                  <w:vMerge w:val="restart"/>
                  <w:vAlign w:val="center"/>
                </w:tcPr>
                <w:p w14:paraId="10C3E97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运</w:t>
                  </w:r>
                </w:p>
                <w:p w14:paraId="6B38CD1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行</w:t>
                  </w:r>
                </w:p>
                <w:p w14:paraId="0DAA9D7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时</w:t>
                  </w:r>
                </w:p>
                <w:p w14:paraId="1F12812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段</w:t>
                  </w:r>
                </w:p>
              </w:tc>
              <w:tc>
                <w:tcPr>
                  <w:tcW w:w="559" w:type="pct"/>
                  <w:vMerge w:val="restart"/>
                  <w:vAlign w:val="center"/>
                </w:tcPr>
                <w:p w14:paraId="7C01C17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建筑物插入损失dB（A）</w:t>
                  </w:r>
                </w:p>
              </w:tc>
            </w:tr>
            <w:tr w14:paraId="07A9D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Merge w:val="continue"/>
                  <w:vAlign w:val="center"/>
                </w:tcPr>
                <w:p w14:paraId="0F90B83F">
                  <w:pPr>
                    <w:jc w:val="center"/>
                    <w:rPr>
                      <w:color w:val="000000" w:themeColor="text1"/>
                      <w:szCs w:val="21"/>
                      <w14:textFill>
                        <w14:solidFill>
                          <w14:schemeClr w14:val="tx1"/>
                        </w14:solidFill>
                      </w14:textFill>
                    </w:rPr>
                  </w:pPr>
                </w:p>
              </w:tc>
              <w:tc>
                <w:tcPr>
                  <w:tcW w:w="156" w:type="pct"/>
                  <w:vMerge w:val="continue"/>
                  <w:vAlign w:val="center"/>
                </w:tcPr>
                <w:p w14:paraId="27D5CAC8">
                  <w:pPr>
                    <w:jc w:val="center"/>
                    <w:rPr>
                      <w:color w:val="000000" w:themeColor="text1"/>
                      <w:szCs w:val="21"/>
                      <w14:textFill>
                        <w14:solidFill>
                          <w14:schemeClr w14:val="tx1"/>
                        </w14:solidFill>
                      </w14:textFill>
                    </w:rPr>
                  </w:pPr>
                </w:p>
              </w:tc>
              <w:tc>
                <w:tcPr>
                  <w:tcW w:w="476" w:type="pct"/>
                  <w:vMerge w:val="continue"/>
                  <w:vAlign w:val="center"/>
                </w:tcPr>
                <w:p w14:paraId="274E1715">
                  <w:pPr>
                    <w:jc w:val="center"/>
                    <w:rPr>
                      <w:color w:val="000000" w:themeColor="text1"/>
                      <w:szCs w:val="21"/>
                      <w14:textFill>
                        <w14:solidFill>
                          <w14:schemeClr w14:val="tx1"/>
                        </w14:solidFill>
                      </w14:textFill>
                    </w:rPr>
                  </w:pPr>
                </w:p>
              </w:tc>
              <w:tc>
                <w:tcPr>
                  <w:tcW w:w="289" w:type="pct"/>
                  <w:vMerge w:val="continue"/>
                  <w:vAlign w:val="center"/>
                </w:tcPr>
                <w:p w14:paraId="114191CE">
                  <w:pPr>
                    <w:jc w:val="center"/>
                    <w:rPr>
                      <w:color w:val="000000" w:themeColor="text1"/>
                      <w:szCs w:val="21"/>
                      <w14:textFill>
                        <w14:solidFill>
                          <w14:schemeClr w14:val="tx1"/>
                        </w14:solidFill>
                      </w14:textFill>
                    </w:rPr>
                  </w:pPr>
                </w:p>
              </w:tc>
              <w:tc>
                <w:tcPr>
                  <w:tcW w:w="188" w:type="pct"/>
                  <w:vMerge w:val="continue"/>
                  <w:vAlign w:val="center"/>
                </w:tcPr>
                <w:p w14:paraId="59DB2D68">
                  <w:pPr>
                    <w:jc w:val="center"/>
                    <w:rPr>
                      <w:color w:val="000000" w:themeColor="text1"/>
                      <w:szCs w:val="21"/>
                      <w14:textFill>
                        <w14:solidFill>
                          <w14:schemeClr w14:val="tx1"/>
                        </w14:solidFill>
                      </w14:textFill>
                    </w:rPr>
                  </w:pPr>
                </w:p>
              </w:tc>
              <w:tc>
                <w:tcPr>
                  <w:tcW w:w="381" w:type="pct"/>
                  <w:vMerge w:val="continue"/>
                  <w:vAlign w:val="center"/>
                </w:tcPr>
                <w:p w14:paraId="11AF266E">
                  <w:pPr>
                    <w:jc w:val="center"/>
                    <w:rPr>
                      <w:color w:val="000000" w:themeColor="text1"/>
                      <w:szCs w:val="21"/>
                      <w14:textFill>
                        <w14:solidFill>
                          <w14:schemeClr w14:val="tx1"/>
                        </w14:solidFill>
                      </w14:textFill>
                    </w:rPr>
                  </w:pPr>
                </w:p>
              </w:tc>
              <w:tc>
                <w:tcPr>
                  <w:tcW w:w="256" w:type="pct"/>
                  <w:vAlign w:val="center"/>
                </w:tcPr>
                <w:p w14:paraId="6F91443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X</w:t>
                  </w:r>
                </w:p>
              </w:tc>
              <w:tc>
                <w:tcPr>
                  <w:tcW w:w="253" w:type="pct"/>
                  <w:vAlign w:val="center"/>
                </w:tcPr>
                <w:p w14:paraId="0978636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Y</w:t>
                  </w:r>
                </w:p>
              </w:tc>
              <w:tc>
                <w:tcPr>
                  <w:tcW w:w="175" w:type="pct"/>
                  <w:vAlign w:val="center"/>
                </w:tcPr>
                <w:p w14:paraId="0F10727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Z</w:t>
                  </w:r>
                </w:p>
              </w:tc>
              <w:tc>
                <w:tcPr>
                  <w:tcW w:w="263" w:type="pct"/>
                  <w:vAlign w:val="center"/>
                </w:tcPr>
                <w:p w14:paraId="3D630C0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东</w:t>
                  </w:r>
                </w:p>
              </w:tc>
              <w:tc>
                <w:tcPr>
                  <w:tcW w:w="215" w:type="pct"/>
                  <w:vAlign w:val="center"/>
                </w:tcPr>
                <w:p w14:paraId="749673D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南</w:t>
                  </w:r>
                </w:p>
              </w:tc>
              <w:tc>
                <w:tcPr>
                  <w:tcW w:w="271" w:type="pct"/>
                  <w:vAlign w:val="center"/>
                </w:tcPr>
                <w:p w14:paraId="4E12D21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西</w:t>
                  </w:r>
                </w:p>
              </w:tc>
              <w:tc>
                <w:tcPr>
                  <w:tcW w:w="235" w:type="pct"/>
                  <w:vAlign w:val="center"/>
                </w:tcPr>
                <w:p w14:paraId="7A7374A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北</w:t>
                  </w:r>
                </w:p>
              </w:tc>
              <w:tc>
                <w:tcPr>
                  <w:tcW w:w="246" w:type="pct"/>
                  <w:vAlign w:val="center"/>
                </w:tcPr>
                <w:p w14:paraId="799DF7F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东</w:t>
                  </w:r>
                </w:p>
              </w:tc>
              <w:tc>
                <w:tcPr>
                  <w:tcW w:w="235" w:type="pct"/>
                  <w:vAlign w:val="center"/>
                </w:tcPr>
                <w:p w14:paraId="6DE36E8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南</w:t>
                  </w:r>
                </w:p>
              </w:tc>
              <w:tc>
                <w:tcPr>
                  <w:tcW w:w="228" w:type="pct"/>
                  <w:vAlign w:val="center"/>
                </w:tcPr>
                <w:p w14:paraId="4D5B18F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西</w:t>
                  </w:r>
                </w:p>
              </w:tc>
              <w:tc>
                <w:tcPr>
                  <w:tcW w:w="240" w:type="pct"/>
                  <w:vAlign w:val="center"/>
                </w:tcPr>
                <w:p w14:paraId="37B2627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北</w:t>
                  </w:r>
                </w:p>
              </w:tc>
              <w:tc>
                <w:tcPr>
                  <w:tcW w:w="167" w:type="pct"/>
                  <w:vMerge w:val="continue"/>
                  <w:vAlign w:val="center"/>
                </w:tcPr>
                <w:p w14:paraId="6CDF5F8C">
                  <w:pPr>
                    <w:jc w:val="center"/>
                    <w:rPr>
                      <w:color w:val="000000" w:themeColor="text1"/>
                      <w:szCs w:val="21"/>
                      <w14:textFill>
                        <w14:solidFill>
                          <w14:schemeClr w14:val="tx1"/>
                        </w14:solidFill>
                      </w14:textFill>
                    </w:rPr>
                  </w:pPr>
                </w:p>
              </w:tc>
              <w:tc>
                <w:tcPr>
                  <w:tcW w:w="559" w:type="pct"/>
                  <w:vMerge w:val="continue"/>
                  <w:vAlign w:val="center"/>
                </w:tcPr>
                <w:p w14:paraId="4E9DDE92">
                  <w:pPr>
                    <w:jc w:val="center"/>
                    <w:rPr>
                      <w:color w:val="000000" w:themeColor="text1"/>
                      <w:szCs w:val="21"/>
                      <w14:textFill>
                        <w14:solidFill>
                          <w14:schemeClr w14:val="tx1"/>
                        </w14:solidFill>
                      </w14:textFill>
                    </w:rPr>
                  </w:pPr>
                </w:p>
              </w:tc>
            </w:tr>
            <w:tr w14:paraId="2DCB6C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Align w:val="center"/>
                </w:tcPr>
                <w:p w14:paraId="2524CB7D">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56" w:type="pct"/>
                  <w:vMerge w:val="restart"/>
                  <w:vAlign w:val="center"/>
                </w:tcPr>
                <w:p w14:paraId="3D4233F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黄酒车间</w:t>
                  </w:r>
                </w:p>
              </w:tc>
              <w:tc>
                <w:tcPr>
                  <w:tcW w:w="476" w:type="pct"/>
                  <w:shd w:val="clear" w:color="auto" w:fill="auto"/>
                  <w:vAlign w:val="center"/>
                </w:tcPr>
                <w:p w14:paraId="7A06B46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压滤机</w:t>
                  </w:r>
                </w:p>
              </w:tc>
              <w:tc>
                <w:tcPr>
                  <w:tcW w:w="289" w:type="pct"/>
                  <w:shd w:val="clear" w:color="auto" w:fill="auto"/>
                  <w:vAlign w:val="center"/>
                </w:tcPr>
                <w:p w14:paraId="2037590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80</w:t>
                  </w:r>
                </w:p>
              </w:tc>
              <w:tc>
                <w:tcPr>
                  <w:tcW w:w="188" w:type="pct"/>
                  <w:shd w:val="clear" w:color="auto" w:fill="auto"/>
                  <w:vAlign w:val="center"/>
                </w:tcPr>
                <w:p w14:paraId="5CE5C84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381" w:type="pct"/>
                  <w:vMerge w:val="restart"/>
                  <w:vAlign w:val="center"/>
                </w:tcPr>
                <w:p w14:paraId="0E01D42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设备合理布局；高噪设备采取基础减振、厂房隔声等降噪措施</w:t>
                  </w:r>
                </w:p>
              </w:tc>
              <w:tc>
                <w:tcPr>
                  <w:tcW w:w="256" w:type="pct"/>
                  <w:vAlign w:val="center"/>
                </w:tcPr>
                <w:p w14:paraId="5C9513C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35.9</w:t>
                  </w:r>
                </w:p>
              </w:tc>
              <w:tc>
                <w:tcPr>
                  <w:tcW w:w="253" w:type="pct"/>
                  <w:vAlign w:val="center"/>
                </w:tcPr>
                <w:p w14:paraId="3CD9E58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101.1</w:t>
                  </w:r>
                </w:p>
              </w:tc>
              <w:tc>
                <w:tcPr>
                  <w:tcW w:w="175" w:type="pct"/>
                  <w:vAlign w:val="center"/>
                </w:tcPr>
                <w:p w14:paraId="518EFDE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0554143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24.3</w:t>
                  </w:r>
                </w:p>
              </w:tc>
              <w:tc>
                <w:tcPr>
                  <w:tcW w:w="215" w:type="pct"/>
                  <w:vAlign w:val="center"/>
                </w:tcPr>
                <w:p w14:paraId="1714C69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18.1</w:t>
                  </w:r>
                </w:p>
              </w:tc>
              <w:tc>
                <w:tcPr>
                  <w:tcW w:w="271" w:type="pct"/>
                  <w:vAlign w:val="center"/>
                </w:tcPr>
                <w:p w14:paraId="072A4A0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35.7</w:t>
                  </w:r>
                </w:p>
              </w:tc>
              <w:tc>
                <w:tcPr>
                  <w:tcW w:w="235" w:type="pct"/>
                  <w:vAlign w:val="center"/>
                </w:tcPr>
                <w:p w14:paraId="00F76CF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4.9</w:t>
                  </w:r>
                </w:p>
              </w:tc>
              <w:tc>
                <w:tcPr>
                  <w:tcW w:w="246" w:type="pct"/>
                  <w:vAlign w:val="center"/>
                </w:tcPr>
                <w:p w14:paraId="33450E2D">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55.3 </w:t>
                  </w:r>
                </w:p>
              </w:tc>
              <w:tc>
                <w:tcPr>
                  <w:tcW w:w="235" w:type="pct"/>
                  <w:vAlign w:val="center"/>
                </w:tcPr>
                <w:p w14:paraId="141F0F1F">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57.8 </w:t>
                  </w:r>
                </w:p>
              </w:tc>
              <w:tc>
                <w:tcPr>
                  <w:tcW w:w="228" w:type="pct"/>
                  <w:vAlign w:val="center"/>
                </w:tcPr>
                <w:p w14:paraId="6A82FA8E">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51.9 </w:t>
                  </w:r>
                </w:p>
              </w:tc>
              <w:tc>
                <w:tcPr>
                  <w:tcW w:w="240" w:type="pct"/>
                  <w:vAlign w:val="center"/>
                </w:tcPr>
                <w:p w14:paraId="6DD8C18E">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69.2 </w:t>
                  </w:r>
                </w:p>
              </w:tc>
              <w:tc>
                <w:tcPr>
                  <w:tcW w:w="167" w:type="pct"/>
                  <w:vAlign w:val="center"/>
                </w:tcPr>
                <w:p w14:paraId="35A2DC1D">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restart"/>
                  <w:vAlign w:val="center"/>
                </w:tcPr>
                <w:p w14:paraId="4AA46257">
                  <w:pPr>
                    <w:tabs>
                      <w:tab w:val="left" w:pos="389"/>
                    </w:tabs>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设备合理布局；高噪设备采取基础减振、厂房隔声等降噪措施后声源降低20dB（A）</w:t>
                  </w:r>
                </w:p>
              </w:tc>
            </w:tr>
            <w:tr w14:paraId="44104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Align w:val="center"/>
                </w:tcPr>
                <w:p w14:paraId="477D83A2">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156" w:type="pct"/>
                  <w:vMerge w:val="continue"/>
                  <w:vAlign w:val="center"/>
                </w:tcPr>
                <w:p w14:paraId="41D05C3E">
                  <w:pPr>
                    <w:jc w:val="center"/>
                    <w:rPr>
                      <w:color w:val="000000" w:themeColor="text1"/>
                      <w:szCs w:val="21"/>
                      <w14:textFill>
                        <w14:solidFill>
                          <w14:schemeClr w14:val="tx1"/>
                        </w14:solidFill>
                      </w14:textFill>
                    </w:rPr>
                  </w:pPr>
                </w:p>
              </w:tc>
              <w:tc>
                <w:tcPr>
                  <w:tcW w:w="476" w:type="pct"/>
                  <w:shd w:val="clear" w:color="auto" w:fill="auto"/>
                  <w:vAlign w:val="center"/>
                </w:tcPr>
                <w:p w14:paraId="032A5E2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灌装线</w:t>
                  </w:r>
                </w:p>
              </w:tc>
              <w:tc>
                <w:tcPr>
                  <w:tcW w:w="289" w:type="pct"/>
                  <w:shd w:val="clear" w:color="auto" w:fill="auto"/>
                  <w:vAlign w:val="center"/>
                </w:tcPr>
                <w:p w14:paraId="0318499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75</w:t>
                  </w:r>
                </w:p>
              </w:tc>
              <w:tc>
                <w:tcPr>
                  <w:tcW w:w="188" w:type="pct"/>
                  <w:shd w:val="clear" w:color="auto" w:fill="auto"/>
                  <w:vAlign w:val="center"/>
                </w:tcPr>
                <w:p w14:paraId="6003B0C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381" w:type="pct"/>
                  <w:vMerge w:val="continue"/>
                  <w:vAlign w:val="center"/>
                </w:tcPr>
                <w:p w14:paraId="6522604C">
                  <w:pPr>
                    <w:jc w:val="center"/>
                    <w:rPr>
                      <w:color w:val="000000" w:themeColor="text1"/>
                      <w:szCs w:val="21"/>
                      <w14:textFill>
                        <w14:solidFill>
                          <w14:schemeClr w14:val="tx1"/>
                        </w14:solidFill>
                      </w14:textFill>
                    </w:rPr>
                  </w:pPr>
                </w:p>
              </w:tc>
              <w:tc>
                <w:tcPr>
                  <w:tcW w:w="256" w:type="pct"/>
                  <w:vAlign w:val="center"/>
                </w:tcPr>
                <w:p w14:paraId="5E6F3DD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48.1</w:t>
                  </w:r>
                </w:p>
              </w:tc>
              <w:tc>
                <w:tcPr>
                  <w:tcW w:w="253" w:type="pct"/>
                  <w:vAlign w:val="center"/>
                </w:tcPr>
                <w:p w14:paraId="55054CB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94.3</w:t>
                  </w:r>
                </w:p>
              </w:tc>
              <w:tc>
                <w:tcPr>
                  <w:tcW w:w="175" w:type="pct"/>
                  <w:vAlign w:val="center"/>
                </w:tcPr>
                <w:p w14:paraId="76477AF7">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1C46DB6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11.9</w:t>
                  </w:r>
                </w:p>
              </w:tc>
              <w:tc>
                <w:tcPr>
                  <w:tcW w:w="215" w:type="pct"/>
                  <w:vAlign w:val="center"/>
                </w:tcPr>
                <w:p w14:paraId="3FA3B23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11.3</w:t>
                  </w:r>
                </w:p>
              </w:tc>
              <w:tc>
                <w:tcPr>
                  <w:tcW w:w="271" w:type="pct"/>
                  <w:vAlign w:val="center"/>
                </w:tcPr>
                <w:p w14:paraId="2C28DBF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48.1</w:t>
                  </w:r>
                </w:p>
              </w:tc>
              <w:tc>
                <w:tcPr>
                  <w:tcW w:w="235" w:type="pct"/>
                  <w:vAlign w:val="center"/>
                </w:tcPr>
                <w:p w14:paraId="2689C48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11.7</w:t>
                  </w:r>
                </w:p>
              </w:tc>
              <w:tc>
                <w:tcPr>
                  <w:tcW w:w="246" w:type="pct"/>
                  <w:vAlign w:val="center"/>
                </w:tcPr>
                <w:p w14:paraId="68C9CCEA">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53.5 </w:t>
                  </w:r>
                </w:p>
              </w:tc>
              <w:tc>
                <w:tcPr>
                  <w:tcW w:w="235" w:type="pct"/>
                  <w:vAlign w:val="center"/>
                </w:tcPr>
                <w:p w14:paraId="17272676">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53.9 </w:t>
                  </w:r>
                </w:p>
              </w:tc>
              <w:tc>
                <w:tcPr>
                  <w:tcW w:w="228" w:type="pct"/>
                  <w:vAlign w:val="center"/>
                </w:tcPr>
                <w:p w14:paraId="4AF80D3C">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41.4 </w:t>
                  </w:r>
                </w:p>
              </w:tc>
              <w:tc>
                <w:tcPr>
                  <w:tcW w:w="240" w:type="pct"/>
                  <w:vAlign w:val="center"/>
                </w:tcPr>
                <w:p w14:paraId="4E7E7AAA">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53.6 </w:t>
                  </w:r>
                </w:p>
              </w:tc>
              <w:tc>
                <w:tcPr>
                  <w:tcW w:w="167" w:type="pct"/>
                  <w:vAlign w:val="center"/>
                </w:tcPr>
                <w:p w14:paraId="35630522">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42B6C8C8">
                  <w:pPr>
                    <w:tabs>
                      <w:tab w:val="left" w:pos="389"/>
                    </w:tabs>
                    <w:jc w:val="center"/>
                    <w:rPr>
                      <w:color w:val="000000" w:themeColor="text1"/>
                      <w:szCs w:val="21"/>
                      <w14:textFill>
                        <w14:solidFill>
                          <w14:schemeClr w14:val="tx1"/>
                        </w14:solidFill>
                      </w14:textFill>
                    </w:rPr>
                  </w:pPr>
                </w:p>
              </w:tc>
            </w:tr>
            <w:tr w14:paraId="6A810B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Align w:val="center"/>
                </w:tcPr>
                <w:p w14:paraId="5C419567">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56" w:type="pct"/>
                  <w:vMerge w:val="continue"/>
                  <w:vAlign w:val="center"/>
                </w:tcPr>
                <w:p w14:paraId="42EAFDA6">
                  <w:pPr>
                    <w:jc w:val="center"/>
                    <w:rPr>
                      <w:color w:val="000000" w:themeColor="text1"/>
                      <w:szCs w:val="21"/>
                      <w14:textFill>
                        <w14:solidFill>
                          <w14:schemeClr w14:val="tx1"/>
                        </w14:solidFill>
                      </w14:textFill>
                    </w:rPr>
                  </w:pPr>
                </w:p>
              </w:tc>
              <w:tc>
                <w:tcPr>
                  <w:tcW w:w="476" w:type="pct"/>
                  <w:shd w:val="clear" w:color="auto" w:fill="auto"/>
                  <w:vAlign w:val="center"/>
                </w:tcPr>
                <w:p w14:paraId="07ED1DB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激光喷码机</w:t>
                  </w:r>
                </w:p>
              </w:tc>
              <w:tc>
                <w:tcPr>
                  <w:tcW w:w="289" w:type="pct"/>
                  <w:shd w:val="clear" w:color="auto" w:fill="auto"/>
                  <w:vAlign w:val="center"/>
                </w:tcPr>
                <w:p w14:paraId="3461597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70</w:t>
                  </w:r>
                </w:p>
              </w:tc>
              <w:tc>
                <w:tcPr>
                  <w:tcW w:w="188" w:type="pct"/>
                  <w:shd w:val="clear" w:color="auto" w:fill="auto"/>
                  <w:vAlign w:val="center"/>
                </w:tcPr>
                <w:p w14:paraId="059A619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381" w:type="pct"/>
                  <w:vMerge w:val="continue"/>
                  <w:vAlign w:val="center"/>
                </w:tcPr>
                <w:p w14:paraId="62F775CE">
                  <w:pPr>
                    <w:jc w:val="center"/>
                    <w:rPr>
                      <w:color w:val="000000" w:themeColor="text1"/>
                      <w:szCs w:val="21"/>
                      <w14:textFill>
                        <w14:solidFill>
                          <w14:schemeClr w14:val="tx1"/>
                        </w14:solidFill>
                      </w14:textFill>
                    </w:rPr>
                  </w:pPr>
                </w:p>
              </w:tc>
              <w:tc>
                <w:tcPr>
                  <w:tcW w:w="256" w:type="pct"/>
                  <w:vAlign w:val="center"/>
                </w:tcPr>
                <w:p w14:paraId="68579D3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48.8</w:t>
                  </w:r>
                </w:p>
              </w:tc>
              <w:tc>
                <w:tcPr>
                  <w:tcW w:w="253" w:type="pct"/>
                  <w:vAlign w:val="center"/>
                </w:tcPr>
                <w:p w14:paraId="2CE6F0D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86.3</w:t>
                  </w:r>
                </w:p>
              </w:tc>
              <w:tc>
                <w:tcPr>
                  <w:tcW w:w="175" w:type="pct"/>
                  <w:vAlign w:val="center"/>
                </w:tcPr>
                <w:p w14:paraId="6FB2348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231B679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11.2</w:t>
                  </w:r>
                </w:p>
              </w:tc>
              <w:tc>
                <w:tcPr>
                  <w:tcW w:w="215" w:type="pct"/>
                  <w:vAlign w:val="center"/>
                </w:tcPr>
                <w:p w14:paraId="1E3EAF5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w:t>
                  </w:r>
                </w:p>
              </w:tc>
              <w:tc>
                <w:tcPr>
                  <w:tcW w:w="271" w:type="pct"/>
                  <w:vAlign w:val="center"/>
                </w:tcPr>
                <w:p w14:paraId="27F8350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48.8</w:t>
                  </w:r>
                </w:p>
              </w:tc>
              <w:tc>
                <w:tcPr>
                  <w:tcW w:w="235" w:type="pct"/>
                  <w:vAlign w:val="center"/>
                </w:tcPr>
                <w:p w14:paraId="134A1B8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19.0</w:t>
                  </w:r>
                </w:p>
              </w:tc>
              <w:tc>
                <w:tcPr>
                  <w:tcW w:w="246" w:type="pct"/>
                  <w:vAlign w:val="center"/>
                </w:tcPr>
                <w:p w14:paraId="7E4DB902">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49.0 </w:t>
                  </w:r>
                </w:p>
              </w:tc>
              <w:tc>
                <w:tcPr>
                  <w:tcW w:w="235" w:type="pct"/>
                  <w:vAlign w:val="center"/>
                </w:tcPr>
                <w:p w14:paraId="4CE41B8D">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58.0 </w:t>
                  </w:r>
                </w:p>
              </w:tc>
              <w:tc>
                <w:tcPr>
                  <w:tcW w:w="228" w:type="pct"/>
                  <w:vAlign w:val="center"/>
                </w:tcPr>
                <w:p w14:paraId="4E09E362">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36.2 </w:t>
                  </w:r>
                </w:p>
              </w:tc>
              <w:tc>
                <w:tcPr>
                  <w:tcW w:w="240" w:type="pct"/>
                  <w:vAlign w:val="center"/>
                </w:tcPr>
                <w:p w14:paraId="3ED5DEA0">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44.4 </w:t>
                  </w:r>
                </w:p>
              </w:tc>
              <w:tc>
                <w:tcPr>
                  <w:tcW w:w="167" w:type="pct"/>
                  <w:vAlign w:val="center"/>
                </w:tcPr>
                <w:p w14:paraId="0617A1EC">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09FADFF8">
                  <w:pPr>
                    <w:tabs>
                      <w:tab w:val="left" w:pos="389"/>
                    </w:tabs>
                    <w:jc w:val="center"/>
                    <w:rPr>
                      <w:color w:val="000000" w:themeColor="text1"/>
                      <w:szCs w:val="21"/>
                      <w14:textFill>
                        <w14:solidFill>
                          <w14:schemeClr w14:val="tx1"/>
                        </w14:solidFill>
                      </w14:textFill>
                    </w:rPr>
                  </w:pPr>
                </w:p>
              </w:tc>
            </w:tr>
            <w:tr w14:paraId="2A7AC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Align w:val="center"/>
                </w:tcPr>
                <w:p w14:paraId="618D9C76">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156" w:type="pct"/>
                  <w:vMerge w:val="restart"/>
                  <w:vAlign w:val="center"/>
                </w:tcPr>
                <w:p w14:paraId="0C9FAE8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综合车间</w:t>
                  </w:r>
                </w:p>
              </w:tc>
              <w:tc>
                <w:tcPr>
                  <w:tcW w:w="476" w:type="pct"/>
                  <w:shd w:val="clear" w:color="auto" w:fill="auto"/>
                  <w:vAlign w:val="center"/>
                </w:tcPr>
                <w:p w14:paraId="03D6A64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粉碎机</w:t>
                  </w:r>
                </w:p>
              </w:tc>
              <w:tc>
                <w:tcPr>
                  <w:tcW w:w="289" w:type="pct"/>
                  <w:shd w:val="clear" w:color="auto" w:fill="auto"/>
                  <w:vAlign w:val="center"/>
                </w:tcPr>
                <w:p w14:paraId="5542E68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85</w:t>
                  </w:r>
                </w:p>
              </w:tc>
              <w:tc>
                <w:tcPr>
                  <w:tcW w:w="188" w:type="pct"/>
                  <w:shd w:val="clear" w:color="auto" w:fill="auto"/>
                  <w:vAlign w:val="center"/>
                </w:tcPr>
                <w:p w14:paraId="4E18838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381" w:type="pct"/>
                  <w:vMerge w:val="continue"/>
                  <w:vAlign w:val="center"/>
                </w:tcPr>
                <w:p w14:paraId="305D52FC">
                  <w:pPr>
                    <w:jc w:val="center"/>
                    <w:rPr>
                      <w:color w:val="000000" w:themeColor="text1"/>
                      <w:szCs w:val="21"/>
                      <w14:textFill>
                        <w14:solidFill>
                          <w14:schemeClr w14:val="tx1"/>
                        </w14:solidFill>
                      </w14:textFill>
                    </w:rPr>
                  </w:pPr>
                </w:p>
              </w:tc>
              <w:tc>
                <w:tcPr>
                  <w:tcW w:w="256" w:type="pct"/>
                  <w:vAlign w:val="center"/>
                </w:tcPr>
                <w:p w14:paraId="60C2CD9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19.4</w:t>
                  </w:r>
                </w:p>
              </w:tc>
              <w:tc>
                <w:tcPr>
                  <w:tcW w:w="253" w:type="pct"/>
                  <w:vAlign w:val="center"/>
                </w:tcPr>
                <w:p w14:paraId="05C56FA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-9.9</w:t>
                  </w:r>
                </w:p>
              </w:tc>
              <w:tc>
                <w:tcPr>
                  <w:tcW w:w="175" w:type="pct"/>
                  <w:vAlign w:val="center"/>
                </w:tcPr>
                <w:p w14:paraId="4CA19A1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67489A9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40.6</w:t>
                  </w:r>
                </w:p>
              </w:tc>
              <w:tc>
                <w:tcPr>
                  <w:tcW w:w="215" w:type="pct"/>
                  <w:vAlign w:val="center"/>
                </w:tcPr>
                <w:p w14:paraId="3C7C230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66.1</w:t>
                  </w:r>
                </w:p>
              </w:tc>
              <w:tc>
                <w:tcPr>
                  <w:tcW w:w="271" w:type="pct"/>
                  <w:vAlign w:val="center"/>
                </w:tcPr>
                <w:p w14:paraId="3A10F7D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19.4</w:t>
                  </w:r>
                </w:p>
              </w:tc>
              <w:tc>
                <w:tcPr>
                  <w:tcW w:w="235" w:type="pct"/>
                  <w:vAlign w:val="center"/>
                </w:tcPr>
                <w:p w14:paraId="7240FDF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9.9</w:t>
                  </w:r>
                </w:p>
              </w:tc>
              <w:tc>
                <w:tcPr>
                  <w:tcW w:w="670" w:type="dxa"/>
                  <w:vAlign w:val="center"/>
                </w:tcPr>
                <w:p w14:paraId="741B1B82">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57.6 </w:t>
                  </w:r>
                </w:p>
              </w:tc>
              <w:tc>
                <w:tcPr>
                  <w:tcW w:w="640" w:type="dxa"/>
                  <w:vAlign w:val="center"/>
                </w:tcPr>
                <w:p w14:paraId="15858B6F">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53.4 </w:t>
                  </w:r>
                </w:p>
              </w:tc>
              <w:tc>
                <w:tcPr>
                  <w:tcW w:w="620" w:type="dxa"/>
                  <w:vAlign w:val="center"/>
                </w:tcPr>
                <w:p w14:paraId="773ED9DF">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64.0 </w:t>
                  </w:r>
                </w:p>
              </w:tc>
              <w:tc>
                <w:tcPr>
                  <w:tcW w:w="655" w:type="dxa"/>
                  <w:vAlign w:val="center"/>
                </w:tcPr>
                <w:p w14:paraId="25A18C53">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69.9 </w:t>
                  </w:r>
                </w:p>
              </w:tc>
              <w:tc>
                <w:tcPr>
                  <w:tcW w:w="167" w:type="pct"/>
                  <w:vAlign w:val="center"/>
                </w:tcPr>
                <w:p w14:paraId="11C163EA">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25E6AAD9">
                  <w:pPr>
                    <w:tabs>
                      <w:tab w:val="left" w:pos="389"/>
                    </w:tabs>
                    <w:jc w:val="center"/>
                    <w:rPr>
                      <w:color w:val="000000" w:themeColor="text1"/>
                      <w:szCs w:val="21"/>
                      <w14:textFill>
                        <w14:solidFill>
                          <w14:schemeClr w14:val="tx1"/>
                        </w14:solidFill>
                      </w14:textFill>
                    </w:rPr>
                  </w:pPr>
                </w:p>
              </w:tc>
            </w:tr>
            <w:tr w14:paraId="214C5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shd w:val="clear" w:color="auto" w:fill="auto"/>
                  <w:vAlign w:val="center"/>
                </w:tcPr>
                <w:p w14:paraId="138EC6A5">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156" w:type="pct"/>
                  <w:vMerge w:val="continue"/>
                  <w:vAlign w:val="center"/>
                </w:tcPr>
                <w:p w14:paraId="31D91642">
                  <w:pPr>
                    <w:jc w:val="center"/>
                    <w:rPr>
                      <w:color w:val="000000" w:themeColor="text1"/>
                      <w:szCs w:val="21"/>
                      <w14:textFill>
                        <w14:solidFill>
                          <w14:schemeClr w14:val="tx1"/>
                        </w14:solidFill>
                      </w14:textFill>
                    </w:rPr>
                  </w:pPr>
                </w:p>
              </w:tc>
              <w:tc>
                <w:tcPr>
                  <w:tcW w:w="476" w:type="pct"/>
                  <w:shd w:val="clear" w:color="auto" w:fill="auto"/>
                  <w:vAlign w:val="center"/>
                </w:tcPr>
                <w:p w14:paraId="5EE3FB2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压滤机</w:t>
                  </w:r>
                </w:p>
              </w:tc>
              <w:tc>
                <w:tcPr>
                  <w:tcW w:w="289" w:type="pct"/>
                  <w:shd w:val="clear" w:color="auto" w:fill="auto"/>
                  <w:vAlign w:val="center"/>
                </w:tcPr>
                <w:p w14:paraId="38EB679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80</w:t>
                  </w:r>
                </w:p>
              </w:tc>
              <w:tc>
                <w:tcPr>
                  <w:tcW w:w="188" w:type="pct"/>
                  <w:shd w:val="clear" w:color="auto" w:fill="auto"/>
                  <w:vAlign w:val="center"/>
                </w:tcPr>
                <w:p w14:paraId="286A7F4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381" w:type="pct"/>
                  <w:vMerge w:val="continue"/>
                  <w:vAlign w:val="center"/>
                </w:tcPr>
                <w:p w14:paraId="6C37E02A">
                  <w:pPr>
                    <w:jc w:val="center"/>
                    <w:rPr>
                      <w:color w:val="000000" w:themeColor="text1"/>
                      <w:szCs w:val="21"/>
                      <w14:textFill>
                        <w14:solidFill>
                          <w14:schemeClr w14:val="tx1"/>
                        </w14:solidFill>
                      </w14:textFill>
                    </w:rPr>
                  </w:pPr>
                </w:p>
              </w:tc>
              <w:tc>
                <w:tcPr>
                  <w:tcW w:w="256" w:type="pct"/>
                  <w:vAlign w:val="center"/>
                </w:tcPr>
                <w:p w14:paraId="6021DAE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45.2</w:t>
                  </w:r>
                </w:p>
              </w:tc>
              <w:tc>
                <w:tcPr>
                  <w:tcW w:w="253" w:type="pct"/>
                  <w:vAlign w:val="center"/>
                </w:tcPr>
                <w:p w14:paraId="5649AB8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-41.8</w:t>
                  </w:r>
                </w:p>
              </w:tc>
              <w:tc>
                <w:tcPr>
                  <w:tcW w:w="175" w:type="pct"/>
                  <w:vAlign w:val="center"/>
                </w:tcPr>
                <w:p w14:paraId="633EEDB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680D393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14.8</w:t>
                  </w:r>
                </w:p>
              </w:tc>
              <w:tc>
                <w:tcPr>
                  <w:tcW w:w="215" w:type="pct"/>
                  <w:vAlign w:val="center"/>
                </w:tcPr>
                <w:p w14:paraId="3989BA2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34.2</w:t>
                  </w:r>
                </w:p>
              </w:tc>
              <w:tc>
                <w:tcPr>
                  <w:tcW w:w="271" w:type="pct"/>
                  <w:vAlign w:val="center"/>
                </w:tcPr>
                <w:p w14:paraId="2D1FF4E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45.2</w:t>
                  </w:r>
                </w:p>
              </w:tc>
              <w:tc>
                <w:tcPr>
                  <w:tcW w:w="235" w:type="pct"/>
                  <w:vAlign w:val="center"/>
                </w:tcPr>
                <w:p w14:paraId="4EEFEC5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41.8</w:t>
                  </w:r>
                </w:p>
              </w:tc>
              <w:tc>
                <w:tcPr>
                  <w:tcW w:w="670" w:type="dxa"/>
                  <w:vAlign w:val="center"/>
                </w:tcPr>
                <w:p w14:paraId="6F3BEDCE">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59.6 </w:t>
                  </w:r>
                </w:p>
              </w:tc>
              <w:tc>
                <w:tcPr>
                  <w:tcW w:w="640" w:type="dxa"/>
                  <w:vAlign w:val="center"/>
                </w:tcPr>
                <w:p w14:paraId="7497EC9A">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52.3 </w:t>
                  </w:r>
                </w:p>
              </w:tc>
              <w:tc>
                <w:tcPr>
                  <w:tcW w:w="620" w:type="dxa"/>
                  <w:vAlign w:val="center"/>
                </w:tcPr>
                <w:p w14:paraId="7DE89EDA">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49.9 </w:t>
                  </w:r>
                </w:p>
              </w:tc>
              <w:tc>
                <w:tcPr>
                  <w:tcW w:w="655" w:type="dxa"/>
                  <w:vAlign w:val="center"/>
                </w:tcPr>
                <w:p w14:paraId="053F94B3">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50.6 </w:t>
                  </w:r>
                </w:p>
              </w:tc>
              <w:tc>
                <w:tcPr>
                  <w:tcW w:w="167" w:type="pct"/>
                  <w:vAlign w:val="center"/>
                </w:tcPr>
                <w:p w14:paraId="6D70248B">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3B0022C6">
                  <w:pPr>
                    <w:tabs>
                      <w:tab w:val="left" w:pos="389"/>
                    </w:tabs>
                    <w:jc w:val="center"/>
                    <w:rPr>
                      <w:color w:val="000000" w:themeColor="text1"/>
                      <w:szCs w:val="21"/>
                      <w14:textFill>
                        <w14:solidFill>
                          <w14:schemeClr w14:val="tx1"/>
                        </w14:solidFill>
                      </w14:textFill>
                    </w:rPr>
                  </w:pPr>
                </w:p>
              </w:tc>
            </w:tr>
            <w:tr w14:paraId="5F869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shd w:val="clear" w:color="auto" w:fill="auto"/>
                  <w:vAlign w:val="center"/>
                </w:tcPr>
                <w:p w14:paraId="1E908C9A">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156" w:type="pct"/>
                  <w:vMerge w:val="continue"/>
                  <w:vAlign w:val="center"/>
                </w:tcPr>
                <w:p w14:paraId="21357E04">
                  <w:pPr>
                    <w:jc w:val="center"/>
                    <w:rPr>
                      <w:color w:val="000000" w:themeColor="text1"/>
                      <w:szCs w:val="21"/>
                      <w14:textFill>
                        <w14:solidFill>
                          <w14:schemeClr w14:val="tx1"/>
                        </w14:solidFill>
                      </w14:textFill>
                    </w:rPr>
                  </w:pPr>
                </w:p>
              </w:tc>
              <w:tc>
                <w:tcPr>
                  <w:tcW w:w="476" w:type="pct"/>
                  <w:shd w:val="clear" w:color="auto" w:fill="auto"/>
                  <w:vAlign w:val="center"/>
                </w:tcPr>
                <w:p w14:paraId="5497103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灌装线</w:t>
                  </w:r>
                </w:p>
              </w:tc>
              <w:tc>
                <w:tcPr>
                  <w:tcW w:w="289" w:type="pct"/>
                  <w:shd w:val="clear" w:color="auto" w:fill="auto"/>
                  <w:vAlign w:val="center"/>
                </w:tcPr>
                <w:p w14:paraId="78DB4F7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75</w:t>
                  </w:r>
                </w:p>
              </w:tc>
              <w:tc>
                <w:tcPr>
                  <w:tcW w:w="188" w:type="pct"/>
                  <w:shd w:val="clear" w:color="auto" w:fill="auto"/>
                  <w:vAlign w:val="center"/>
                </w:tcPr>
                <w:p w14:paraId="5A1E255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w:t>
                  </w:r>
                </w:p>
              </w:tc>
              <w:tc>
                <w:tcPr>
                  <w:tcW w:w="381" w:type="pct"/>
                  <w:vMerge w:val="continue"/>
                  <w:vAlign w:val="center"/>
                </w:tcPr>
                <w:p w14:paraId="56A57AD4">
                  <w:pPr>
                    <w:jc w:val="center"/>
                    <w:rPr>
                      <w:color w:val="000000" w:themeColor="text1"/>
                      <w:szCs w:val="21"/>
                      <w14:textFill>
                        <w14:solidFill>
                          <w14:schemeClr w14:val="tx1"/>
                        </w14:solidFill>
                      </w14:textFill>
                    </w:rPr>
                  </w:pPr>
                </w:p>
              </w:tc>
              <w:tc>
                <w:tcPr>
                  <w:tcW w:w="256" w:type="pct"/>
                  <w:vAlign w:val="center"/>
                </w:tcPr>
                <w:p w14:paraId="0EDA689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43.7</w:t>
                  </w:r>
                </w:p>
              </w:tc>
              <w:tc>
                <w:tcPr>
                  <w:tcW w:w="253" w:type="pct"/>
                  <w:vAlign w:val="center"/>
                </w:tcPr>
                <w:p w14:paraId="503C126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-68.5</w:t>
                  </w:r>
                </w:p>
              </w:tc>
              <w:tc>
                <w:tcPr>
                  <w:tcW w:w="175" w:type="pct"/>
                  <w:vAlign w:val="center"/>
                </w:tcPr>
                <w:p w14:paraId="5092CBC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724516A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16.3</w:t>
                  </w:r>
                </w:p>
              </w:tc>
              <w:tc>
                <w:tcPr>
                  <w:tcW w:w="215" w:type="pct"/>
                  <w:vAlign w:val="center"/>
                </w:tcPr>
                <w:p w14:paraId="51C5802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7.5</w:t>
                  </w:r>
                </w:p>
              </w:tc>
              <w:tc>
                <w:tcPr>
                  <w:tcW w:w="271" w:type="pct"/>
                  <w:vAlign w:val="center"/>
                </w:tcPr>
                <w:p w14:paraId="23EE6A2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43.7</w:t>
                  </w:r>
                </w:p>
              </w:tc>
              <w:tc>
                <w:tcPr>
                  <w:tcW w:w="235" w:type="pct"/>
                  <w:vAlign w:val="center"/>
                </w:tcPr>
                <w:p w14:paraId="56B2406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68.5</w:t>
                  </w:r>
                </w:p>
              </w:tc>
              <w:tc>
                <w:tcPr>
                  <w:tcW w:w="670" w:type="dxa"/>
                  <w:vAlign w:val="center"/>
                </w:tcPr>
                <w:p w14:paraId="35281D1F">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59.8 </w:t>
                  </w:r>
                </w:p>
              </w:tc>
              <w:tc>
                <w:tcPr>
                  <w:tcW w:w="640" w:type="dxa"/>
                  <w:vAlign w:val="center"/>
                </w:tcPr>
                <w:p w14:paraId="081EAC28">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66.5 </w:t>
                  </w:r>
                </w:p>
              </w:tc>
              <w:tc>
                <w:tcPr>
                  <w:tcW w:w="620" w:type="dxa"/>
                  <w:vAlign w:val="center"/>
                </w:tcPr>
                <w:p w14:paraId="5B4AE1C1">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51.2 </w:t>
                  </w:r>
                </w:p>
              </w:tc>
              <w:tc>
                <w:tcPr>
                  <w:tcW w:w="655" w:type="dxa"/>
                  <w:vAlign w:val="center"/>
                </w:tcPr>
                <w:p w14:paraId="1D8B9344">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47.3 </w:t>
                  </w:r>
                </w:p>
              </w:tc>
              <w:tc>
                <w:tcPr>
                  <w:tcW w:w="167" w:type="pct"/>
                  <w:vAlign w:val="center"/>
                </w:tcPr>
                <w:p w14:paraId="019221EA">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227693A4">
                  <w:pPr>
                    <w:tabs>
                      <w:tab w:val="left" w:pos="389"/>
                    </w:tabs>
                    <w:jc w:val="center"/>
                    <w:rPr>
                      <w:color w:val="000000" w:themeColor="text1"/>
                      <w:szCs w:val="21"/>
                      <w14:textFill>
                        <w14:solidFill>
                          <w14:schemeClr w14:val="tx1"/>
                        </w14:solidFill>
                      </w14:textFill>
                    </w:rPr>
                  </w:pPr>
                </w:p>
              </w:tc>
            </w:tr>
            <w:tr w14:paraId="2634A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shd w:val="clear" w:color="auto" w:fill="auto"/>
                  <w:vAlign w:val="center"/>
                </w:tcPr>
                <w:p w14:paraId="36EC17BC">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w:t>
                  </w:r>
                </w:p>
              </w:tc>
              <w:tc>
                <w:tcPr>
                  <w:tcW w:w="156" w:type="pct"/>
                  <w:vMerge w:val="continue"/>
                  <w:vAlign w:val="center"/>
                </w:tcPr>
                <w:p w14:paraId="7227FBC6">
                  <w:pPr>
                    <w:jc w:val="center"/>
                    <w:rPr>
                      <w:color w:val="000000" w:themeColor="text1"/>
                      <w:szCs w:val="21"/>
                      <w14:textFill>
                        <w14:solidFill>
                          <w14:schemeClr w14:val="tx1"/>
                        </w14:solidFill>
                      </w14:textFill>
                    </w:rPr>
                  </w:pPr>
                </w:p>
              </w:tc>
              <w:tc>
                <w:tcPr>
                  <w:tcW w:w="476" w:type="pct"/>
                  <w:shd w:val="clear" w:color="auto" w:fill="auto"/>
                  <w:vAlign w:val="center"/>
                </w:tcPr>
                <w:p w14:paraId="2C7A134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激光喷码机</w:t>
                  </w:r>
                </w:p>
              </w:tc>
              <w:tc>
                <w:tcPr>
                  <w:tcW w:w="289" w:type="pct"/>
                  <w:shd w:val="clear" w:color="auto" w:fill="auto"/>
                  <w:vAlign w:val="center"/>
                </w:tcPr>
                <w:p w14:paraId="11E07B8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70</w:t>
                  </w:r>
                </w:p>
              </w:tc>
              <w:tc>
                <w:tcPr>
                  <w:tcW w:w="188" w:type="pct"/>
                  <w:shd w:val="clear" w:color="auto" w:fill="auto"/>
                  <w:vAlign w:val="center"/>
                </w:tcPr>
                <w:p w14:paraId="29A7CAF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381" w:type="pct"/>
                  <w:vMerge w:val="continue"/>
                  <w:vAlign w:val="center"/>
                </w:tcPr>
                <w:p w14:paraId="342883EF">
                  <w:pPr>
                    <w:jc w:val="center"/>
                    <w:rPr>
                      <w:color w:val="000000" w:themeColor="text1"/>
                      <w:szCs w:val="21"/>
                      <w14:textFill>
                        <w14:solidFill>
                          <w14:schemeClr w14:val="tx1"/>
                        </w14:solidFill>
                      </w14:textFill>
                    </w:rPr>
                  </w:pPr>
                </w:p>
              </w:tc>
              <w:tc>
                <w:tcPr>
                  <w:tcW w:w="256" w:type="pct"/>
                  <w:vAlign w:val="center"/>
                </w:tcPr>
                <w:p w14:paraId="548757D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16.7</w:t>
                  </w:r>
                </w:p>
              </w:tc>
              <w:tc>
                <w:tcPr>
                  <w:tcW w:w="253" w:type="pct"/>
                  <w:vAlign w:val="center"/>
                </w:tcPr>
                <w:p w14:paraId="62DDA62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-68.7</w:t>
                  </w:r>
                </w:p>
              </w:tc>
              <w:tc>
                <w:tcPr>
                  <w:tcW w:w="175" w:type="pct"/>
                  <w:vAlign w:val="center"/>
                </w:tcPr>
                <w:p w14:paraId="63DDFF0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79EDAC2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43.3</w:t>
                  </w:r>
                </w:p>
              </w:tc>
              <w:tc>
                <w:tcPr>
                  <w:tcW w:w="215" w:type="pct"/>
                  <w:vAlign w:val="center"/>
                </w:tcPr>
                <w:p w14:paraId="60AE9FC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7.3</w:t>
                  </w:r>
                </w:p>
              </w:tc>
              <w:tc>
                <w:tcPr>
                  <w:tcW w:w="271" w:type="pct"/>
                  <w:vAlign w:val="center"/>
                </w:tcPr>
                <w:p w14:paraId="41F5380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16.7</w:t>
                  </w:r>
                </w:p>
              </w:tc>
              <w:tc>
                <w:tcPr>
                  <w:tcW w:w="235" w:type="pct"/>
                  <w:vAlign w:val="center"/>
                </w:tcPr>
                <w:p w14:paraId="3E873FE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68.7</w:t>
                  </w:r>
                </w:p>
              </w:tc>
              <w:tc>
                <w:tcPr>
                  <w:tcW w:w="670" w:type="dxa"/>
                  <w:vAlign w:val="center"/>
                </w:tcPr>
                <w:p w14:paraId="0AFD7F0A">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43.3 </w:t>
                  </w:r>
                </w:p>
              </w:tc>
              <w:tc>
                <w:tcPr>
                  <w:tcW w:w="640" w:type="dxa"/>
                  <w:vAlign w:val="center"/>
                </w:tcPr>
                <w:p w14:paraId="007AF58D">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58.7 </w:t>
                  </w:r>
                </w:p>
              </w:tc>
              <w:tc>
                <w:tcPr>
                  <w:tcW w:w="620" w:type="dxa"/>
                  <w:vAlign w:val="center"/>
                </w:tcPr>
                <w:p w14:paraId="5621323F">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51.5 </w:t>
                  </w:r>
                </w:p>
              </w:tc>
              <w:tc>
                <w:tcPr>
                  <w:tcW w:w="655" w:type="dxa"/>
                  <w:vAlign w:val="center"/>
                </w:tcPr>
                <w:p w14:paraId="38B69EE7">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39.3 </w:t>
                  </w:r>
                </w:p>
              </w:tc>
              <w:tc>
                <w:tcPr>
                  <w:tcW w:w="167" w:type="pct"/>
                  <w:vAlign w:val="center"/>
                </w:tcPr>
                <w:p w14:paraId="458D665E">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3E3CF2B4">
                  <w:pPr>
                    <w:tabs>
                      <w:tab w:val="left" w:pos="389"/>
                    </w:tabs>
                    <w:jc w:val="center"/>
                    <w:rPr>
                      <w:color w:val="000000" w:themeColor="text1"/>
                      <w:szCs w:val="21"/>
                      <w14:textFill>
                        <w14:solidFill>
                          <w14:schemeClr w14:val="tx1"/>
                        </w14:solidFill>
                      </w14:textFill>
                    </w:rPr>
                  </w:pPr>
                </w:p>
              </w:tc>
            </w:tr>
            <w:tr w14:paraId="070B91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shd w:val="clear" w:color="auto" w:fill="auto"/>
                  <w:vAlign w:val="center"/>
                </w:tcPr>
                <w:p w14:paraId="07435F08">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w:t>
                  </w:r>
                </w:p>
              </w:tc>
              <w:tc>
                <w:tcPr>
                  <w:tcW w:w="156" w:type="pct"/>
                  <w:vMerge w:val="restart"/>
                  <w:vAlign w:val="center"/>
                </w:tcPr>
                <w:p w14:paraId="5DE2916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1#二类器械车间</w:t>
                  </w:r>
                </w:p>
              </w:tc>
              <w:tc>
                <w:tcPr>
                  <w:tcW w:w="476" w:type="pct"/>
                  <w:shd w:val="clear" w:color="auto" w:fill="auto"/>
                  <w:vAlign w:val="center"/>
                </w:tcPr>
                <w:p w14:paraId="7DD4FB0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分切机</w:t>
                  </w:r>
                </w:p>
              </w:tc>
              <w:tc>
                <w:tcPr>
                  <w:tcW w:w="289" w:type="pct"/>
                  <w:shd w:val="clear" w:color="auto" w:fill="auto"/>
                  <w:vAlign w:val="center"/>
                </w:tcPr>
                <w:p w14:paraId="109BA32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75</w:t>
                  </w:r>
                </w:p>
              </w:tc>
              <w:tc>
                <w:tcPr>
                  <w:tcW w:w="188" w:type="pct"/>
                  <w:shd w:val="clear" w:color="auto" w:fill="auto"/>
                  <w:vAlign w:val="center"/>
                </w:tcPr>
                <w:p w14:paraId="5C1E59B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381" w:type="pct"/>
                  <w:vMerge w:val="continue"/>
                  <w:vAlign w:val="center"/>
                </w:tcPr>
                <w:p w14:paraId="2E094175">
                  <w:pPr>
                    <w:jc w:val="center"/>
                    <w:rPr>
                      <w:color w:val="000000" w:themeColor="text1"/>
                      <w:szCs w:val="21"/>
                      <w14:textFill>
                        <w14:solidFill>
                          <w14:schemeClr w14:val="tx1"/>
                        </w14:solidFill>
                      </w14:textFill>
                    </w:rPr>
                  </w:pPr>
                </w:p>
              </w:tc>
              <w:tc>
                <w:tcPr>
                  <w:tcW w:w="256" w:type="pct"/>
                  <w:vAlign w:val="center"/>
                </w:tcPr>
                <w:p w14:paraId="071B22C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36.0</w:t>
                  </w:r>
                </w:p>
              </w:tc>
              <w:tc>
                <w:tcPr>
                  <w:tcW w:w="253" w:type="pct"/>
                  <w:vAlign w:val="center"/>
                </w:tcPr>
                <w:p w14:paraId="15259B1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88.2</w:t>
                  </w:r>
                </w:p>
              </w:tc>
              <w:tc>
                <w:tcPr>
                  <w:tcW w:w="175" w:type="pct"/>
                  <w:vAlign w:val="center"/>
                </w:tcPr>
                <w:p w14:paraId="3CE4F0B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78F70D5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13.2</w:t>
                  </w:r>
                </w:p>
              </w:tc>
              <w:tc>
                <w:tcPr>
                  <w:tcW w:w="215" w:type="pct"/>
                  <w:vAlign w:val="center"/>
                </w:tcPr>
                <w:p w14:paraId="4681E87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5.2</w:t>
                  </w:r>
                </w:p>
              </w:tc>
              <w:tc>
                <w:tcPr>
                  <w:tcW w:w="271" w:type="pct"/>
                  <w:vAlign w:val="center"/>
                </w:tcPr>
                <w:p w14:paraId="254B760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36.8</w:t>
                  </w:r>
                </w:p>
              </w:tc>
              <w:tc>
                <w:tcPr>
                  <w:tcW w:w="235" w:type="pct"/>
                  <w:vAlign w:val="center"/>
                </w:tcPr>
                <w:p w14:paraId="643126A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17.8</w:t>
                  </w:r>
                </w:p>
              </w:tc>
              <w:tc>
                <w:tcPr>
                  <w:tcW w:w="670" w:type="dxa"/>
                  <w:vAlign w:val="center"/>
                </w:tcPr>
                <w:p w14:paraId="78F19BA8">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52.6 </w:t>
                  </w:r>
                </w:p>
              </w:tc>
              <w:tc>
                <w:tcPr>
                  <w:tcW w:w="640" w:type="dxa"/>
                  <w:vAlign w:val="center"/>
                </w:tcPr>
                <w:p w14:paraId="1C6D6DC7">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60.7 </w:t>
                  </w:r>
                </w:p>
              </w:tc>
              <w:tc>
                <w:tcPr>
                  <w:tcW w:w="620" w:type="dxa"/>
                  <w:vAlign w:val="center"/>
                </w:tcPr>
                <w:p w14:paraId="7A9D347A">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43.7 </w:t>
                  </w:r>
                </w:p>
              </w:tc>
              <w:tc>
                <w:tcPr>
                  <w:tcW w:w="655" w:type="dxa"/>
                  <w:vAlign w:val="center"/>
                </w:tcPr>
                <w:p w14:paraId="7FC28D6F">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50.0 </w:t>
                  </w:r>
                </w:p>
              </w:tc>
              <w:tc>
                <w:tcPr>
                  <w:tcW w:w="167" w:type="pct"/>
                  <w:vAlign w:val="center"/>
                </w:tcPr>
                <w:p w14:paraId="162D2F7A">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20E572AE">
                  <w:pPr>
                    <w:tabs>
                      <w:tab w:val="left" w:pos="389"/>
                    </w:tabs>
                    <w:jc w:val="center"/>
                    <w:rPr>
                      <w:color w:val="000000" w:themeColor="text1"/>
                      <w:szCs w:val="21"/>
                      <w14:textFill>
                        <w14:solidFill>
                          <w14:schemeClr w14:val="tx1"/>
                        </w14:solidFill>
                      </w14:textFill>
                    </w:rPr>
                  </w:pPr>
                </w:p>
              </w:tc>
            </w:tr>
            <w:tr w14:paraId="7942F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shd w:val="clear" w:color="auto" w:fill="auto"/>
                  <w:vAlign w:val="center"/>
                </w:tcPr>
                <w:p w14:paraId="7E94B04B">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w:t>
                  </w:r>
                </w:p>
              </w:tc>
              <w:tc>
                <w:tcPr>
                  <w:tcW w:w="156" w:type="pct"/>
                  <w:vMerge w:val="continue"/>
                  <w:vAlign w:val="center"/>
                </w:tcPr>
                <w:p w14:paraId="64EA8A2B">
                  <w:pPr>
                    <w:jc w:val="center"/>
                    <w:rPr>
                      <w:color w:val="000000" w:themeColor="text1"/>
                      <w:szCs w:val="21"/>
                      <w14:textFill>
                        <w14:solidFill>
                          <w14:schemeClr w14:val="tx1"/>
                        </w14:solidFill>
                      </w14:textFill>
                    </w:rPr>
                  </w:pPr>
                </w:p>
              </w:tc>
              <w:tc>
                <w:tcPr>
                  <w:tcW w:w="476" w:type="pct"/>
                  <w:shd w:val="clear" w:color="auto" w:fill="auto"/>
                  <w:vAlign w:val="center"/>
                </w:tcPr>
                <w:p w14:paraId="333BF162">
                  <w:pPr>
                    <w:widowControl/>
                    <w:jc w:val="center"/>
                    <w:textAlignment w:val="bottom"/>
                    <w:rPr>
                      <w:color w:val="000000" w:themeColor="text1"/>
                      <w:szCs w:val="21"/>
                      <w14:textFill>
                        <w14:solidFill>
                          <w14:schemeClr w14:val="tx1"/>
                        </w14:solidFill>
                      </w14:textFill>
                    </w:rPr>
                  </w:pPr>
                  <w:r>
                    <w:rPr>
                      <w:color w:val="000000" w:themeColor="text1"/>
                      <w:szCs w:val="21"/>
                      <w14:textFill>
                        <w14:solidFill>
                          <w14:schemeClr w14:val="tx1"/>
                        </w14:solidFill>
                      </w14:textFill>
                    </w:rPr>
                    <w:t>内包机</w:t>
                  </w:r>
                </w:p>
              </w:tc>
              <w:tc>
                <w:tcPr>
                  <w:tcW w:w="289" w:type="pct"/>
                  <w:shd w:val="clear" w:color="auto" w:fill="auto"/>
                  <w:vAlign w:val="center"/>
                </w:tcPr>
                <w:p w14:paraId="0E6DF0C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80</w:t>
                  </w:r>
                </w:p>
              </w:tc>
              <w:tc>
                <w:tcPr>
                  <w:tcW w:w="188" w:type="pct"/>
                  <w:shd w:val="clear" w:color="auto" w:fill="auto"/>
                  <w:vAlign w:val="center"/>
                </w:tcPr>
                <w:p w14:paraId="19E383D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381" w:type="pct"/>
                  <w:vMerge w:val="continue"/>
                  <w:vAlign w:val="center"/>
                </w:tcPr>
                <w:p w14:paraId="47C76636">
                  <w:pPr>
                    <w:jc w:val="center"/>
                    <w:rPr>
                      <w:color w:val="000000" w:themeColor="text1"/>
                      <w:szCs w:val="21"/>
                      <w14:textFill>
                        <w14:solidFill>
                          <w14:schemeClr w14:val="tx1"/>
                        </w14:solidFill>
                      </w14:textFill>
                    </w:rPr>
                  </w:pPr>
                </w:p>
              </w:tc>
              <w:tc>
                <w:tcPr>
                  <w:tcW w:w="256" w:type="pct"/>
                  <w:vAlign w:val="center"/>
                </w:tcPr>
                <w:p w14:paraId="3EEC6F7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32.9</w:t>
                  </w:r>
                </w:p>
              </w:tc>
              <w:tc>
                <w:tcPr>
                  <w:tcW w:w="253" w:type="pct"/>
                  <w:vAlign w:val="center"/>
                </w:tcPr>
                <w:p w14:paraId="2FE0349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99.4</w:t>
                  </w:r>
                </w:p>
              </w:tc>
              <w:tc>
                <w:tcPr>
                  <w:tcW w:w="175" w:type="pct"/>
                  <w:vAlign w:val="center"/>
                </w:tcPr>
                <w:p w14:paraId="1C66DB6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54B290E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10.1</w:t>
                  </w:r>
                </w:p>
              </w:tc>
              <w:tc>
                <w:tcPr>
                  <w:tcW w:w="215" w:type="pct"/>
                  <w:vAlign w:val="center"/>
                </w:tcPr>
                <w:p w14:paraId="097BE03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16.4</w:t>
                  </w:r>
                </w:p>
              </w:tc>
              <w:tc>
                <w:tcPr>
                  <w:tcW w:w="271" w:type="pct"/>
                  <w:vAlign w:val="center"/>
                </w:tcPr>
                <w:p w14:paraId="29B5B47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39.9</w:t>
                  </w:r>
                </w:p>
              </w:tc>
              <w:tc>
                <w:tcPr>
                  <w:tcW w:w="235" w:type="pct"/>
                  <w:vAlign w:val="center"/>
                </w:tcPr>
                <w:p w14:paraId="4D426C8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6.6</w:t>
                  </w:r>
                </w:p>
              </w:tc>
              <w:tc>
                <w:tcPr>
                  <w:tcW w:w="670" w:type="dxa"/>
                  <w:vAlign w:val="center"/>
                </w:tcPr>
                <w:p w14:paraId="4189CA68">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59.9 </w:t>
                  </w:r>
                </w:p>
              </w:tc>
              <w:tc>
                <w:tcPr>
                  <w:tcW w:w="640" w:type="dxa"/>
                  <w:vAlign w:val="center"/>
                </w:tcPr>
                <w:p w14:paraId="333AF4E6">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55.7 </w:t>
                  </w:r>
                </w:p>
              </w:tc>
              <w:tc>
                <w:tcPr>
                  <w:tcW w:w="620" w:type="dxa"/>
                  <w:vAlign w:val="center"/>
                </w:tcPr>
                <w:p w14:paraId="342793A2">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48.0 </w:t>
                  </w:r>
                </w:p>
              </w:tc>
              <w:tc>
                <w:tcPr>
                  <w:tcW w:w="655" w:type="dxa"/>
                  <w:vAlign w:val="center"/>
                </w:tcPr>
                <w:p w14:paraId="0CC6AEAB">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63.6 </w:t>
                  </w:r>
                </w:p>
              </w:tc>
              <w:tc>
                <w:tcPr>
                  <w:tcW w:w="167" w:type="pct"/>
                  <w:vAlign w:val="center"/>
                </w:tcPr>
                <w:p w14:paraId="610B91DD">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3D47F355">
                  <w:pPr>
                    <w:tabs>
                      <w:tab w:val="left" w:pos="389"/>
                    </w:tabs>
                    <w:jc w:val="center"/>
                    <w:rPr>
                      <w:color w:val="000000" w:themeColor="text1"/>
                      <w:szCs w:val="21"/>
                      <w14:textFill>
                        <w14:solidFill>
                          <w14:schemeClr w14:val="tx1"/>
                        </w14:solidFill>
                      </w14:textFill>
                    </w:rPr>
                  </w:pPr>
                </w:p>
              </w:tc>
            </w:tr>
            <w:tr w14:paraId="4F553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shd w:val="clear" w:color="auto" w:fill="auto"/>
                  <w:vAlign w:val="center"/>
                </w:tcPr>
                <w:p w14:paraId="0EE6EE77">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156" w:type="pct"/>
                  <w:vMerge w:val="continue"/>
                  <w:vAlign w:val="center"/>
                </w:tcPr>
                <w:p w14:paraId="487C03A2">
                  <w:pPr>
                    <w:jc w:val="center"/>
                    <w:rPr>
                      <w:color w:val="000000" w:themeColor="text1"/>
                      <w:szCs w:val="21"/>
                      <w14:textFill>
                        <w14:solidFill>
                          <w14:schemeClr w14:val="tx1"/>
                        </w14:solidFill>
                      </w14:textFill>
                    </w:rPr>
                  </w:pPr>
                </w:p>
              </w:tc>
              <w:tc>
                <w:tcPr>
                  <w:tcW w:w="476" w:type="pct"/>
                  <w:shd w:val="clear" w:color="auto" w:fill="auto"/>
                  <w:vAlign w:val="center"/>
                </w:tcPr>
                <w:p w14:paraId="59089D9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连续封口机</w:t>
                  </w:r>
                </w:p>
              </w:tc>
              <w:tc>
                <w:tcPr>
                  <w:tcW w:w="289" w:type="pct"/>
                  <w:shd w:val="clear" w:color="auto" w:fill="auto"/>
                  <w:vAlign w:val="center"/>
                </w:tcPr>
                <w:p w14:paraId="31E2245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80</w:t>
                  </w:r>
                </w:p>
              </w:tc>
              <w:tc>
                <w:tcPr>
                  <w:tcW w:w="188" w:type="pct"/>
                  <w:shd w:val="clear" w:color="auto" w:fill="auto"/>
                  <w:vAlign w:val="center"/>
                </w:tcPr>
                <w:p w14:paraId="3A47A2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381" w:type="pct"/>
                  <w:vMerge w:val="continue"/>
                  <w:vAlign w:val="center"/>
                </w:tcPr>
                <w:p w14:paraId="0C627005">
                  <w:pPr>
                    <w:jc w:val="center"/>
                    <w:rPr>
                      <w:color w:val="000000" w:themeColor="text1"/>
                      <w:szCs w:val="21"/>
                      <w14:textFill>
                        <w14:solidFill>
                          <w14:schemeClr w14:val="tx1"/>
                        </w14:solidFill>
                      </w14:textFill>
                    </w:rPr>
                  </w:pPr>
                </w:p>
              </w:tc>
              <w:tc>
                <w:tcPr>
                  <w:tcW w:w="256" w:type="pct"/>
                  <w:vAlign w:val="center"/>
                </w:tcPr>
                <w:p w14:paraId="0AE07E1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58.2</w:t>
                  </w:r>
                </w:p>
              </w:tc>
              <w:tc>
                <w:tcPr>
                  <w:tcW w:w="253" w:type="pct"/>
                  <w:vAlign w:val="center"/>
                </w:tcPr>
                <w:p w14:paraId="6A448D8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87.4</w:t>
                  </w:r>
                </w:p>
              </w:tc>
              <w:tc>
                <w:tcPr>
                  <w:tcW w:w="175" w:type="pct"/>
                  <w:vAlign w:val="center"/>
                </w:tcPr>
                <w:p w14:paraId="2E6F5F6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5567974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35.2</w:t>
                  </w:r>
                </w:p>
              </w:tc>
              <w:tc>
                <w:tcPr>
                  <w:tcW w:w="215" w:type="pct"/>
                  <w:vAlign w:val="center"/>
                </w:tcPr>
                <w:p w14:paraId="136A529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4.4</w:t>
                  </w:r>
                </w:p>
              </w:tc>
              <w:tc>
                <w:tcPr>
                  <w:tcW w:w="271" w:type="pct"/>
                  <w:vAlign w:val="center"/>
                </w:tcPr>
                <w:p w14:paraId="42084AC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14.8</w:t>
                  </w:r>
                </w:p>
              </w:tc>
              <w:tc>
                <w:tcPr>
                  <w:tcW w:w="235" w:type="pct"/>
                  <w:vAlign w:val="center"/>
                </w:tcPr>
                <w:p w14:paraId="4C30B37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18.6</w:t>
                  </w:r>
                </w:p>
              </w:tc>
              <w:tc>
                <w:tcPr>
                  <w:tcW w:w="670" w:type="dxa"/>
                  <w:vAlign w:val="center"/>
                </w:tcPr>
                <w:p w14:paraId="42D5B99B">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56.9 </w:t>
                  </w:r>
                </w:p>
              </w:tc>
              <w:tc>
                <w:tcPr>
                  <w:tcW w:w="640" w:type="dxa"/>
                  <w:vAlign w:val="center"/>
                </w:tcPr>
                <w:p w14:paraId="2968BEC4">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74.9 </w:t>
                  </w:r>
                </w:p>
              </w:tc>
              <w:tc>
                <w:tcPr>
                  <w:tcW w:w="620" w:type="dxa"/>
                  <w:vAlign w:val="center"/>
                </w:tcPr>
                <w:p w14:paraId="074141A2">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64.4 </w:t>
                  </w:r>
                </w:p>
              </w:tc>
              <w:tc>
                <w:tcPr>
                  <w:tcW w:w="655" w:type="dxa"/>
                  <w:vAlign w:val="center"/>
                </w:tcPr>
                <w:p w14:paraId="173B2F20">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62.4 </w:t>
                  </w:r>
                </w:p>
              </w:tc>
              <w:tc>
                <w:tcPr>
                  <w:tcW w:w="167" w:type="pct"/>
                  <w:vAlign w:val="center"/>
                </w:tcPr>
                <w:p w14:paraId="55189FFC">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1C792495">
                  <w:pPr>
                    <w:tabs>
                      <w:tab w:val="left" w:pos="389"/>
                    </w:tabs>
                    <w:jc w:val="center"/>
                    <w:rPr>
                      <w:color w:val="000000" w:themeColor="text1"/>
                      <w:szCs w:val="21"/>
                      <w14:textFill>
                        <w14:solidFill>
                          <w14:schemeClr w14:val="tx1"/>
                        </w14:solidFill>
                      </w14:textFill>
                    </w:rPr>
                  </w:pPr>
                </w:p>
              </w:tc>
            </w:tr>
            <w:tr w14:paraId="2F968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shd w:val="clear" w:color="auto" w:fill="auto"/>
                  <w:vAlign w:val="center"/>
                </w:tcPr>
                <w:p w14:paraId="26580D27">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11</w:t>
                  </w:r>
                </w:p>
              </w:tc>
              <w:tc>
                <w:tcPr>
                  <w:tcW w:w="156" w:type="pct"/>
                  <w:vMerge w:val="continue"/>
                  <w:vAlign w:val="center"/>
                </w:tcPr>
                <w:p w14:paraId="20860674">
                  <w:pPr>
                    <w:jc w:val="center"/>
                    <w:rPr>
                      <w:color w:val="000000" w:themeColor="text1"/>
                      <w:szCs w:val="21"/>
                      <w14:textFill>
                        <w14:solidFill>
                          <w14:schemeClr w14:val="tx1"/>
                        </w14:solidFill>
                      </w14:textFill>
                    </w:rPr>
                  </w:pPr>
                </w:p>
              </w:tc>
              <w:tc>
                <w:tcPr>
                  <w:tcW w:w="476" w:type="pct"/>
                  <w:shd w:val="clear" w:color="auto" w:fill="auto"/>
                  <w:vAlign w:val="center"/>
                </w:tcPr>
                <w:p w14:paraId="55E0065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乳化机组</w:t>
                  </w:r>
                </w:p>
              </w:tc>
              <w:tc>
                <w:tcPr>
                  <w:tcW w:w="289" w:type="pct"/>
                  <w:shd w:val="clear" w:color="auto" w:fill="auto"/>
                  <w:vAlign w:val="center"/>
                </w:tcPr>
                <w:p w14:paraId="3867F83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75</w:t>
                  </w:r>
                </w:p>
              </w:tc>
              <w:tc>
                <w:tcPr>
                  <w:tcW w:w="188" w:type="pct"/>
                  <w:shd w:val="clear" w:color="auto" w:fill="auto"/>
                  <w:vAlign w:val="center"/>
                </w:tcPr>
                <w:p w14:paraId="5EFDB05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381" w:type="pct"/>
                  <w:vMerge w:val="continue"/>
                  <w:vAlign w:val="center"/>
                </w:tcPr>
                <w:p w14:paraId="7949F7EF">
                  <w:pPr>
                    <w:jc w:val="center"/>
                    <w:rPr>
                      <w:color w:val="000000" w:themeColor="text1"/>
                      <w:szCs w:val="21"/>
                      <w14:textFill>
                        <w14:solidFill>
                          <w14:schemeClr w14:val="tx1"/>
                        </w14:solidFill>
                      </w14:textFill>
                    </w:rPr>
                  </w:pPr>
                </w:p>
              </w:tc>
              <w:tc>
                <w:tcPr>
                  <w:tcW w:w="256" w:type="pct"/>
                  <w:vAlign w:val="center"/>
                </w:tcPr>
                <w:p w14:paraId="0996FCD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36.2</w:t>
                  </w:r>
                </w:p>
              </w:tc>
              <w:tc>
                <w:tcPr>
                  <w:tcW w:w="253" w:type="pct"/>
                  <w:vAlign w:val="center"/>
                </w:tcPr>
                <w:p w14:paraId="5B84C99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89.1</w:t>
                  </w:r>
                </w:p>
              </w:tc>
              <w:tc>
                <w:tcPr>
                  <w:tcW w:w="175" w:type="pct"/>
                  <w:vAlign w:val="center"/>
                </w:tcPr>
                <w:p w14:paraId="22D0170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72B5CA2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13.2</w:t>
                  </w:r>
                </w:p>
              </w:tc>
              <w:tc>
                <w:tcPr>
                  <w:tcW w:w="215" w:type="pct"/>
                  <w:vAlign w:val="center"/>
                </w:tcPr>
                <w:p w14:paraId="3798EE3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6.1</w:t>
                  </w:r>
                </w:p>
              </w:tc>
              <w:tc>
                <w:tcPr>
                  <w:tcW w:w="271" w:type="pct"/>
                  <w:vAlign w:val="center"/>
                </w:tcPr>
                <w:p w14:paraId="3A66E6D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36.8</w:t>
                  </w:r>
                </w:p>
              </w:tc>
              <w:tc>
                <w:tcPr>
                  <w:tcW w:w="235" w:type="pct"/>
                  <w:vAlign w:val="center"/>
                </w:tcPr>
                <w:p w14:paraId="49DA2E0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16.9</w:t>
                  </w:r>
                </w:p>
              </w:tc>
              <w:tc>
                <w:tcPr>
                  <w:tcW w:w="670" w:type="dxa"/>
                  <w:vAlign w:val="center"/>
                </w:tcPr>
                <w:p w14:paraId="31A879A7">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52.6 </w:t>
                  </w:r>
                </w:p>
              </w:tc>
              <w:tc>
                <w:tcPr>
                  <w:tcW w:w="640" w:type="dxa"/>
                  <w:vAlign w:val="center"/>
                </w:tcPr>
                <w:p w14:paraId="4FFFB793">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59.3 </w:t>
                  </w:r>
                </w:p>
              </w:tc>
              <w:tc>
                <w:tcPr>
                  <w:tcW w:w="620" w:type="dxa"/>
                  <w:vAlign w:val="center"/>
                </w:tcPr>
                <w:p w14:paraId="308DB267">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43.7 </w:t>
                  </w:r>
                </w:p>
              </w:tc>
              <w:tc>
                <w:tcPr>
                  <w:tcW w:w="655" w:type="dxa"/>
                  <w:vAlign w:val="center"/>
                </w:tcPr>
                <w:p w14:paraId="29DBC51B">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50.4 </w:t>
                  </w:r>
                </w:p>
              </w:tc>
              <w:tc>
                <w:tcPr>
                  <w:tcW w:w="167" w:type="pct"/>
                  <w:vAlign w:val="center"/>
                </w:tcPr>
                <w:p w14:paraId="034C4557">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31729CAC">
                  <w:pPr>
                    <w:tabs>
                      <w:tab w:val="left" w:pos="389"/>
                    </w:tabs>
                    <w:jc w:val="center"/>
                    <w:rPr>
                      <w:color w:val="000000" w:themeColor="text1"/>
                      <w:szCs w:val="21"/>
                      <w14:textFill>
                        <w14:solidFill>
                          <w14:schemeClr w14:val="tx1"/>
                        </w14:solidFill>
                      </w14:textFill>
                    </w:rPr>
                  </w:pPr>
                </w:p>
              </w:tc>
            </w:tr>
            <w:tr w14:paraId="671C9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shd w:val="clear" w:color="auto" w:fill="auto"/>
                  <w:vAlign w:val="center"/>
                </w:tcPr>
                <w:p w14:paraId="2652AC18">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12</w:t>
                  </w:r>
                </w:p>
              </w:tc>
              <w:tc>
                <w:tcPr>
                  <w:tcW w:w="156" w:type="pct"/>
                  <w:vMerge w:val="continue"/>
                  <w:vAlign w:val="center"/>
                </w:tcPr>
                <w:p w14:paraId="7C868C36">
                  <w:pPr>
                    <w:jc w:val="center"/>
                    <w:rPr>
                      <w:color w:val="000000" w:themeColor="text1"/>
                      <w:szCs w:val="21"/>
                      <w14:textFill>
                        <w14:solidFill>
                          <w14:schemeClr w14:val="tx1"/>
                        </w14:solidFill>
                      </w14:textFill>
                    </w:rPr>
                  </w:pPr>
                </w:p>
              </w:tc>
              <w:tc>
                <w:tcPr>
                  <w:tcW w:w="476" w:type="pct"/>
                  <w:shd w:val="clear" w:color="auto" w:fill="auto"/>
                  <w:vAlign w:val="center"/>
                </w:tcPr>
                <w:p w14:paraId="5C47487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灌装机</w:t>
                  </w:r>
                </w:p>
              </w:tc>
              <w:tc>
                <w:tcPr>
                  <w:tcW w:w="289" w:type="pct"/>
                  <w:shd w:val="clear" w:color="auto" w:fill="auto"/>
                  <w:vAlign w:val="center"/>
                </w:tcPr>
                <w:p w14:paraId="2B6A9CC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75</w:t>
                  </w:r>
                </w:p>
              </w:tc>
              <w:tc>
                <w:tcPr>
                  <w:tcW w:w="188" w:type="pct"/>
                  <w:shd w:val="clear" w:color="auto" w:fill="auto"/>
                  <w:vAlign w:val="center"/>
                </w:tcPr>
                <w:p w14:paraId="0F91A1C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381" w:type="pct"/>
                  <w:vMerge w:val="continue"/>
                  <w:vAlign w:val="center"/>
                </w:tcPr>
                <w:p w14:paraId="6F5EBBA6">
                  <w:pPr>
                    <w:jc w:val="center"/>
                    <w:rPr>
                      <w:color w:val="000000" w:themeColor="text1"/>
                      <w:szCs w:val="21"/>
                      <w14:textFill>
                        <w14:solidFill>
                          <w14:schemeClr w14:val="tx1"/>
                        </w14:solidFill>
                      </w14:textFill>
                    </w:rPr>
                  </w:pPr>
                </w:p>
              </w:tc>
              <w:tc>
                <w:tcPr>
                  <w:tcW w:w="256" w:type="pct"/>
                  <w:vAlign w:val="center"/>
                </w:tcPr>
                <w:p w14:paraId="294F9B3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43.6</w:t>
                  </w:r>
                </w:p>
              </w:tc>
              <w:tc>
                <w:tcPr>
                  <w:tcW w:w="253" w:type="pct"/>
                  <w:vAlign w:val="center"/>
                </w:tcPr>
                <w:p w14:paraId="5D2681B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92.4</w:t>
                  </w:r>
                </w:p>
              </w:tc>
              <w:tc>
                <w:tcPr>
                  <w:tcW w:w="175" w:type="pct"/>
                  <w:vAlign w:val="center"/>
                </w:tcPr>
                <w:p w14:paraId="060A477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729A893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20.8</w:t>
                  </w:r>
                </w:p>
              </w:tc>
              <w:tc>
                <w:tcPr>
                  <w:tcW w:w="215" w:type="pct"/>
                  <w:vAlign w:val="center"/>
                </w:tcPr>
                <w:p w14:paraId="0601EB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9.4</w:t>
                  </w:r>
                </w:p>
              </w:tc>
              <w:tc>
                <w:tcPr>
                  <w:tcW w:w="271" w:type="pct"/>
                  <w:vAlign w:val="center"/>
                </w:tcPr>
                <w:p w14:paraId="703E312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29.2</w:t>
                  </w:r>
                </w:p>
              </w:tc>
              <w:tc>
                <w:tcPr>
                  <w:tcW w:w="235" w:type="pct"/>
                  <w:vAlign w:val="center"/>
                </w:tcPr>
                <w:p w14:paraId="763F12B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13.6</w:t>
                  </w:r>
                </w:p>
              </w:tc>
              <w:tc>
                <w:tcPr>
                  <w:tcW w:w="670" w:type="dxa"/>
                  <w:vAlign w:val="center"/>
                </w:tcPr>
                <w:p w14:paraId="24187A67">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48.6 </w:t>
                  </w:r>
                </w:p>
              </w:tc>
              <w:tc>
                <w:tcPr>
                  <w:tcW w:w="640" w:type="dxa"/>
                  <w:vAlign w:val="center"/>
                </w:tcPr>
                <w:p w14:paraId="4E7F75B8">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55.5 </w:t>
                  </w:r>
                </w:p>
              </w:tc>
              <w:tc>
                <w:tcPr>
                  <w:tcW w:w="620" w:type="dxa"/>
                  <w:vAlign w:val="center"/>
                </w:tcPr>
                <w:p w14:paraId="1C68E0C9">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45.7 </w:t>
                  </w:r>
                </w:p>
              </w:tc>
              <w:tc>
                <w:tcPr>
                  <w:tcW w:w="655" w:type="dxa"/>
                  <w:vAlign w:val="center"/>
                </w:tcPr>
                <w:p w14:paraId="53D1CCEC">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 xml:space="preserve">52.3 </w:t>
                  </w:r>
                </w:p>
              </w:tc>
              <w:tc>
                <w:tcPr>
                  <w:tcW w:w="167" w:type="pct"/>
                  <w:vAlign w:val="center"/>
                </w:tcPr>
                <w:p w14:paraId="6D1E3167">
                  <w:pPr>
                    <w:widowControl/>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5CD4898D">
                  <w:pPr>
                    <w:tabs>
                      <w:tab w:val="left" w:pos="389"/>
                    </w:tabs>
                    <w:jc w:val="center"/>
                    <w:rPr>
                      <w:color w:val="000000" w:themeColor="text1"/>
                      <w:szCs w:val="21"/>
                      <w14:textFill>
                        <w14:solidFill>
                          <w14:schemeClr w14:val="tx1"/>
                        </w14:solidFill>
                      </w14:textFill>
                    </w:rPr>
                  </w:pPr>
                </w:p>
              </w:tc>
            </w:tr>
            <w:tr w14:paraId="5770C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shd w:val="clear" w:color="auto" w:fill="auto"/>
                  <w:vAlign w:val="center"/>
                </w:tcPr>
                <w:p w14:paraId="037186E6">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13</w:t>
                  </w:r>
                </w:p>
              </w:tc>
              <w:tc>
                <w:tcPr>
                  <w:tcW w:w="156" w:type="pct"/>
                  <w:vMerge w:val="restart"/>
                  <w:shd w:val="clear" w:color="auto" w:fill="auto"/>
                  <w:vAlign w:val="center"/>
                </w:tcPr>
                <w:p w14:paraId="4CD460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2#二类器械车间</w:t>
                  </w:r>
                </w:p>
              </w:tc>
              <w:tc>
                <w:tcPr>
                  <w:tcW w:w="476" w:type="pct"/>
                  <w:shd w:val="clear" w:color="auto" w:fill="auto"/>
                  <w:vAlign w:val="center"/>
                </w:tcPr>
                <w:p w14:paraId="2AAD5BE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混合搅拌机</w:t>
                  </w:r>
                </w:p>
              </w:tc>
              <w:tc>
                <w:tcPr>
                  <w:tcW w:w="289" w:type="pct"/>
                  <w:shd w:val="clear" w:color="auto" w:fill="auto"/>
                  <w:vAlign w:val="center"/>
                </w:tcPr>
                <w:p w14:paraId="57E07EFA">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85</w:t>
                  </w:r>
                </w:p>
              </w:tc>
              <w:tc>
                <w:tcPr>
                  <w:tcW w:w="188" w:type="pct"/>
                  <w:shd w:val="clear" w:color="auto" w:fill="auto"/>
                  <w:vAlign w:val="center"/>
                </w:tcPr>
                <w:p w14:paraId="4734C0F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381" w:type="pct"/>
                  <w:vMerge w:val="continue"/>
                  <w:vAlign w:val="center"/>
                </w:tcPr>
                <w:p w14:paraId="45CB9D4E">
                  <w:pPr>
                    <w:jc w:val="center"/>
                    <w:rPr>
                      <w:color w:val="000000" w:themeColor="text1"/>
                      <w:szCs w:val="21"/>
                      <w14:textFill>
                        <w14:solidFill>
                          <w14:schemeClr w14:val="tx1"/>
                        </w14:solidFill>
                      </w14:textFill>
                    </w:rPr>
                  </w:pPr>
                </w:p>
              </w:tc>
              <w:tc>
                <w:tcPr>
                  <w:tcW w:w="256" w:type="pct"/>
                  <w:vAlign w:val="center"/>
                </w:tcPr>
                <w:p w14:paraId="25E1FBB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-32.6</w:t>
                  </w:r>
                </w:p>
              </w:tc>
              <w:tc>
                <w:tcPr>
                  <w:tcW w:w="253" w:type="pct"/>
                  <w:vAlign w:val="center"/>
                </w:tcPr>
                <w:p w14:paraId="3D926BB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58.9</w:t>
                  </w:r>
                </w:p>
              </w:tc>
              <w:tc>
                <w:tcPr>
                  <w:tcW w:w="175" w:type="pct"/>
                  <w:vAlign w:val="center"/>
                </w:tcPr>
                <w:p w14:paraId="2A8F124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021D403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9.6</w:t>
                  </w:r>
                </w:p>
              </w:tc>
              <w:tc>
                <w:tcPr>
                  <w:tcW w:w="215" w:type="pct"/>
                  <w:vAlign w:val="center"/>
                </w:tcPr>
                <w:p w14:paraId="4639A69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8.9</w:t>
                  </w:r>
                </w:p>
              </w:tc>
              <w:tc>
                <w:tcPr>
                  <w:tcW w:w="271" w:type="pct"/>
                  <w:vAlign w:val="center"/>
                </w:tcPr>
                <w:p w14:paraId="263C315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40.4</w:t>
                  </w:r>
                </w:p>
              </w:tc>
              <w:tc>
                <w:tcPr>
                  <w:tcW w:w="235" w:type="pct"/>
                  <w:vAlign w:val="center"/>
                </w:tcPr>
                <w:p w14:paraId="544A596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9.1</w:t>
                  </w:r>
                </w:p>
              </w:tc>
              <w:tc>
                <w:tcPr>
                  <w:tcW w:w="670" w:type="dxa"/>
                  <w:vAlign w:val="center"/>
                </w:tcPr>
                <w:p w14:paraId="7294E677">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65.4 </w:t>
                  </w:r>
                </w:p>
              </w:tc>
              <w:tc>
                <w:tcPr>
                  <w:tcW w:w="640" w:type="dxa"/>
                  <w:vAlign w:val="center"/>
                </w:tcPr>
                <w:p w14:paraId="6C16D462">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66.0 </w:t>
                  </w:r>
                </w:p>
              </w:tc>
              <w:tc>
                <w:tcPr>
                  <w:tcW w:w="620" w:type="dxa"/>
                  <w:vAlign w:val="center"/>
                </w:tcPr>
                <w:p w14:paraId="63D0D8C6">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52.9 </w:t>
                  </w:r>
                </w:p>
              </w:tc>
              <w:tc>
                <w:tcPr>
                  <w:tcW w:w="655" w:type="dxa"/>
                  <w:vAlign w:val="center"/>
                </w:tcPr>
                <w:p w14:paraId="4AB031EC">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65.8 </w:t>
                  </w:r>
                </w:p>
              </w:tc>
              <w:tc>
                <w:tcPr>
                  <w:tcW w:w="167" w:type="pct"/>
                  <w:vAlign w:val="center"/>
                </w:tcPr>
                <w:p w14:paraId="1CD7D46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50F0B7BC">
                  <w:pPr>
                    <w:jc w:val="center"/>
                    <w:rPr>
                      <w:color w:val="000000" w:themeColor="text1"/>
                      <w:szCs w:val="21"/>
                      <w14:textFill>
                        <w14:solidFill>
                          <w14:schemeClr w14:val="tx1"/>
                        </w14:solidFill>
                      </w14:textFill>
                    </w:rPr>
                  </w:pPr>
                </w:p>
              </w:tc>
            </w:tr>
            <w:tr w14:paraId="73A9E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shd w:val="clear" w:color="auto" w:fill="auto"/>
                  <w:vAlign w:val="center"/>
                </w:tcPr>
                <w:p w14:paraId="74F71F7E">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14</w:t>
                  </w:r>
                </w:p>
              </w:tc>
              <w:tc>
                <w:tcPr>
                  <w:tcW w:w="156" w:type="pct"/>
                  <w:vMerge w:val="continue"/>
                  <w:vAlign w:val="center"/>
                </w:tcPr>
                <w:p w14:paraId="3B30C77F">
                  <w:pPr>
                    <w:jc w:val="center"/>
                    <w:rPr>
                      <w:color w:val="000000" w:themeColor="text1"/>
                      <w:szCs w:val="21"/>
                      <w14:textFill>
                        <w14:solidFill>
                          <w14:schemeClr w14:val="tx1"/>
                        </w14:solidFill>
                      </w14:textFill>
                    </w:rPr>
                  </w:pPr>
                </w:p>
              </w:tc>
              <w:tc>
                <w:tcPr>
                  <w:tcW w:w="476" w:type="pct"/>
                  <w:shd w:val="clear" w:color="auto" w:fill="auto"/>
                  <w:vAlign w:val="center"/>
                </w:tcPr>
                <w:p w14:paraId="031A5A1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内包机</w:t>
                  </w:r>
                </w:p>
              </w:tc>
              <w:tc>
                <w:tcPr>
                  <w:tcW w:w="289" w:type="pct"/>
                  <w:shd w:val="clear" w:color="auto" w:fill="auto"/>
                  <w:vAlign w:val="center"/>
                </w:tcPr>
                <w:p w14:paraId="724527BC">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80</w:t>
                  </w:r>
                </w:p>
              </w:tc>
              <w:tc>
                <w:tcPr>
                  <w:tcW w:w="188" w:type="pct"/>
                  <w:shd w:val="clear" w:color="auto" w:fill="auto"/>
                  <w:vAlign w:val="center"/>
                </w:tcPr>
                <w:p w14:paraId="1F35D7D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381" w:type="pct"/>
                  <w:vMerge w:val="continue"/>
                  <w:vAlign w:val="center"/>
                </w:tcPr>
                <w:p w14:paraId="39058EE5">
                  <w:pPr>
                    <w:jc w:val="center"/>
                    <w:rPr>
                      <w:color w:val="000000" w:themeColor="text1"/>
                      <w:szCs w:val="21"/>
                      <w14:textFill>
                        <w14:solidFill>
                          <w14:schemeClr w14:val="tx1"/>
                        </w14:solidFill>
                      </w14:textFill>
                    </w:rPr>
                  </w:pPr>
                </w:p>
              </w:tc>
              <w:tc>
                <w:tcPr>
                  <w:tcW w:w="256" w:type="pct"/>
                  <w:vAlign w:val="center"/>
                </w:tcPr>
                <w:p w14:paraId="35372A2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-44.2</w:t>
                  </w:r>
                </w:p>
              </w:tc>
              <w:tc>
                <w:tcPr>
                  <w:tcW w:w="253" w:type="pct"/>
                  <w:vAlign w:val="center"/>
                </w:tcPr>
                <w:p w14:paraId="39A21CD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59.8</w:t>
                  </w:r>
                </w:p>
              </w:tc>
              <w:tc>
                <w:tcPr>
                  <w:tcW w:w="175" w:type="pct"/>
                  <w:vAlign w:val="center"/>
                </w:tcPr>
                <w:p w14:paraId="3745EC9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00464DA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21.2</w:t>
                  </w:r>
                </w:p>
              </w:tc>
              <w:tc>
                <w:tcPr>
                  <w:tcW w:w="215" w:type="pct"/>
                  <w:vAlign w:val="center"/>
                </w:tcPr>
                <w:p w14:paraId="384A3C0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9.8</w:t>
                  </w:r>
                </w:p>
              </w:tc>
              <w:tc>
                <w:tcPr>
                  <w:tcW w:w="271" w:type="pct"/>
                  <w:vAlign w:val="center"/>
                </w:tcPr>
                <w:p w14:paraId="47B5A6D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28.8</w:t>
                  </w:r>
                </w:p>
              </w:tc>
              <w:tc>
                <w:tcPr>
                  <w:tcW w:w="235" w:type="pct"/>
                  <w:vAlign w:val="center"/>
                </w:tcPr>
                <w:p w14:paraId="3F25C5C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8.2</w:t>
                  </w:r>
                </w:p>
              </w:tc>
              <w:tc>
                <w:tcPr>
                  <w:tcW w:w="670" w:type="dxa"/>
                  <w:vAlign w:val="center"/>
                </w:tcPr>
                <w:p w14:paraId="20B464EE">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53.5 </w:t>
                  </w:r>
                </w:p>
              </w:tc>
              <w:tc>
                <w:tcPr>
                  <w:tcW w:w="640" w:type="dxa"/>
                  <w:vAlign w:val="center"/>
                </w:tcPr>
                <w:p w14:paraId="62144FF3">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60.2 </w:t>
                  </w:r>
                </w:p>
              </w:tc>
              <w:tc>
                <w:tcPr>
                  <w:tcW w:w="620" w:type="dxa"/>
                  <w:vAlign w:val="center"/>
                </w:tcPr>
                <w:p w14:paraId="662A7F92">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50.8 </w:t>
                  </w:r>
                </w:p>
              </w:tc>
              <w:tc>
                <w:tcPr>
                  <w:tcW w:w="655" w:type="dxa"/>
                  <w:vAlign w:val="center"/>
                </w:tcPr>
                <w:p w14:paraId="151006EC">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61.7 </w:t>
                  </w:r>
                </w:p>
              </w:tc>
              <w:tc>
                <w:tcPr>
                  <w:tcW w:w="167" w:type="pct"/>
                  <w:vAlign w:val="center"/>
                </w:tcPr>
                <w:p w14:paraId="45DBAE3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7D88B58A">
                  <w:pPr>
                    <w:jc w:val="center"/>
                    <w:rPr>
                      <w:color w:val="000000" w:themeColor="text1"/>
                      <w:szCs w:val="21"/>
                      <w14:textFill>
                        <w14:solidFill>
                          <w14:schemeClr w14:val="tx1"/>
                        </w14:solidFill>
                      </w14:textFill>
                    </w:rPr>
                  </w:pPr>
                </w:p>
              </w:tc>
            </w:tr>
            <w:tr w14:paraId="5D263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56" w:type="pct"/>
                  <w:vAlign w:val="center"/>
                </w:tcPr>
                <w:p w14:paraId="789F746F">
                  <w:pPr>
                    <w:widowControl/>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15</w:t>
                  </w:r>
                </w:p>
              </w:tc>
              <w:tc>
                <w:tcPr>
                  <w:tcW w:w="156" w:type="pct"/>
                  <w:vMerge w:val="continue"/>
                  <w:vAlign w:val="center"/>
                </w:tcPr>
                <w:p w14:paraId="4D9FDA9F">
                  <w:pPr>
                    <w:jc w:val="center"/>
                    <w:rPr>
                      <w:color w:val="000000" w:themeColor="text1"/>
                      <w:szCs w:val="21"/>
                      <w14:textFill>
                        <w14:solidFill>
                          <w14:schemeClr w14:val="tx1"/>
                        </w14:solidFill>
                      </w14:textFill>
                    </w:rPr>
                  </w:pPr>
                </w:p>
              </w:tc>
              <w:tc>
                <w:tcPr>
                  <w:tcW w:w="476" w:type="pct"/>
                  <w:shd w:val="clear" w:color="auto" w:fill="auto"/>
                  <w:vAlign w:val="center"/>
                </w:tcPr>
                <w:p w14:paraId="35CBF54E">
                  <w:pPr>
                    <w:jc w:val="center"/>
                    <w:rPr>
                      <w:color w:val="000000" w:themeColor="text1"/>
                      <w:szCs w:val="21"/>
                      <w:lang w:val="zh-CN"/>
                      <w14:textFill>
                        <w14:solidFill>
                          <w14:schemeClr w14:val="tx1"/>
                        </w14:solidFill>
                      </w14:textFill>
                    </w:rPr>
                  </w:pPr>
                  <w:r>
                    <w:rPr>
                      <w:color w:val="000000" w:themeColor="text1"/>
                      <w:szCs w:val="21"/>
                      <w14:textFill>
                        <w14:solidFill>
                          <w14:schemeClr w14:val="tx1"/>
                        </w14:solidFill>
                      </w14:textFill>
                    </w:rPr>
                    <w:t>连续封口机</w:t>
                  </w:r>
                </w:p>
              </w:tc>
              <w:tc>
                <w:tcPr>
                  <w:tcW w:w="289" w:type="pct"/>
                  <w:shd w:val="clear" w:color="auto" w:fill="auto"/>
                  <w:vAlign w:val="center"/>
                </w:tcPr>
                <w:p w14:paraId="754A35F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80</w:t>
                  </w:r>
                </w:p>
              </w:tc>
              <w:tc>
                <w:tcPr>
                  <w:tcW w:w="188" w:type="pct"/>
                  <w:shd w:val="clear" w:color="auto" w:fill="auto"/>
                  <w:vAlign w:val="center"/>
                </w:tcPr>
                <w:p w14:paraId="1600E3B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w:t>
                  </w:r>
                </w:p>
              </w:tc>
              <w:tc>
                <w:tcPr>
                  <w:tcW w:w="381" w:type="pct"/>
                  <w:vMerge w:val="continue"/>
                  <w:vAlign w:val="center"/>
                </w:tcPr>
                <w:p w14:paraId="208D5C4F">
                  <w:pPr>
                    <w:jc w:val="center"/>
                    <w:rPr>
                      <w:color w:val="000000" w:themeColor="text1"/>
                      <w:szCs w:val="21"/>
                      <w14:textFill>
                        <w14:solidFill>
                          <w14:schemeClr w14:val="tx1"/>
                        </w14:solidFill>
                      </w14:textFill>
                    </w:rPr>
                  </w:pPr>
                </w:p>
              </w:tc>
              <w:tc>
                <w:tcPr>
                  <w:tcW w:w="256" w:type="pct"/>
                  <w:vAlign w:val="center"/>
                </w:tcPr>
                <w:p w14:paraId="7902E6C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-61.1</w:t>
                  </w:r>
                </w:p>
              </w:tc>
              <w:tc>
                <w:tcPr>
                  <w:tcW w:w="253" w:type="pct"/>
                  <w:vAlign w:val="center"/>
                </w:tcPr>
                <w:p w14:paraId="734AAD1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55.1</w:t>
                  </w:r>
                </w:p>
              </w:tc>
              <w:tc>
                <w:tcPr>
                  <w:tcW w:w="175" w:type="pct"/>
                  <w:vAlign w:val="center"/>
                </w:tcPr>
                <w:p w14:paraId="64D3755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223</w:t>
                  </w:r>
                </w:p>
              </w:tc>
              <w:tc>
                <w:tcPr>
                  <w:tcW w:w="263" w:type="pct"/>
                  <w:vAlign w:val="center"/>
                </w:tcPr>
                <w:p w14:paraId="4AFDEA6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38.1</w:t>
                  </w:r>
                </w:p>
              </w:tc>
              <w:tc>
                <w:tcPr>
                  <w:tcW w:w="215" w:type="pct"/>
                  <w:vAlign w:val="center"/>
                </w:tcPr>
                <w:p w14:paraId="547C3E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5.1</w:t>
                  </w:r>
                </w:p>
              </w:tc>
              <w:tc>
                <w:tcPr>
                  <w:tcW w:w="271" w:type="pct"/>
                  <w:vAlign w:val="center"/>
                </w:tcPr>
                <w:p w14:paraId="52FD839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11.9</w:t>
                  </w:r>
                </w:p>
              </w:tc>
              <w:tc>
                <w:tcPr>
                  <w:tcW w:w="235" w:type="pct"/>
                  <w:vAlign w:val="center"/>
                </w:tcPr>
                <w:p w14:paraId="73B37AC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12.9</w:t>
                  </w:r>
                </w:p>
              </w:tc>
              <w:tc>
                <w:tcPr>
                  <w:tcW w:w="670" w:type="dxa"/>
                  <w:vAlign w:val="center"/>
                </w:tcPr>
                <w:p w14:paraId="320FC008">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57.4 </w:t>
                  </w:r>
                </w:p>
              </w:tc>
              <w:tc>
                <w:tcPr>
                  <w:tcW w:w="640" w:type="dxa"/>
                  <w:vAlign w:val="center"/>
                </w:tcPr>
                <w:p w14:paraId="7692A2A9">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74.8 </w:t>
                  </w:r>
                </w:p>
              </w:tc>
              <w:tc>
                <w:tcPr>
                  <w:tcW w:w="620" w:type="dxa"/>
                  <w:vAlign w:val="center"/>
                </w:tcPr>
                <w:p w14:paraId="1CE398BC">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67.5 </w:t>
                  </w:r>
                </w:p>
              </w:tc>
              <w:tc>
                <w:tcPr>
                  <w:tcW w:w="655" w:type="dxa"/>
                  <w:vAlign w:val="center"/>
                </w:tcPr>
                <w:p w14:paraId="7409EA9E">
                  <w:pPr>
                    <w:widowControl/>
                    <w:jc w:val="center"/>
                    <w:textAlignment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66.8 </w:t>
                  </w:r>
                </w:p>
              </w:tc>
              <w:tc>
                <w:tcPr>
                  <w:tcW w:w="167" w:type="pct"/>
                  <w:vAlign w:val="center"/>
                </w:tcPr>
                <w:p w14:paraId="02ED399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c>
                <w:tcPr>
                  <w:tcW w:w="559" w:type="pct"/>
                  <w:vMerge w:val="continue"/>
                  <w:vAlign w:val="center"/>
                </w:tcPr>
                <w:p w14:paraId="4C698C45">
                  <w:pPr>
                    <w:jc w:val="center"/>
                    <w:rPr>
                      <w:color w:val="000000" w:themeColor="text1"/>
                      <w:szCs w:val="21"/>
                      <w14:textFill>
                        <w14:solidFill>
                          <w14:schemeClr w14:val="tx1"/>
                        </w14:solidFill>
                      </w14:textFill>
                    </w:rPr>
                  </w:pPr>
                </w:p>
              </w:tc>
            </w:tr>
            <w:tr w14:paraId="023E4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000" w:type="pct"/>
                  <w:gridSpan w:val="19"/>
                  <w:vAlign w:val="center"/>
                </w:tcPr>
                <w:p w14:paraId="444F6449">
                  <w:pPr>
                    <w:rPr>
                      <w:color w:val="000000" w:themeColor="text1"/>
                      <w:szCs w:val="21"/>
                      <w14:textFill>
                        <w14:solidFill>
                          <w14:schemeClr w14:val="tx1"/>
                        </w14:solidFill>
                      </w14:textFill>
                    </w:rPr>
                  </w:pPr>
                  <w:r>
                    <w:rPr>
                      <w:color w:val="000000" w:themeColor="text1"/>
                      <w:szCs w:val="21"/>
                      <w14:textFill>
                        <w14:solidFill>
                          <w14:schemeClr w14:val="tx1"/>
                        </w14:solidFill>
                      </w14:textFill>
                    </w:rPr>
                    <w:t>注：以综合车间西北角为（0，0）点，正东为X轴正方向，正北为Y轴正方向</w:t>
                  </w:r>
                </w:p>
              </w:tc>
            </w:tr>
          </w:tbl>
          <w:p w14:paraId="1FF0679A">
            <w:pPr>
              <w:widowControl/>
              <w:spacing w:line="360" w:lineRule="auto"/>
              <w:jc w:val="center"/>
              <w:rPr>
                <w:b/>
                <w:bCs/>
                <w:color w:val="000000" w:themeColor="text1"/>
                <w:sz w:val="24"/>
                <w14:textFill>
                  <w14:solidFill>
                    <w14:schemeClr w14:val="tx1"/>
                  </w14:solidFill>
                </w14:textFill>
              </w:rPr>
            </w:pPr>
            <w:r>
              <w:rPr>
                <w:b/>
                <w:bCs/>
                <w:color w:val="000000" w:themeColor="text1"/>
                <w:kern w:val="0"/>
                <w:sz w:val="24"/>
                <w14:textFill>
                  <w14:solidFill>
                    <w14:schemeClr w14:val="tx1"/>
                  </w14:solidFill>
                </w14:textFill>
              </w:rPr>
              <w:t>表</w:t>
            </w:r>
            <w:r>
              <w:rPr>
                <w:rFonts w:hint="eastAsia"/>
                <w:b/>
                <w:bCs/>
                <w:color w:val="000000" w:themeColor="text1"/>
                <w:kern w:val="0"/>
                <w:sz w:val="24"/>
                <w14:textFill>
                  <w14:solidFill>
                    <w14:schemeClr w14:val="tx1"/>
                  </w14:solidFill>
                </w14:textFill>
              </w:rPr>
              <w:t xml:space="preserve">4-17  </w:t>
            </w:r>
            <w:r>
              <w:rPr>
                <w:b/>
                <w:bCs/>
                <w:color w:val="000000" w:themeColor="text1"/>
                <w:kern w:val="0"/>
                <w:sz w:val="24"/>
                <w14:textFill>
                  <w14:solidFill>
                    <w14:schemeClr w14:val="tx1"/>
                  </w14:solidFill>
                </w14:textFill>
              </w:rPr>
              <w:t>车间边界噪声源强一览表</w:t>
            </w:r>
          </w:p>
          <w:tbl>
            <w:tblPr>
              <w:tblStyle w:val="2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7"/>
              <w:gridCol w:w="2698"/>
              <w:gridCol w:w="2698"/>
              <w:gridCol w:w="2701"/>
              <w:gridCol w:w="2706"/>
            </w:tblGrid>
            <w:tr w14:paraId="447DA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Merge w:val="restart"/>
                  <w:vAlign w:val="center"/>
                </w:tcPr>
                <w:p w14:paraId="289B0121">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面源</w:t>
                  </w:r>
                </w:p>
              </w:tc>
              <w:tc>
                <w:tcPr>
                  <w:tcW w:w="4000" w:type="pct"/>
                  <w:gridSpan w:val="4"/>
                  <w:vAlign w:val="center"/>
                </w:tcPr>
                <w:p w14:paraId="01ED9F92">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车间边界声压级dB（A）</w:t>
                  </w:r>
                </w:p>
              </w:tc>
            </w:tr>
            <w:tr w14:paraId="17C11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Merge w:val="continue"/>
                  <w:vAlign w:val="center"/>
                </w:tcPr>
                <w:p w14:paraId="2D444593">
                  <w:pPr>
                    <w:pStyle w:val="24"/>
                    <w:ind w:firstLine="0" w:firstLineChars="0"/>
                    <w:jc w:val="center"/>
                    <w:rPr>
                      <w:rFonts w:ascii="Times New Roman" w:hAnsi="Times New Roman"/>
                      <w:color w:val="000000" w:themeColor="text1"/>
                      <w:szCs w:val="21"/>
                      <w14:textFill>
                        <w14:solidFill>
                          <w14:schemeClr w14:val="tx1"/>
                        </w14:solidFill>
                      </w14:textFill>
                    </w:rPr>
                  </w:pPr>
                </w:p>
              </w:tc>
              <w:tc>
                <w:tcPr>
                  <w:tcW w:w="999" w:type="pct"/>
                  <w:vAlign w:val="center"/>
                </w:tcPr>
                <w:p w14:paraId="38DAFDA9">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车间东边界</w:t>
                  </w:r>
                </w:p>
              </w:tc>
              <w:tc>
                <w:tcPr>
                  <w:tcW w:w="999" w:type="pct"/>
                  <w:vAlign w:val="center"/>
                </w:tcPr>
                <w:p w14:paraId="7701B962">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车间</w:t>
                  </w:r>
                  <w:r>
                    <w:rPr>
                      <w:rFonts w:hint="eastAsia" w:ascii="Times New Roman" w:hAnsi="Times New Roman"/>
                      <w:color w:val="000000" w:themeColor="text1"/>
                      <w:szCs w:val="21"/>
                      <w14:textFill>
                        <w14:solidFill>
                          <w14:schemeClr w14:val="tx1"/>
                        </w14:solidFill>
                      </w14:textFill>
                    </w:rPr>
                    <w:t>南</w:t>
                  </w:r>
                  <w:r>
                    <w:rPr>
                      <w:rFonts w:ascii="Times New Roman" w:hAnsi="Times New Roman"/>
                      <w:color w:val="000000" w:themeColor="text1"/>
                      <w:szCs w:val="21"/>
                      <w14:textFill>
                        <w14:solidFill>
                          <w14:schemeClr w14:val="tx1"/>
                        </w14:solidFill>
                      </w14:textFill>
                    </w:rPr>
                    <w:t>边界</w:t>
                  </w:r>
                </w:p>
              </w:tc>
              <w:tc>
                <w:tcPr>
                  <w:tcW w:w="1000" w:type="pct"/>
                  <w:vAlign w:val="center"/>
                </w:tcPr>
                <w:p w14:paraId="2CA181EE">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车间</w:t>
                  </w:r>
                  <w:r>
                    <w:rPr>
                      <w:rFonts w:hint="eastAsia" w:ascii="Times New Roman" w:hAnsi="Times New Roman"/>
                      <w:color w:val="000000" w:themeColor="text1"/>
                      <w:szCs w:val="21"/>
                      <w14:textFill>
                        <w14:solidFill>
                          <w14:schemeClr w14:val="tx1"/>
                        </w14:solidFill>
                      </w14:textFill>
                    </w:rPr>
                    <w:t>西</w:t>
                  </w:r>
                  <w:r>
                    <w:rPr>
                      <w:rFonts w:ascii="Times New Roman" w:hAnsi="Times New Roman"/>
                      <w:color w:val="000000" w:themeColor="text1"/>
                      <w:szCs w:val="21"/>
                      <w14:textFill>
                        <w14:solidFill>
                          <w14:schemeClr w14:val="tx1"/>
                        </w14:solidFill>
                      </w14:textFill>
                    </w:rPr>
                    <w:t>边界</w:t>
                  </w:r>
                </w:p>
              </w:tc>
              <w:tc>
                <w:tcPr>
                  <w:tcW w:w="1001" w:type="pct"/>
                  <w:vAlign w:val="center"/>
                </w:tcPr>
                <w:p w14:paraId="461CAD79">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车间</w:t>
                  </w:r>
                  <w:r>
                    <w:rPr>
                      <w:rFonts w:hint="eastAsia" w:ascii="Times New Roman" w:hAnsi="Times New Roman"/>
                      <w:color w:val="000000" w:themeColor="text1"/>
                      <w:szCs w:val="21"/>
                      <w14:textFill>
                        <w14:solidFill>
                          <w14:schemeClr w14:val="tx1"/>
                        </w14:solidFill>
                      </w14:textFill>
                    </w:rPr>
                    <w:t>北</w:t>
                  </w:r>
                  <w:r>
                    <w:rPr>
                      <w:rFonts w:ascii="Times New Roman" w:hAnsi="Times New Roman"/>
                      <w:color w:val="000000" w:themeColor="text1"/>
                      <w:szCs w:val="21"/>
                      <w14:textFill>
                        <w14:solidFill>
                          <w14:schemeClr w14:val="tx1"/>
                        </w14:solidFill>
                      </w14:textFill>
                    </w:rPr>
                    <w:t>边界</w:t>
                  </w:r>
                </w:p>
              </w:tc>
            </w:tr>
            <w:tr w14:paraId="7D9F6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Align w:val="center"/>
                </w:tcPr>
                <w:p w14:paraId="5B046DFD">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黄酒车间</w:t>
                  </w:r>
                </w:p>
              </w:tc>
              <w:tc>
                <w:tcPr>
                  <w:tcW w:w="999" w:type="pct"/>
                  <w:shd w:val="clear" w:color="auto" w:fill="auto"/>
                  <w:vAlign w:val="center"/>
                </w:tcPr>
                <w:p w14:paraId="3C966AB5">
                  <w:pPr>
                    <w:widowControl/>
                    <w:jc w:val="center"/>
                    <w:textAlignment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58.1</w:t>
                  </w:r>
                </w:p>
              </w:tc>
              <w:tc>
                <w:tcPr>
                  <w:tcW w:w="999" w:type="pct"/>
                  <w:shd w:val="clear" w:color="auto" w:fill="auto"/>
                  <w:vAlign w:val="center"/>
                </w:tcPr>
                <w:p w14:paraId="4283F418">
                  <w:pPr>
                    <w:widowControl/>
                    <w:jc w:val="center"/>
                    <w:textAlignment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61.7</w:t>
                  </w:r>
                </w:p>
              </w:tc>
              <w:tc>
                <w:tcPr>
                  <w:tcW w:w="1000" w:type="pct"/>
                  <w:shd w:val="clear" w:color="auto" w:fill="auto"/>
                  <w:vAlign w:val="center"/>
                </w:tcPr>
                <w:p w14:paraId="504EA8DC">
                  <w:pPr>
                    <w:widowControl/>
                    <w:jc w:val="center"/>
                    <w:textAlignment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52.4</w:t>
                  </w:r>
                </w:p>
              </w:tc>
              <w:tc>
                <w:tcPr>
                  <w:tcW w:w="1001" w:type="pct"/>
                  <w:shd w:val="clear" w:color="auto" w:fill="auto"/>
                  <w:vAlign w:val="center"/>
                </w:tcPr>
                <w:p w14:paraId="13E38AC7">
                  <w:pPr>
                    <w:widowControl/>
                    <w:jc w:val="center"/>
                    <w:textAlignment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69.3</w:t>
                  </w:r>
                </w:p>
              </w:tc>
            </w:tr>
            <w:tr w14:paraId="64D25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Align w:val="center"/>
                </w:tcPr>
                <w:p w14:paraId="74E2EAFC">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综合车间</w:t>
                  </w:r>
                </w:p>
              </w:tc>
              <w:tc>
                <w:tcPr>
                  <w:tcW w:w="999" w:type="pct"/>
                  <w:vAlign w:val="center"/>
                </w:tcPr>
                <w:p w14:paraId="641A4E2E">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63.9</w:t>
                  </w:r>
                </w:p>
              </w:tc>
              <w:tc>
                <w:tcPr>
                  <w:tcW w:w="999" w:type="pct"/>
                  <w:vAlign w:val="center"/>
                </w:tcPr>
                <w:p w14:paraId="003518F6">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67.5</w:t>
                  </w:r>
                </w:p>
              </w:tc>
              <w:tc>
                <w:tcPr>
                  <w:tcW w:w="1000" w:type="pct"/>
                  <w:vAlign w:val="center"/>
                </w:tcPr>
                <w:p w14:paraId="4B57F215">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64.6</w:t>
                  </w:r>
                </w:p>
              </w:tc>
              <w:tc>
                <w:tcPr>
                  <w:tcW w:w="1001" w:type="pct"/>
                  <w:vAlign w:val="center"/>
                </w:tcPr>
                <w:p w14:paraId="75DDB466">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70.0</w:t>
                  </w:r>
                </w:p>
              </w:tc>
            </w:tr>
            <w:tr w14:paraId="2E43E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Align w:val="center"/>
                </w:tcPr>
                <w:p w14:paraId="3011FBF8">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w:t>
                  </w:r>
                  <w:r>
                    <w:rPr>
                      <w:rFonts w:ascii="Times New Roman" w:hAnsi="Times New Roman"/>
                      <w:color w:val="000000" w:themeColor="text1"/>
                      <w:szCs w:val="21"/>
                      <w14:textFill>
                        <w14:solidFill>
                          <w14:schemeClr w14:val="tx1"/>
                        </w14:solidFill>
                      </w14:textFill>
                    </w:rPr>
                    <w:t>#二类器械车间</w:t>
                  </w:r>
                </w:p>
              </w:tc>
              <w:tc>
                <w:tcPr>
                  <w:tcW w:w="999" w:type="pct"/>
                  <w:vAlign w:val="center"/>
                </w:tcPr>
                <w:p w14:paraId="17210B6B">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62.8</w:t>
                  </w:r>
                </w:p>
              </w:tc>
              <w:tc>
                <w:tcPr>
                  <w:tcW w:w="999" w:type="pct"/>
                  <w:vAlign w:val="center"/>
                </w:tcPr>
                <w:p w14:paraId="27567AAF">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75.3</w:t>
                  </w:r>
                </w:p>
              </w:tc>
              <w:tc>
                <w:tcPr>
                  <w:tcW w:w="1000" w:type="pct"/>
                  <w:vAlign w:val="center"/>
                </w:tcPr>
                <w:p w14:paraId="5566876C">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64.6</w:t>
                  </w:r>
                </w:p>
              </w:tc>
              <w:tc>
                <w:tcPr>
                  <w:tcW w:w="1001" w:type="pct"/>
                  <w:vAlign w:val="center"/>
                </w:tcPr>
                <w:p w14:paraId="550915DB">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66.</w:t>
                  </w:r>
                </w:p>
              </w:tc>
            </w:tr>
            <w:tr w14:paraId="66481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Align w:val="center"/>
                </w:tcPr>
                <w:p w14:paraId="50FDA3C6">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2#二类器械车间</w:t>
                  </w:r>
                </w:p>
              </w:tc>
              <w:tc>
                <w:tcPr>
                  <w:tcW w:w="999" w:type="pct"/>
                  <w:vAlign w:val="center"/>
                </w:tcPr>
                <w:p w14:paraId="42BB07F5">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66.3</w:t>
                  </w:r>
                </w:p>
              </w:tc>
              <w:tc>
                <w:tcPr>
                  <w:tcW w:w="999" w:type="pct"/>
                  <w:vAlign w:val="center"/>
                </w:tcPr>
                <w:p w14:paraId="4E0964DA">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75.5</w:t>
                  </w:r>
                </w:p>
              </w:tc>
              <w:tc>
                <w:tcPr>
                  <w:tcW w:w="1000" w:type="pct"/>
                  <w:vAlign w:val="center"/>
                </w:tcPr>
                <w:p w14:paraId="3AA0A33A">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67.7</w:t>
                  </w:r>
                </w:p>
              </w:tc>
              <w:tc>
                <w:tcPr>
                  <w:tcW w:w="1001" w:type="pct"/>
                  <w:vAlign w:val="center"/>
                </w:tcPr>
                <w:p w14:paraId="0FCEAF77">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70.0</w:t>
                  </w:r>
                </w:p>
              </w:tc>
            </w:tr>
          </w:tbl>
          <w:p w14:paraId="3AC2AA59">
            <w:pPr>
              <w:widowControl/>
              <w:spacing w:line="360" w:lineRule="auto"/>
              <w:jc w:val="center"/>
              <w:rPr>
                <w:b/>
                <w:bCs/>
                <w:color w:val="000000" w:themeColor="text1"/>
                <w:kern w:val="0"/>
                <w:sz w:val="24"/>
                <w14:textFill>
                  <w14:solidFill>
                    <w14:schemeClr w14:val="tx1"/>
                  </w14:solidFill>
                </w14:textFill>
              </w:rPr>
            </w:pPr>
            <w:r>
              <w:rPr>
                <w:b/>
                <w:bCs/>
                <w:color w:val="000000" w:themeColor="text1"/>
                <w:kern w:val="0"/>
                <w:sz w:val="24"/>
                <w14:textFill>
                  <w14:solidFill>
                    <w14:schemeClr w14:val="tx1"/>
                  </w14:solidFill>
                </w14:textFill>
              </w:rPr>
              <w:t>表</w:t>
            </w:r>
            <w:r>
              <w:rPr>
                <w:rFonts w:hint="eastAsia"/>
                <w:b/>
                <w:bCs/>
                <w:color w:val="000000" w:themeColor="text1"/>
                <w:kern w:val="0"/>
                <w:sz w:val="24"/>
                <w14:textFill>
                  <w14:solidFill>
                    <w14:schemeClr w14:val="tx1"/>
                  </w14:solidFill>
                </w14:textFill>
              </w:rPr>
              <w:t>4-18  噪声源强调查清单（室外声源）</w:t>
            </w:r>
          </w:p>
          <w:tbl>
            <w:tblPr>
              <w:tblStyle w:val="54"/>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37"/>
              <w:gridCol w:w="2579"/>
              <w:gridCol w:w="892"/>
              <w:gridCol w:w="695"/>
              <w:gridCol w:w="527"/>
              <w:gridCol w:w="4098"/>
              <w:gridCol w:w="1503"/>
              <w:gridCol w:w="1287"/>
              <w:gridCol w:w="1287"/>
            </w:tblGrid>
            <w:tr w14:paraId="2FA049D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6" w:type="pct"/>
                  <w:vMerge w:val="restart"/>
                  <w:tcBorders>
                    <w:bottom w:val="nil"/>
                  </w:tcBorders>
                  <w:vAlign w:val="center"/>
                </w:tcPr>
                <w:p w14:paraId="5C0092CB">
                  <w:pPr>
                    <w:pStyle w:val="4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序号</w:t>
                  </w:r>
                </w:p>
              </w:tc>
              <w:tc>
                <w:tcPr>
                  <w:tcW w:w="954" w:type="pct"/>
                  <w:vMerge w:val="restart"/>
                  <w:tcBorders>
                    <w:bottom w:val="nil"/>
                  </w:tcBorders>
                  <w:vAlign w:val="center"/>
                </w:tcPr>
                <w:p w14:paraId="5C7689F3">
                  <w:pPr>
                    <w:pStyle w:val="4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3"/>
                      <w14:textFill>
                        <w14:solidFill>
                          <w14:schemeClr w14:val="tx1"/>
                        </w14:solidFill>
                      </w14:textFill>
                    </w:rPr>
                    <w:t>声源名称</w:t>
                  </w:r>
                </w:p>
              </w:tc>
              <w:tc>
                <w:tcPr>
                  <w:tcW w:w="782" w:type="pct"/>
                  <w:gridSpan w:val="3"/>
                  <w:vAlign w:val="center"/>
                </w:tcPr>
                <w:p w14:paraId="39B87CA7">
                  <w:pPr>
                    <w:pStyle w:val="4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空间相对位置/m</w:t>
                  </w:r>
                </w:p>
              </w:tc>
              <w:tc>
                <w:tcPr>
                  <w:tcW w:w="1516" w:type="pct"/>
                  <w:vAlign w:val="center"/>
                </w:tcPr>
                <w:p w14:paraId="272F237F">
                  <w:pPr>
                    <w:pStyle w:val="4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3"/>
                      <w14:textFill>
                        <w14:solidFill>
                          <w14:schemeClr w14:val="tx1"/>
                        </w14:solidFill>
                      </w14:textFill>
                    </w:rPr>
                    <w:t>声源源强</w:t>
                  </w:r>
                </w:p>
              </w:tc>
              <w:tc>
                <w:tcPr>
                  <w:tcW w:w="556" w:type="pct"/>
                  <w:vMerge w:val="restart"/>
                  <w:tcBorders>
                    <w:bottom w:val="nil"/>
                  </w:tcBorders>
                  <w:vAlign w:val="center"/>
                </w:tcPr>
                <w:p w14:paraId="290D921B">
                  <w:pPr>
                    <w:pStyle w:val="4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声源控制措施</w:t>
                  </w:r>
                </w:p>
              </w:tc>
              <w:tc>
                <w:tcPr>
                  <w:tcW w:w="476" w:type="pct"/>
                  <w:vMerge w:val="restart"/>
                  <w:vAlign w:val="center"/>
                </w:tcPr>
                <w:p w14:paraId="3364E1BA">
                  <w:pPr>
                    <w:jc w:val="center"/>
                    <w:rPr>
                      <w:color w:val="000000" w:themeColor="text1"/>
                      <w:spacing w:val="-2"/>
                      <w:szCs w:val="21"/>
                      <w14:textFill>
                        <w14:solidFill>
                          <w14:schemeClr w14:val="tx1"/>
                        </w14:solidFill>
                      </w14:textFill>
                    </w:rPr>
                  </w:pPr>
                  <w:r>
                    <w:rPr>
                      <w:color w:val="000000" w:themeColor="text1"/>
                      <w:spacing w:val="-3"/>
                      <w:szCs w:val="21"/>
                      <w14:textFill>
                        <w14:solidFill>
                          <w14:schemeClr w14:val="tx1"/>
                        </w14:solidFill>
                      </w14:textFill>
                    </w:rPr>
                    <w:t>建筑物</w:t>
                  </w:r>
                  <w:r>
                    <w:rPr>
                      <w:color w:val="000000" w:themeColor="text1"/>
                      <w:szCs w:val="21"/>
                      <w14:textFill>
                        <w14:solidFill>
                          <w14:schemeClr w14:val="tx1"/>
                        </w14:solidFill>
                      </w14:textFill>
                    </w:rPr>
                    <w:t xml:space="preserve"> </w:t>
                  </w:r>
                  <w:r>
                    <w:rPr>
                      <w:color w:val="000000" w:themeColor="text1"/>
                      <w:spacing w:val="-2"/>
                      <w:szCs w:val="21"/>
                      <w14:textFill>
                        <w14:solidFill>
                          <w14:schemeClr w14:val="tx1"/>
                        </w14:solidFill>
                      </w14:textFill>
                    </w:rPr>
                    <w:t>插入损</w:t>
                  </w:r>
                  <w:r>
                    <w:rPr>
                      <w:color w:val="000000" w:themeColor="text1"/>
                      <w:spacing w:val="1"/>
                      <w:szCs w:val="21"/>
                      <w14:textFill>
                        <w14:solidFill>
                          <w14:schemeClr w14:val="tx1"/>
                        </w14:solidFill>
                      </w14:textFill>
                    </w:rPr>
                    <w:t xml:space="preserve"> </w:t>
                  </w:r>
                  <w:r>
                    <w:rPr>
                      <w:color w:val="000000" w:themeColor="text1"/>
                      <w:spacing w:val="50"/>
                      <w:szCs w:val="21"/>
                      <w14:textFill>
                        <w14:solidFill>
                          <w14:schemeClr w14:val="tx1"/>
                        </w14:solidFill>
                      </w14:textFill>
                    </w:rPr>
                    <w:t>失</w:t>
                  </w:r>
                  <w:r>
                    <w:rPr>
                      <w:color w:val="000000" w:themeColor="text1"/>
                      <w:spacing w:val="-46"/>
                      <w:szCs w:val="21"/>
                      <w14:textFill>
                        <w14:solidFill>
                          <w14:schemeClr w14:val="tx1"/>
                        </w14:solidFill>
                      </w14:textFill>
                    </w:rPr>
                    <w:t xml:space="preserve"> </w:t>
                  </w:r>
                  <w:r>
                    <w:rPr>
                      <w:color w:val="000000" w:themeColor="text1"/>
                      <w:szCs w:val="21"/>
                      <w14:textFill>
                        <w14:solidFill>
                          <w14:schemeClr w14:val="tx1"/>
                        </w14:solidFill>
                      </w14:textFill>
                    </w:rPr>
                    <w:t xml:space="preserve">dB  </w:t>
                  </w:r>
                  <w:r>
                    <w:rPr>
                      <w:color w:val="000000" w:themeColor="text1"/>
                      <w:spacing w:val="8"/>
                      <w:szCs w:val="21"/>
                      <w14:textFill>
                        <w14:solidFill>
                          <w14:schemeClr w14:val="tx1"/>
                        </w14:solidFill>
                      </w14:textFill>
                    </w:rPr>
                    <w:t>（A）</w:t>
                  </w:r>
                </w:p>
              </w:tc>
              <w:tc>
                <w:tcPr>
                  <w:tcW w:w="476" w:type="pct"/>
                  <w:vMerge w:val="restart"/>
                  <w:tcBorders>
                    <w:bottom w:val="nil"/>
                  </w:tcBorders>
                  <w:vAlign w:val="center"/>
                </w:tcPr>
                <w:p w14:paraId="274D75F0">
                  <w:pPr>
                    <w:pStyle w:val="40"/>
                    <w:jc w:val="center"/>
                    <w:rPr>
                      <w:rFonts w:ascii="Times New Roman" w:hAnsi="Times New Roman" w:cs="Times New Roman"/>
                      <w:color w:val="000000" w:themeColor="text1"/>
                      <w14:textFill>
                        <w14:solidFill>
                          <w14:schemeClr w14:val="tx1"/>
                        </w14:solidFill>
                      </w14:textFill>
                    </w:rPr>
                  </w:pPr>
                  <w:r>
                    <w:rPr>
                      <w:rFonts w:ascii="Times New Roman" w:hAnsi="Times New Roman" w:cs="Times New Roman"/>
                      <w:color w:val="000000" w:themeColor="text1"/>
                      <w:spacing w:val="-2"/>
                      <w14:textFill>
                        <w14:solidFill>
                          <w14:schemeClr w14:val="tx1"/>
                        </w14:solidFill>
                      </w14:textFill>
                    </w:rPr>
                    <w:t>运行时段</w:t>
                  </w:r>
                </w:p>
              </w:tc>
            </w:tr>
            <w:tr w14:paraId="28D149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6" w:type="pct"/>
                  <w:vMerge w:val="continue"/>
                  <w:tcBorders>
                    <w:top w:val="nil"/>
                  </w:tcBorders>
                  <w:vAlign w:val="center"/>
                </w:tcPr>
                <w:p w14:paraId="179946F2">
                  <w:pPr>
                    <w:jc w:val="center"/>
                    <w:rPr>
                      <w:color w:val="000000" w:themeColor="text1"/>
                      <w:szCs w:val="21"/>
                      <w14:textFill>
                        <w14:solidFill>
                          <w14:schemeClr w14:val="tx1"/>
                        </w14:solidFill>
                      </w14:textFill>
                    </w:rPr>
                  </w:pPr>
                </w:p>
              </w:tc>
              <w:tc>
                <w:tcPr>
                  <w:tcW w:w="954" w:type="pct"/>
                  <w:vMerge w:val="continue"/>
                  <w:tcBorders>
                    <w:top w:val="nil"/>
                  </w:tcBorders>
                  <w:vAlign w:val="center"/>
                </w:tcPr>
                <w:p w14:paraId="11C15BE2">
                  <w:pPr>
                    <w:jc w:val="center"/>
                    <w:rPr>
                      <w:color w:val="000000" w:themeColor="text1"/>
                      <w:szCs w:val="21"/>
                      <w14:textFill>
                        <w14:solidFill>
                          <w14:schemeClr w14:val="tx1"/>
                        </w14:solidFill>
                      </w14:textFill>
                    </w:rPr>
                  </w:pPr>
                </w:p>
              </w:tc>
              <w:tc>
                <w:tcPr>
                  <w:tcW w:w="330" w:type="pct"/>
                  <w:vAlign w:val="center"/>
                </w:tcPr>
                <w:p w14:paraId="43B4614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X</w:t>
                  </w:r>
                </w:p>
              </w:tc>
              <w:tc>
                <w:tcPr>
                  <w:tcW w:w="257" w:type="pct"/>
                  <w:vAlign w:val="center"/>
                </w:tcPr>
                <w:p w14:paraId="3F63073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Y</w:t>
                  </w:r>
                </w:p>
              </w:tc>
              <w:tc>
                <w:tcPr>
                  <w:tcW w:w="195" w:type="pct"/>
                  <w:vAlign w:val="center"/>
                </w:tcPr>
                <w:p w14:paraId="3DDF253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Z</w:t>
                  </w:r>
                </w:p>
              </w:tc>
              <w:tc>
                <w:tcPr>
                  <w:tcW w:w="1516" w:type="pct"/>
                  <w:vAlign w:val="center"/>
                </w:tcPr>
                <w:p w14:paraId="01FA7DA2">
                  <w:pPr>
                    <w:pStyle w:val="40"/>
                    <w:tabs>
                      <w:tab w:val="left" w:pos="419"/>
                    </w:tabs>
                    <w:jc w:val="center"/>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6"/>
                      <w:lang w:eastAsia="zh-CN"/>
                      <w14:textFill>
                        <w14:solidFill>
                          <w14:schemeClr w14:val="tx1"/>
                        </w14:solidFill>
                      </w14:textFill>
                    </w:rPr>
                    <w:t>（声压级/距声源距离）/（dB（A）/m）</w:t>
                  </w:r>
                </w:p>
              </w:tc>
              <w:tc>
                <w:tcPr>
                  <w:tcW w:w="556" w:type="pct"/>
                  <w:vMerge w:val="continue"/>
                  <w:tcBorders>
                    <w:top w:val="nil"/>
                  </w:tcBorders>
                  <w:vAlign w:val="center"/>
                </w:tcPr>
                <w:p w14:paraId="4DFCA17F">
                  <w:pPr>
                    <w:jc w:val="center"/>
                    <w:rPr>
                      <w:color w:val="000000" w:themeColor="text1"/>
                      <w:szCs w:val="21"/>
                      <w14:textFill>
                        <w14:solidFill>
                          <w14:schemeClr w14:val="tx1"/>
                        </w14:solidFill>
                      </w14:textFill>
                    </w:rPr>
                  </w:pPr>
                </w:p>
              </w:tc>
              <w:tc>
                <w:tcPr>
                  <w:tcW w:w="476" w:type="pct"/>
                  <w:vMerge w:val="continue"/>
                  <w:vAlign w:val="center"/>
                </w:tcPr>
                <w:p w14:paraId="542B08E2">
                  <w:pPr>
                    <w:jc w:val="center"/>
                    <w:rPr>
                      <w:color w:val="000000" w:themeColor="text1"/>
                      <w:szCs w:val="21"/>
                      <w14:textFill>
                        <w14:solidFill>
                          <w14:schemeClr w14:val="tx1"/>
                        </w14:solidFill>
                      </w14:textFill>
                    </w:rPr>
                  </w:pPr>
                </w:p>
              </w:tc>
              <w:tc>
                <w:tcPr>
                  <w:tcW w:w="476" w:type="pct"/>
                  <w:vMerge w:val="continue"/>
                  <w:tcBorders>
                    <w:top w:val="nil"/>
                  </w:tcBorders>
                  <w:vAlign w:val="center"/>
                </w:tcPr>
                <w:p w14:paraId="65071029">
                  <w:pPr>
                    <w:jc w:val="center"/>
                    <w:rPr>
                      <w:color w:val="000000" w:themeColor="text1"/>
                      <w:szCs w:val="21"/>
                      <w14:textFill>
                        <w14:solidFill>
                          <w14:schemeClr w14:val="tx1"/>
                        </w14:solidFill>
                      </w14:textFill>
                    </w:rPr>
                  </w:pPr>
                </w:p>
              </w:tc>
            </w:tr>
            <w:tr w14:paraId="799A2F4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6" w:type="pct"/>
                  <w:shd w:val="clear" w:color="auto" w:fill="auto"/>
                  <w:vAlign w:val="center"/>
                </w:tcPr>
                <w:p w14:paraId="719BE6EF">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1</w:t>
                  </w:r>
                </w:p>
              </w:tc>
              <w:tc>
                <w:tcPr>
                  <w:tcW w:w="954" w:type="pct"/>
                  <w:shd w:val="clear" w:color="auto" w:fill="auto"/>
                  <w:vAlign w:val="center"/>
                </w:tcPr>
                <w:p w14:paraId="454CC1EF">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TA001配套风机</w:t>
                  </w:r>
                </w:p>
              </w:tc>
              <w:tc>
                <w:tcPr>
                  <w:tcW w:w="330" w:type="pct"/>
                  <w:shd w:val="clear" w:color="auto" w:fill="auto"/>
                  <w:vAlign w:val="center"/>
                </w:tcPr>
                <w:p w14:paraId="2A97043B">
                  <w:pPr>
                    <w:widowControl/>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60</w:t>
                  </w:r>
                </w:p>
              </w:tc>
              <w:tc>
                <w:tcPr>
                  <w:tcW w:w="257" w:type="pct"/>
                  <w:shd w:val="clear" w:color="auto" w:fill="auto"/>
                  <w:vAlign w:val="center"/>
                </w:tcPr>
                <w:p w14:paraId="6F44C69E">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-15</w:t>
                  </w:r>
                </w:p>
              </w:tc>
              <w:tc>
                <w:tcPr>
                  <w:tcW w:w="195" w:type="pct"/>
                  <w:shd w:val="clear" w:color="auto" w:fill="auto"/>
                  <w:vAlign w:val="center"/>
                </w:tcPr>
                <w:p w14:paraId="6FD53F6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222</w:t>
                  </w:r>
                </w:p>
              </w:tc>
              <w:tc>
                <w:tcPr>
                  <w:tcW w:w="1516" w:type="pct"/>
                  <w:shd w:val="clear" w:color="auto" w:fill="auto"/>
                  <w:vAlign w:val="center"/>
                </w:tcPr>
                <w:p w14:paraId="10046FA8">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75/1</w:t>
                  </w:r>
                </w:p>
              </w:tc>
              <w:tc>
                <w:tcPr>
                  <w:tcW w:w="556" w:type="pct"/>
                  <w:vAlign w:val="center"/>
                </w:tcPr>
                <w:p w14:paraId="5AA65A4B">
                  <w:pPr>
                    <w:pStyle w:val="40"/>
                    <w:jc w:val="center"/>
                    <w:rPr>
                      <w:rFonts w:ascii="Times New Roman" w:hAnsi="Times New Roman" w:cs="Times New Roman"/>
                      <w:color w:val="000000" w:themeColor="text1"/>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基础减振、设置隔声间</w:t>
                  </w:r>
                </w:p>
              </w:tc>
              <w:tc>
                <w:tcPr>
                  <w:tcW w:w="476" w:type="pct"/>
                  <w:vMerge w:val="restart"/>
                  <w:vAlign w:val="center"/>
                </w:tcPr>
                <w:p w14:paraId="0E644389">
                  <w:pPr>
                    <w:pStyle w:val="40"/>
                    <w:jc w:val="center"/>
                    <w:rPr>
                      <w:rFonts w:ascii="Times New Roman" w:hAnsi="Times New Roman" w:cs="Times New Roman"/>
                      <w:color w:val="000000" w:themeColor="text1"/>
                      <w:spacing w:val="-2"/>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经过基础减振、设置隔声间等降噪措施；设备定期维修，保证正常运转，声</w:t>
                  </w:r>
                </w:p>
                <w:p w14:paraId="4C11A197">
                  <w:pPr>
                    <w:pStyle w:val="40"/>
                    <w:jc w:val="center"/>
                    <w:rPr>
                      <w:rFonts w:ascii="Times New Roman" w:hAnsi="Times New Roman" w:cs="Times New Roman"/>
                      <w:color w:val="000000" w:themeColor="text1"/>
                      <w:spacing w:val="-2"/>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源降低</w:t>
                  </w:r>
                </w:p>
                <w:p w14:paraId="423F1C40">
                  <w:pPr>
                    <w:pStyle w:val="40"/>
                    <w:jc w:val="center"/>
                    <w:rPr>
                      <w:rFonts w:ascii="Times New Roman" w:hAnsi="Times New Roman" w:cs="Times New Roman"/>
                      <w:color w:val="000000" w:themeColor="text1"/>
                      <w:spacing w:val="-2"/>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10dB</w:t>
                  </w:r>
                </w:p>
                <w:p w14:paraId="445D4F93">
                  <w:pPr>
                    <w:pStyle w:val="40"/>
                    <w:jc w:val="center"/>
                    <w:rPr>
                      <w:rFonts w:ascii="Times New Roman" w:hAnsi="Times New Roman" w:cs="Times New Roman"/>
                      <w:color w:val="000000" w:themeColor="text1"/>
                      <w:spacing w:val="-2"/>
                      <w:lang w:eastAsia="zh-CN"/>
                      <w14:textFill>
                        <w14:solidFill>
                          <w14:schemeClr w14:val="tx1"/>
                        </w14:solidFill>
                      </w14:textFill>
                    </w:rPr>
                  </w:pPr>
                  <w:r>
                    <w:rPr>
                      <w:rFonts w:ascii="Times New Roman" w:hAnsi="Times New Roman" w:cs="Times New Roman"/>
                      <w:color w:val="000000" w:themeColor="text1"/>
                      <w:spacing w:val="-2"/>
                      <w:lang w:eastAsia="zh-CN"/>
                      <w14:textFill>
                        <w14:solidFill>
                          <w14:schemeClr w14:val="tx1"/>
                        </w14:solidFill>
                      </w14:textFill>
                    </w:rPr>
                    <w:t>（A）</w:t>
                  </w:r>
                </w:p>
              </w:tc>
              <w:tc>
                <w:tcPr>
                  <w:tcW w:w="476" w:type="pct"/>
                  <w:vAlign w:val="center"/>
                </w:tcPr>
                <w:p w14:paraId="3EF45EDB">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16</w:t>
                  </w:r>
                </w:p>
              </w:tc>
            </w:tr>
            <w:tr w14:paraId="01996F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6" w:type="pct"/>
                  <w:shd w:val="clear" w:color="auto" w:fill="auto"/>
                  <w:vAlign w:val="center"/>
                </w:tcPr>
                <w:p w14:paraId="14847DB0">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w:t>
                  </w:r>
                </w:p>
              </w:tc>
              <w:tc>
                <w:tcPr>
                  <w:tcW w:w="954" w:type="pct"/>
                  <w:shd w:val="clear" w:color="auto" w:fill="auto"/>
                  <w:vAlign w:val="center"/>
                </w:tcPr>
                <w:p w14:paraId="10933715">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TA002配套风机</w:t>
                  </w:r>
                </w:p>
              </w:tc>
              <w:tc>
                <w:tcPr>
                  <w:tcW w:w="330" w:type="pct"/>
                  <w:shd w:val="clear" w:color="auto" w:fill="auto"/>
                  <w:vAlign w:val="center"/>
                </w:tcPr>
                <w:p w14:paraId="696A1C8D">
                  <w:pPr>
                    <w:widowControl/>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20</w:t>
                  </w:r>
                </w:p>
              </w:tc>
              <w:tc>
                <w:tcPr>
                  <w:tcW w:w="257" w:type="pct"/>
                  <w:shd w:val="clear" w:color="auto" w:fill="auto"/>
                  <w:vAlign w:val="center"/>
                </w:tcPr>
                <w:p w14:paraId="38F0593E">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2</w:t>
                  </w:r>
                </w:p>
              </w:tc>
              <w:tc>
                <w:tcPr>
                  <w:tcW w:w="195" w:type="pct"/>
                  <w:shd w:val="clear" w:color="auto" w:fill="auto"/>
                  <w:vAlign w:val="center"/>
                </w:tcPr>
                <w:p w14:paraId="12E1C03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222</w:t>
                  </w:r>
                </w:p>
              </w:tc>
              <w:tc>
                <w:tcPr>
                  <w:tcW w:w="1516" w:type="pct"/>
                  <w:shd w:val="clear" w:color="auto" w:fill="auto"/>
                  <w:vAlign w:val="center"/>
                </w:tcPr>
                <w:p w14:paraId="75442E4B">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75/1</w:t>
                  </w:r>
                </w:p>
              </w:tc>
              <w:tc>
                <w:tcPr>
                  <w:tcW w:w="556" w:type="pct"/>
                  <w:vAlign w:val="center"/>
                </w:tcPr>
                <w:p w14:paraId="7FE8B88D">
                  <w:pPr>
                    <w:jc w:val="center"/>
                    <w:rPr>
                      <w:color w:val="000000" w:themeColor="text1"/>
                      <w:szCs w:val="21"/>
                      <w14:textFill>
                        <w14:solidFill>
                          <w14:schemeClr w14:val="tx1"/>
                        </w14:solidFill>
                      </w14:textFill>
                    </w:rPr>
                  </w:pPr>
                  <w:r>
                    <w:rPr>
                      <w:color w:val="000000" w:themeColor="text1"/>
                      <w:spacing w:val="-2"/>
                      <w:szCs w:val="21"/>
                      <w14:textFill>
                        <w14:solidFill>
                          <w14:schemeClr w14:val="tx1"/>
                        </w14:solidFill>
                      </w14:textFill>
                    </w:rPr>
                    <w:t>基础减振、设置隔声间</w:t>
                  </w:r>
                </w:p>
              </w:tc>
              <w:tc>
                <w:tcPr>
                  <w:tcW w:w="476" w:type="pct"/>
                  <w:vMerge w:val="continue"/>
                  <w:vAlign w:val="center"/>
                </w:tcPr>
                <w:p w14:paraId="2B997C7C">
                  <w:pPr>
                    <w:pStyle w:val="40"/>
                    <w:jc w:val="center"/>
                    <w:rPr>
                      <w:rFonts w:ascii="Times New Roman" w:hAnsi="Times New Roman" w:cs="Times New Roman"/>
                      <w:color w:val="000000" w:themeColor="text1"/>
                      <w:spacing w:val="-2"/>
                      <w:lang w:eastAsia="zh-CN"/>
                      <w14:textFill>
                        <w14:solidFill>
                          <w14:schemeClr w14:val="tx1"/>
                        </w14:solidFill>
                      </w14:textFill>
                    </w:rPr>
                  </w:pPr>
                </w:p>
              </w:tc>
              <w:tc>
                <w:tcPr>
                  <w:tcW w:w="476" w:type="pct"/>
                  <w:vAlign w:val="center"/>
                </w:tcPr>
                <w:p w14:paraId="4654E8B5">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16</w:t>
                  </w:r>
                </w:p>
              </w:tc>
            </w:tr>
            <w:tr w14:paraId="0F28C7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6" w:type="pct"/>
                  <w:shd w:val="clear" w:color="auto" w:fill="auto"/>
                  <w:vAlign w:val="center"/>
                </w:tcPr>
                <w:p w14:paraId="667766A1">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3</w:t>
                  </w:r>
                </w:p>
              </w:tc>
              <w:tc>
                <w:tcPr>
                  <w:tcW w:w="954" w:type="pct"/>
                  <w:shd w:val="clear" w:color="auto" w:fill="auto"/>
                  <w:vAlign w:val="center"/>
                </w:tcPr>
                <w:p w14:paraId="30146E9E">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TA00</w:t>
                  </w:r>
                  <w:r>
                    <w:rPr>
                      <w:rFonts w:hint="eastAsia"/>
                      <w:color w:val="000000" w:themeColor="text1"/>
                      <w:kern w:val="0"/>
                      <w:szCs w:val="21"/>
                      <w14:textFill>
                        <w14:solidFill>
                          <w14:schemeClr w14:val="tx1"/>
                        </w14:solidFill>
                      </w14:textFill>
                    </w:rPr>
                    <w:t>3</w:t>
                  </w:r>
                  <w:r>
                    <w:rPr>
                      <w:color w:val="000000" w:themeColor="text1"/>
                      <w:kern w:val="0"/>
                      <w:szCs w:val="21"/>
                      <w14:textFill>
                        <w14:solidFill>
                          <w14:schemeClr w14:val="tx1"/>
                        </w14:solidFill>
                      </w14:textFill>
                    </w:rPr>
                    <w:t>配套风机</w:t>
                  </w:r>
                </w:p>
              </w:tc>
              <w:tc>
                <w:tcPr>
                  <w:tcW w:w="330" w:type="pct"/>
                  <w:shd w:val="clear" w:color="auto" w:fill="auto"/>
                  <w:vAlign w:val="center"/>
                </w:tcPr>
                <w:p w14:paraId="3DBD808B">
                  <w:pPr>
                    <w:widowControl/>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15</w:t>
                  </w:r>
                </w:p>
              </w:tc>
              <w:tc>
                <w:tcPr>
                  <w:tcW w:w="257" w:type="pct"/>
                  <w:shd w:val="clear" w:color="auto" w:fill="auto"/>
                  <w:vAlign w:val="center"/>
                </w:tcPr>
                <w:p w14:paraId="53517EE4">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102</w:t>
                  </w:r>
                </w:p>
              </w:tc>
              <w:tc>
                <w:tcPr>
                  <w:tcW w:w="195" w:type="pct"/>
                  <w:shd w:val="clear" w:color="auto" w:fill="auto"/>
                  <w:vAlign w:val="center"/>
                </w:tcPr>
                <w:p w14:paraId="29B4595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222</w:t>
                  </w:r>
                </w:p>
              </w:tc>
              <w:tc>
                <w:tcPr>
                  <w:tcW w:w="1516" w:type="pct"/>
                  <w:shd w:val="clear" w:color="auto" w:fill="auto"/>
                  <w:vAlign w:val="center"/>
                </w:tcPr>
                <w:p w14:paraId="05792C64">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75/1</w:t>
                  </w:r>
                </w:p>
              </w:tc>
              <w:tc>
                <w:tcPr>
                  <w:tcW w:w="556" w:type="pct"/>
                  <w:vAlign w:val="center"/>
                </w:tcPr>
                <w:p w14:paraId="5C979E24">
                  <w:pPr>
                    <w:jc w:val="center"/>
                    <w:rPr>
                      <w:color w:val="000000" w:themeColor="text1"/>
                      <w:spacing w:val="-2"/>
                      <w:szCs w:val="21"/>
                      <w14:textFill>
                        <w14:solidFill>
                          <w14:schemeClr w14:val="tx1"/>
                        </w14:solidFill>
                      </w14:textFill>
                    </w:rPr>
                  </w:pPr>
                  <w:r>
                    <w:rPr>
                      <w:color w:val="000000" w:themeColor="text1"/>
                      <w:spacing w:val="-2"/>
                      <w:szCs w:val="21"/>
                      <w14:textFill>
                        <w14:solidFill>
                          <w14:schemeClr w14:val="tx1"/>
                        </w14:solidFill>
                      </w14:textFill>
                    </w:rPr>
                    <w:t>基础减振、设置隔声间</w:t>
                  </w:r>
                </w:p>
              </w:tc>
              <w:tc>
                <w:tcPr>
                  <w:tcW w:w="476" w:type="pct"/>
                  <w:vMerge w:val="continue"/>
                  <w:vAlign w:val="center"/>
                </w:tcPr>
                <w:p w14:paraId="4C3434AA">
                  <w:pPr>
                    <w:pStyle w:val="40"/>
                    <w:jc w:val="center"/>
                    <w:rPr>
                      <w:rFonts w:ascii="Times New Roman" w:hAnsi="Times New Roman" w:cs="Times New Roman"/>
                      <w:color w:val="000000" w:themeColor="text1"/>
                      <w:spacing w:val="-2"/>
                      <w:lang w:eastAsia="zh-CN"/>
                      <w14:textFill>
                        <w14:solidFill>
                          <w14:schemeClr w14:val="tx1"/>
                        </w14:solidFill>
                      </w14:textFill>
                    </w:rPr>
                  </w:pPr>
                </w:p>
              </w:tc>
              <w:tc>
                <w:tcPr>
                  <w:tcW w:w="476" w:type="pct"/>
                  <w:vAlign w:val="center"/>
                </w:tcPr>
                <w:p w14:paraId="1E7511BC">
                  <w:pPr>
                    <w:pStyle w:val="24"/>
                    <w:snapToGrid w:val="0"/>
                    <w:ind w:firstLine="0" w:firstLineChars="0"/>
                    <w:jc w:val="center"/>
                    <w:rPr>
                      <w:rFonts w:ascii="Times New Roman" w:hAnsi="Times New Roman"/>
                      <w:color w:val="000000" w:themeColor="text1"/>
                      <w:spacing w:val="-5"/>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16</w:t>
                  </w:r>
                </w:p>
              </w:tc>
            </w:tr>
            <w:tr w14:paraId="3848B4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6" w:type="pct"/>
                  <w:shd w:val="clear" w:color="auto" w:fill="auto"/>
                  <w:vAlign w:val="center"/>
                </w:tcPr>
                <w:p w14:paraId="42EE5BFB">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w:t>
                  </w:r>
                </w:p>
              </w:tc>
              <w:tc>
                <w:tcPr>
                  <w:tcW w:w="954" w:type="pct"/>
                  <w:shd w:val="clear" w:color="auto" w:fill="auto"/>
                  <w:vAlign w:val="center"/>
                </w:tcPr>
                <w:p w14:paraId="12F716E0">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TA00</w:t>
                  </w:r>
                  <w:r>
                    <w:rPr>
                      <w:rFonts w:hint="eastAsia"/>
                      <w:color w:val="000000" w:themeColor="text1"/>
                      <w:kern w:val="0"/>
                      <w:szCs w:val="21"/>
                      <w14:textFill>
                        <w14:solidFill>
                          <w14:schemeClr w14:val="tx1"/>
                        </w14:solidFill>
                      </w14:textFill>
                    </w:rPr>
                    <w:t>4</w:t>
                  </w:r>
                  <w:r>
                    <w:rPr>
                      <w:color w:val="000000" w:themeColor="text1"/>
                      <w:kern w:val="0"/>
                      <w:szCs w:val="21"/>
                      <w14:textFill>
                        <w14:solidFill>
                          <w14:schemeClr w14:val="tx1"/>
                        </w14:solidFill>
                      </w14:textFill>
                    </w:rPr>
                    <w:t>配套风机</w:t>
                  </w:r>
                </w:p>
              </w:tc>
              <w:tc>
                <w:tcPr>
                  <w:tcW w:w="330" w:type="pct"/>
                  <w:shd w:val="clear" w:color="auto" w:fill="auto"/>
                  <w:vAlign w:val="center"/>
                </w:tcPr>
                <w:p w14:paraId="7BBFF697">
                  <w:pPr>
                    <w:widowControl/>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59</w:t>
                  </w:r>
                </w:p>
              </w:tc>
              <w:tc>
                <w:tcPr>
                  <w:tcW w:w="257" w:type="pct"/>
                  <w:shd w:val="clear" w:color="auto" w:fill="auto"/>
                  <w:vAlign w:val="center"/>
                </w:tcPr>
                <w:p w14:paraId="169C43CF">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74</w:t>
                  </w:r>
                </w:p>
              </w:tc>
              <w:tc>
                <w:tcPr>
                  <w:tcW w:w="195" w:type="pct"/>
                  <w:shd w:val="clear" w:color="auto" w:fill="auto"/>
                  <w:vAlign w:val="center"/>
                </w:tcPr>
                <w:p w14:paraId="75D86F6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222</w:t>
                  </w:r>
                </w:p>
              </w:tc>
              <w:tc>
                <w:tcPr>
                  <w:tcW w:w="1516" w:type="pct"/>
                  <w:shd w:val="clear" w:color="auto" w:fill="auto"/>
                  <w:vAlign w:val="center"/>
                </w:tcPr>
                <w:p w14:paraId="6EB7D470">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75/1</w:t>
                  </w:r>
                </w:p>
              </w:tc>
              <w:tc>
                <w:tcPr>
                  <w:tcW w:w="556" w:type="pct"/>
                  <w:vAlign w:val="center"/>
                </w:tcPr>
                <w:p w14:paraId="51A1AF98">
                  <w:pPr>
                    <w:jc w:val="center"/>
                    <w:rPr>
                      <w:color w:val="000000" w:themeColor="text1"/>
                      <w:spacing w:val="-2"/>
                      <w:szCs w:val="21"/>
                      <w14:textFill>
                        <w14:solidFill>
                          <w14:schemeClr w14:val="tx1"/>
                        </w14:solidFill>
                      </w14:textFill>
                    </w:rPr>
                  </w:pPr>
                  <w:r>
                    <w:rPr>
                      <w:color w:val="000000" w:themeColor="text1"/>
                      <w:spacing w:val="-2"/>
                      <w:szCs w:val="21"/>
                      <w14:textFill>
                        <w14:solidFill>
                          <w14:schemeClr w14:val="tx1"/>
                        </w14:solidFill>
                      </w14:textFill>
                    </w:rPr>
                    <w:t>基础减振、设置隔声间</w:t>
                  </w:r>
                </w:p>
              </w:tc>
              <w:tc>
                <w:tcPr>
                  <w:tcW w:w="476" w:type="pct"/>
                  <w:vMerge w:val="continue"/>
                  <w:vAlign w:val="center"/>
                </w:tcPr>
                <w:p w14:paraId="2CB50BDC">
                  <w:pPr>
                    <w:pStyle w:val="40"/>
                    <w:jc w:val="center"/>
                    <w:rPr>
                      <w:rFonts w:ascii="Times New Roman" w:hAnsi="Times New Roman" w:cs="Times New Roman"/>
                      <w:color w:val="000000" w:themeColor="text1"/>
                      <w:spacing w:val="-2"/>
                      <w:lang w:eastAsia="zh-CN"/>
                      <w14:textFill>
                        <w14:solidFill>
                          <w14:schemeClr w14:val="tx1"/>
                        </w14:solidFill>
                      </w14:textFill>
                    </w:rPr>
                  </w:pPr>
                </w:p>
              </w:tc>
              <w:tc>
                <w:tcPr>
                  <w:tcW w:w="476" w:type="pct"/>
                  <w:vAlign w:val="center"/>
                </w:tcPr>
                <w:p w14:paraId="08C01877">
                  <w:pPr>
                    <w:pStyle w:val="24"/>
                    <w:snapToGrid w:val="0"/>
                    <w:ind w:firstLine="0" w:firstLineChars="0"/>
                    <w:jc w:val="center"/>
                    <w:rPr>
                      <w:rFonts w:ascii="Times New Roman" w:hAnsi="Times New Roman"/>
                      <w:color w:val="000000" w:themeColor="text1"/>
                      <w:spacing w:val="-5"/>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16</w:t>
                  </w:r>
                </w:p>
              </w:tc>
            </w:tr>
            <w:tr w14:paraId="2C41AA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6" w:type="pct"/>
                  <w:shd w:val="clear" w:color="auto" w:fill="auto"/>
                  <w:vAlign w:val="center"/>
                </w:tcPr>
                <w:p w14:paraId="2C0D4549">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w:t>
                  </w:r>
                </w:p>
              </w:tc>
              <w:tc>
                <w:tcPr>
                  <w:tcW w:w="954" w:type="pct"/>
                  <w:shd w:val="clear" w:color="auto" w:fill="auto"/>
                  <w:vAlign w:val="center"/>
                </w:tcPr>
                <w:p w14:paraId="08F37BAA">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TA0</w:t>
                  </w:r>
                  <w:r>
                    <w:rPr>
                      <w:rFonts w:hint="eastAsia"/>
                      <w:color w:val="000000" w:themeColor="text1"/>
                      <w:kern w:val="0"/>
                      <w:szCs w:val="21"/>
                      <w14:textFill>
                        <w14:solidFill>
                          <w14:schemeClr w14:val="tx1"/>
                        </w14:solidFill>
                      </w14:textFill>
                    </w:rPr>
                    <w:t>05</w:t>
                  </w:r>
                  <w:r>
                    <w:rPr>
                      <w:color w:val="000000" w:themeColor="text1"/>
                      <w:kern w:val="0"/>
                      <w:szCs w:val="21"/>
                      <w14:textFill>
                        <w14:solidFill>
                          <w14:schemeClr w14:val="tx1"/>
                        </w14:solidFill>
                      </w14:textFill>
                    </w:rPr>
                    <w:t>配套风机</w:t>
                  </w:r>
                </w:p>
              </w:tc>
              <w:tc>
                <w:tcPr>
                  <w:tcW w:w="330" w:type="pct"/>
                  <w:shd w:val="clear" w:color="auto" w:fill="auto"/>
                  <w:vAlign w:val="center"/>
                </w:tcPr>
                <w:p w14:paraId="075DBDFF">
                  <w:pPr>
                    <w:widowControl/>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-65</w:t>
                  </w:r>
                </w:p>
              </w:tc>
              <w:tc>
                <w:tcPr>
                  <w:tcW w:w="257" w:type="pct"/>
                  <w:shd w:val="clear" w:color="auto" w:fill="auto"/>
                  <w:vAlign w:val="center"/>
                </w:tcPr>
                <w:p w14:paraId="70E52C77">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102</w:t>
                  </w:r>
                </w:p>
              </w:tc>
              <w:tc>
                <w:tcPr>
                  <w:tcW w:w="195" w:type="pct"/>
                  <w:shd w:val="clear" w:color="auto" w:fill="auto"/>
                  <w:vAlign w:val="center"/>
                </w:tcPr>
                <w:p w14:paraId="31B33CE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222</w:t>
                  </w:r>
                </w:p>
              </w:tc>
              <w:tc>
                <w:tcPr>
                  <w:tcW w:w="1516" w:type="pct"/>
                  <w:shd w:val="clear" w:color="auto" w:fill="auto"/>
                  <w:vAlign w:val="center"/>
                </w:tcPr>
                <w:p w14:paraId="327974B0">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75/1</w:t>
                  </w:r>
                </w:p>
              </w:tc>
              <w:tc>
                <w:tcPr>
                  <w:tcW w:w="556" w:type="pct"/>
                  <w:vAlign w:val="center"/>
                </w:tcPr>
                <w:p w14:paraId="37656A3A">
                  <w:pPr>
                    <w:jc w:val="center"/>
                    <w:rPr>
                      <w:color w:val="000000" w:themeColor="text1"/>
                      <w:spacing w:val="-2"/>
                      <w:szCs w:val="21"/>
                      <w14:textFill>
                        <w14:solidFill>
                          <w14:schemeClr w14:val="tx1"/>
                        </w14:solidFill>
                      </w14:textFill>
                    </w:rPr>
                  </w:pPr>
                  <w:r>
                    <w:rPr>
                      <w:color w:val="000000" w:themeColor="text1"/>
                      <w:spacing w:val="-2"/>
                      <w:szCs w:val="21"/>
                      <w14:textFill>
                        <w14:solidFill>
                          <w14:schemeClr w14:val="tx1"/>
                        </w14:solidFill>
                      </w14:textFill>
                    </w:rPr>
                    <w:t>基础减振、设置隔声间</w:t>
                  </w:r>
                </w:p>
              </w:tc>
              <w:tc>
                <w:tcPr>
                  <w:tcW w:w="476" w:type="pct"/>
                  <w:vMerge w:val="continue"/>
                  <w:vAlign w:val="center"/>
                </w:tcPr>
                <w:p w14:paraId="420C94CC">
                  <w:pPr>
                    <w:pStyle w:val="40"/>
                    <w:jc w:val="center"/>
                    <w:rPr>
                      <w:rFonts w:ascii="Times New Roman" w:hAnsi="Times New Roman" w:cs="Times New Roman"/>
                      <w:color w:val="000000" w:themeColor="text1"/>
                      <w:spacing w:val="-2"/>
                      <w:lang w:eastAsia="zh-CN"/>
                      <w14:textFill>
                        <w14:solidFill>
                          <w14:schemeClr w14:val="tx1"/>
                        </w14:solidFill>
                      </w14:textFill>
                    </w:rPr>
                  </w:pPr>
                </w:p>
              </w:tc>
              <w:tc>
                <w:tcPr>
                  <w:tcW w:w="476" w:type="pct"/>
                  <w:vAlign w:val="center"/>
                </w:tcPr>
                <w:p w14:paraId="3F4021CC">
                  <w:pPr>
                    <w:pStyle w:val="24"/>
                    <w:snapToGrid w:val="0"/>
                    <w:ind w:firstLine="0" w:firstLineChars="0"/>
                    <w:jc w:val="center"/>
                    <w:rPr>
                      <w:rFonts w:ascii="Times New Roman" w:hAnsi="Times New Roman"/>
                      <w:color w:val="000000" w:themeColor="text1"/>
                      <w:spacing w:val="-5"/>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16</w:t>
                  </w:r>
                </w:p>
              </w:tc>
            </w:tr>
            <w:tr w14:paraId="1D30862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6" w:type="pct"/>
                  <w:shd w:val="clear" w:color="auto" w:fill="auto"/>
                  <w:vAlign w:val="center"/>
                </w:tcPr>
                <w:p w14:paraId="75B72BD6">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w:t>
                  </w:r>
                </w:p>
              </w:tc>
              <w:tc>
                <w:tcPr>
                  <w:tcW w:w="954" w:type="pct"/>
                  <w:shd w:val="clear" w:color="auto" w:fill="auto"/>
                  <w:vAlign w:val="center"/>
                </w:tcPr>
                <w:p w14:paraId="5A5A07FF">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TA0</w:t>
                  </w:r>
                  <w:r>
                    <w:rPr>
                      <w:rFonts w:hint="eastAsia"/>
                      <w:color w:val="000000" w:themeColor="text1"/>
                      <w:kern w:val="0"/>
                      <w:szCs w:val="21"/>
                      <w14:textFill>
                        <w14:solidFill>
                          <w14:schemeClr w14:val="tx1"/>
                        </w14:solidFill>
                      </w14:textFill>
                    </w:rPr>
                    <w:t>06</w:t>
                  </w:r>
                  <w:r>
                    <w:rPr>
                      <w:color w:val="000000" w:themeColor="text1"/>
                      <w:kern w:val="0"/>
                      <w:szCs w:val="21"/>
                      <w14:textFill>
                        <w14:solidFill>
                          <w14:schemeClr w14:val="tx1"/>
                        </w14:solidFill>
                      </w14:textFill>
                    </w:rPr>
                    <w:t>配套风机</w:t>
                  </w:r>
                </w:p>
              </w:tc>
              <w:tc>
                <w:tcPr>
                  <w:tcW w:w="330" w:type="pct"/>
                  <w:shd w:val="clear" w:color="auto" w:fill="auto"/>
                  <w:vAlign w:val="center"/>
                </w:tcPr>
                <w:p w14:paraId="3D65E16C">
                  <w:pPr>
                    <w:widowControl/>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-18</w:t>
                  </w:r>
                </w:p>
              </w:tc>
              <w:tc>
                <w:tcPr>
                  <w:tcW w:w="257" w:type="pct"/>
                  <w:shd w:val="clear" w:color="auto" w:fill="auto"/>
                  <w:vAlign w:val="center"/>
                </w:tcPr>
                <w:p w14:paraId="1F6A0065">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64</w:t>
                  </w:r>
                </w:p>
              </w:tc>
              <w:tc>
                <w:tcPr>
                  <w:tcW w:w="195" w:type="pct"/>
                  <w:shd w:val="clear" w:color="auto" w:fill="auto"/>
                  <w:vAlign w:val="center"/>
                </w:tcPr>
                <w:p w14:paraId="1D12582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222</w:t>
                  </w:r>
                </w:p>
              </w:tc>
              <w:tc>
                <w:tcPr>
                  <w:tcW w:w="1516" w:type="pct"/>
                  <w:shd w:val="clear" w:color="auto" w:fill="auto"/>
                  <w:vAlign w:val="center"/>
                </w:tcPr>
                <w:p w14:paraId="7DBCAEA0">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75/1</w:t>
                  </w:r>
                </w:p>
              </w:tc>
              <w:tc>
                <w:tcPr>
                  <w:tcW w:w="556" w:type="pct"/>
                  <w:vAlign w:val="center"/>
                </w:tcPr>
                <w:p w14:paraId="636D8621">
                  <w:pPr>
                    <w:jc w:val="center"/>
                    <w:rPr>
                      <w:color w:val="000000" w:themeColor="text1"/>
                      <w:spacing w:val="-2"/>
                      <w:szCs w:val="21"/>
                      <w14:textFill>
                        <w14:solidFill>
                          <w14:schemeClr w14:val="tx1"/>
                        </w14:solidFill>
                      </w14:textFill>
                    </w:rPr>
                  </w:pPr>
                  <w:r>
                    <w:rPr>
                      <w:color w:val="000000" w:themeColor="text1"/>
                      <w:spacing w:val="-2"/>
                      <w:szCs w:val="21"/>
                      <w14:textFill>
                        <w14:solidFill>
                          <w14:schemeClr w14:val="tx1"/>
                        </w14:solidFill>
                      </w14:textFill>
                    </w:rPr>
                    <w:t>基础减振、设置隔声间</w:t>
                  </w:r>
                </w:p>
              </w:tc>
              <w:tc>
                <w:tcPr>
                  <w:tcW w:w="476" w:type="pct"/>
                  <w:vMerge w:val="continue"/>
                  <w:vAlign w:val="center"/>
                </w:tcPr>
                <w:p w14:paraId="63AFDBBC">
                  <w:pPr>
                    <w:pStyle w:val="40"/>
                    <w:jc w:val="center"/>
                    <w:rPr>
                      <w:rFonts w:ascii="Times New Roman" w:hAnsi="Times New Roman" w:cs="Times New Roman"/>
                      <w:color w:val="000000" w:themeColor="text1"/>
                      <w:spacing w:val="-2"/>
                      <w:lang w:eastAsia="zh-CN"/>
                      <w14:textFill>
                        <w14:solidFill>
                          <w14:schemeClr w14:val="tx1"/>
                        </w14:solidFill>
                      </w14:textFill>
                    </w:rPr>
                  </w:pPr>
                </w:p>
              </w:tc>
              <w:tc>
                <w:tcPr>
                  <w:tcW w:w="476" w:type="pct"/>
                  <w:vAlign w:val="center"/>
                </w:tcPr>
                <w:p w14:paraId="6DB9B70D">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16</w:t>
                  </w:r>
                </w:p>
              </w:tc>
            </w:tr>
            <w:tr w14:paraId="153DC86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236" w:type="pct"/>
                  <w:shd w:val="clear" w:color="auto" w:fill="auto"/>
                  <w:vAlign w:val="center"/>
                </w:tcPr>
                <w:p w14:paraId="0BD60A63">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7</w:t>
                  </w:r>
                </w:p>
              </w:tc>
              <w:tc>
                <w:tcPr>
                  <w:tcW w:w="954" w:type="pct"/>
                  <w:shd w:val="clear" w:color="auto" w:fill="auto"/>
                  <w:vAlign w:val="center"/>
                </w:tcPr>
                <w:p w14:paraId="03EA0493">
                  <w:pPr>
                    <w:widowControl/>
                    <w:jc w:val="center"/>
                    <w:textAlignment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TA0</w:t>
                  </w:r>
                  <w:r>
                    <w:rPr>
                      <w:rFonts w:hint="eastAsia"/>
                      <w:color w:val="000000" w:themeColor="text1"/>
                      <w:kern w:val="0"/>
                      <w:szCs w:val="21"/>
                      <w14:textFill>
                        <w14:solidFill>
                          <w14:schemeClr w14:val="tx1"/>
                        </w14:solidFill>
                      </w14:textFill>
                    </w:rPr>
                    <w:t>07</w:t>
                  </w:r>
                  <w:r>
                    <w:rPr>
                      <w:color w:val="000000" w:themeColor="text1"/>
                      <w:kern w:val="0"/>
                      <w:szCs w:val="21"/>
                      <w14:textFill>
                        <w14:solidFill>
                          <w14:schemeClr w14:val="tx1"/>
                        </w14:solidFill>
                      </w14:textFill>
                    </w:rPr>
                    <w:t>配套风机</w:t>
                  </w:r>
                </w:p>
              </w:tc>
              <w:tc>
                <w:tcPr>
                  <w:tcW w:w="330" w:type="pct"/>
                  <w:shd w:val="clear" w:color="auto" w:fill="auto"/>
                  <w:vAlign w:val="center"/>
                </w:tcPr>
                <w:p w14:paraId="20059F11">
                  <w:pPr>
                    <w:widowControl/>
                    <w:jc w:val="center"/>
                    <w:textAlignment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-60</w:t>
                  </w:r>
                </w:p>
              </w:tc>
              <w:tc>
                <w:tcPr>
                  <w:tcW w:w="257" w:type="pct"/>
                  <w:shd w:val="clear" w:color="auto" w:fill="auto"/>
                  <w:vAlign w:val="center"/>
                </w:tcPr>
                <w:p w14:paraId="6150F079">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-6</w:t>
                  </w:r>
                </w:p>
              </w:tc>
              <w:tc>
                <w:tcPr>
                  <w:tcW w:w="195" w:type="pct"/>
                  <w:shd w:val="clear" w:color="auto" w:fill="auto"/>
                  <w:vAlign w:val="center"/>
                </w:tcPr>
                <w:p w14:paraId="47C0A0F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222</w:t>
                  </w:r>
                </w:p>
              </w:tc>
              <w:tc>
                <w:tcPr>
                  <w:tcW w:w="1516" w:type="pct"/>
                  <w:shd w:val="clear" w:color="auto" w:fill="auto"/>
                  <w:vAlign w:val="center"/>
                </w:tcPr>
                <w:p w14:paraId="6CE91D71">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75/1</w:t>
                  </w:r>
                </w:p>
              </w:tc>
              <w:tc>
                <w:tcPr>
                  <w:tcW w:w="556" w:type="pct"/>
                  <w:vAlign w:val="center"/>
                </w:tcPr>
                <w:p w14:paraId="32D58DF3">
                  <w:pPr>
                    <w:jc w:val="center"/>
                    <w:rPr>
                      <w:color w:val="000000" w:themeColor="text1"/>
                      <w:spacing w:val="-2"/>
                      <w:szCs w:val="21"/>
                      <w14:textFill>
                        <w14:solidFill>
                          <w14:schemeClr w14:val="tx1"/>
                        </w14:solidFill>
                      </w14:textFill>
                    </w:rPr>
                  </w:pPr>
                  <w:r>
                    <w:rPr>
                      <w:color w:val="000000" w:themeColor="text1"/>
                      <w:spacing w:val="-2"/>
                      <w:szCs w:val="21"/>
                      <w14:textFill>
                        <w14:solidFill>
                          <w14:schemeClr w14:val="tx1"/>
                        </w14:solidFill>
                      </w14:textFill>
                    </w:rPr>
                    <w:t>基础减振、设置隔声间</w:t>
                  </w:r>
                </w:p>
              </w:tc>
              <w:tc>
                <w:tcPr>
                  <w:tcW w:w="476" w:type="pct"/>
                  <w:vMerge w:val="continue"/>
                  <w:vAlign w:val="center"/>
                </w:tcPr>
                <w:p w14:paraId="6D3B9C26">
                  <w:pPr>
                    <w:pStyle w:val="40"/>
                    <w:jc w:val="center"/>
                    <w:rPr>
                      <w:rFonts w:ascii="Times New Roman" w:hAnsi="Times New Roman" w:cs="Times New Roman"/>
                      <w:color w:val="000000" w:themeColor="text1"/>
                      <w:spacing w:val="-2"/>
                      <w:lang w:eastAsia="zh-CN"/>
                      <w14:textFill>
                        <w14:solidFill>
                          <w14:schemeClr w14:val="tx1"/>
                        </w14:solidFill>
                      </w14:textFill>
                    </w:rPr>
                  </w:pPr>
                </w:p>
              </w:tc>
              <w:tc>
                <w:tcPr>
                  <w:tcW w:w="476" w:type="pct"/>
                  <w:vAlign w:val="center"/>
                </w:tcPr>
                <w:p w14:paraId="06FD87CB">
                  <w:pPr>
                    <w:pStyle w:val="24"/>
                    <w:snapToGrid w:val="0"/>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16</w:t>
                  </w:r>
                </w:p>
              </w:tc>
            </w:tr>
          </w:tbl>
          <w:p w14:paraId="7C208AFA">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为进一步降低人工操作产生的噪声对环境的影响，建议建设单位应做好噪声防治措施，具体措施如下：</w:t>
            </w:r>
          </w:p>
          <w:p w14:paraId="72A737CE">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①选购设备时购置符合国家颁布的各类机械噪声标准的低噪声设备，选用低噪声工艺；</w:t>
            </w:r>
          </w:p>
          <w:p w14:paraId="6DEB67A1">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②对高噪声设备采取声学控制措施，如对声源采用隔声、减振、消声、吸声等措施；</w:t>
            </w:r>
          </w:p>
          <w:p w14:paraId="00ABC971">
            <w:pPr>
              <w:widowControl/>
              <w:spacing w:line="360" w:lineRule="auto"/>
              <w:ind w:firstLine="480" w:firstLineChars="200"/>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③合理布局高噪声设备，各高噪声设备在密闭车间内作业同时采用隔声、减振、消声、吸声等措施</w:t>
            </w:r>
            <w:r>
              <w:rPr>
                <w:rFonts w:hint="eastAsia"/>
                <w:color w:val="000000" w:themeColor="text1"/>
                <w:kern w:val="0"/>
                <w:sz w:val="24"/>
                <w14:textFill>
                  <w14:solidFill>
                    <w14:schemeClr w14:val="tx1"/>
                  </w14:solidFill>
                </w14:textFill>
              </w:rPr>
              <w:t>；</w:t>
            </w:r>
          </w:p>
          <w:p w14:paraId="7D36F677">
            <w:pPr>
              <w:widowControl/>
              <w:spacing w:line="360" w:lineRule="auto"/>
              <w:ind w:firstLine="480" w:firstLineChars="200"/>
              <w:jc w:val="left"/>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④加强管理，机械设备定期维护及保养，防止设备故障形成的非正常生产噪声，同时确保环保措施发挥最佳有效的功能；加强人员环保意识教育，防止人为噪声</w:t>
            </w:r>
            <w:r>
              <w:rPr>
                <w:rFonts w:hint="eastAsia"/>
                <w:color w:val="000000" w:themeColor="text1"/>
                <w:kern w:val="0"/>
                <w:sz w:val="24"/>
                <w14:textFill>
                  <w14:solidFill>
                    <w14:schemeClr w14:val="tx1"/>
                  </w14:solidFill>
                </w14:textFill>
              </w:rPr>
              <w:t>；</w:t>
            </w:r>
          </w:p>
          <w:p w14:paraId="287B92C9">
            <w:pPr>
              <w:widowControl/>
              <w:spacing w:line="360" w:lineRule="auto"/>
              <w:ind w:firstLine="480" w:firstLineChars="200"/>
              <w:jc w:val="left"/>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⑤制定噪声监测计划，对噪声进行定期监测，用于判定厂界的噪声是否达标，若不达标，排查出高噪声污染源，指定针对性整改方案</w:t>
            </w:r>
            <w:r>
              <w:rPr>
                <w:rFonts w:hint="eastAsia"/>
                <w:color w:val="000000" w:themeColor="text1"/>
                <w:kern w:val="0"/>
                <w:sz w:val="24"/>
                <w14:textFill>
                  <w14:solidFill>
                    <w14:schemeClr w14:val="tx1"/>
                  </w14:solidFill>
                </w14:textFill>
              </w:rPr>
              <w:t>；</w:t>
            </w:r>
          </w:p>
          <w:p w14:paraId="3AF6518D">
            <w:pPr>
              <w:widowControl/>
              <w:spacing w:line="360" w:lineRule="auto"/>
              <w:ind w:firstLine="480" w:firstLineChars="200"/>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⑥</w:t>
            </w:r>
            <w:r>
              <w:rPr>
                <w:rFonts w:ascii="宋体" w:hAnsi="宋体" w:cs="宋体"/>
                <w:color w:val="000000" w:themeColor="text1"/>
                <w:sz w:val="24"/>
                <w14:textFill>
                  <w14:solidFill>
                    <w14:schemeClr w14:val="tx1"/>
                  </w14:solidFill>
                </w14:textFill>
              </w:rPr>
              <w:t>车间内合理布置设备，将高噪声设备布置在厂区靠近</w:t>
            </w:r>
            <w:r>
              <w:rPr>
                <w:rFonts w:hint="eastAsia" w:ascii="宋体" w:hAnsi="宋体" w:cs="宋体"/>
                <w:color w:val="000000" w:themeColor="text1"/>
                <w:sz w:val="24"/>
                <w14:textFill>
                  <w14:solidFill>
                    <w14:schemeClr w14:val="tx1"/>
                  </w14:solidFill>
                </w14:textFill>
              </w:rPr>
              <w:t>南部</w:t>
            </w:r>
            <w:r>
              <w:rPr>
                <w:rFonts w:ascii="宋体" w:hAnsi="宋体" w:cs="宋体"/>
                <w:color w:val="000000" w:themeColor="text1"/>
                <w:sz w:val="24"/>
                <w14:textFill>
                  <w14:solidFill>
                    <w14:schemeClr w14:val="tx1"/>
                  </w14:solidFill>
                </w14:textFill>
              </w:rPr>
              <w:t>位置，</w:t>
            </w:r>
            <w:r>
              <w:rPr>
                <w:rFonts w:hint="eastAsia" w:ascii="宋体" w:hAnsi="宋体" w:cs="宋体"/>
                <w:color w:val="000000" w:themeColor="text1"/>
                <w:sz w:val="24"/>
                <w14:textFill>
                  <w14:solidFill>
                    <w14:schemeClr w14:val="tx1"/>
                  </w14:solidFill>
                </w14:textFill>
              </w:rPr>
              <w:t>使高噪声设备远离北侧敏感点</w:t>
            </w:r>
            <w:r>
              <w:rPr>
                <w:rFonts w:ascii="宋体" w:hAnsi="宋体" w:cs="宋体"/>
                <w:color w:val="000000" w:themeColor="text1"/>
                <w:sz w:val="24"/>
                <w14:textFill>
                  <w14:solidFill>
                    <w14:schemeClr w14:val="tx1"/>
                  </w14:solidFill>
                </w14:textFill>
              </w:rPr>
              <w:t>，以减小设备对</w:t>
            </w:r>
            <w:r>
              <w:rPr>
                <w:rFonts w:hint="eastAsia" w:ascii="宋体" w:hAnsi="宋体" w:cs="宋体"/>
                <w:color w:val="000000" w:themeColor="text1"/>
                <w:sz w:val="24"/>
                <w14:textFill>
                  <w14:solidFill>
                    <w14:schemeClr w14:val="tx1"/>
                  </w14:solidFill>
                </w14:textFill>
              </w:rPr>
              <w:t>北</w:t>
            </w:r>
            <w:r>
              <w:rPr>
                <w:rFonts w:ascii="宋体" w:hAnsi="宋体" w:cs="宋体"/>
                <w:color w:val="000000" w:themeColor="text1"/>
                <w:sz w:val="24"/>
                <w14:textFill>
                  <w14:solidFill>
                    <w14:schemeClr w14:val="tx1"/>
                  </w14:solidFill>
                </w14:textFill>
              </w:rPr>
              <w:t>厂界周边敏感点的噪声影响</w:t>
            </w:r>
            <w:r>
              <w:rPr>
                <w:rFonts w:hint="eastAsia" w:ascii="宋体" w:hAnsi="宋体" w:cs="宋体"/>
                <w:color w:val="000000" w:themeColor="text1"/>
                <w:sz w:val="24"/>
                <w14:textFill>
                  <w14:solidFill>
                    <w14:schemeClr w14:val="tx1"/>
                  </w14:solidFill>
                </w14:textFill>
              </w:rPr>
              <w:t>；</w:t>
            </w:r>
          </w:p>
          <w:p w14:paraId="20594404">
            <w:pPr>
              <w:widowControl/>
              <w:spacing w:line="360" w:lineRule="auto"/>
              <w:jc w:val="center"/>
              <w:rPr>
                <w:b/>
                <w:bCs/>
                <w:color w:val="000000" w:themeColor="text1"/>
                <w:sz w:val="24"/>
                <w14:textFill>
                  <w14:solidFill>
                    <w14:schemeClr w14:val="tx1"/>
                  </w14:solidFill>
                </w14:textFill>
              </w:rPr>
            </w:pPr>
            <w:r>
              <w:rPr>
                <w:b/>
                <w:bCs/>
                <w:color w:val="000000" w:themeColor="text1"/>
                <w:kern w:val="0"/>
                <w:sz w:val="24"/>
                <w14:textFill>
                  <w14:solidFill>
                    <w14:schemeClr w14:val="tx1"/>
                  </w14:solidFill>
                </w14:textFill>
              </w:rPr>
              <w:t>表</w:t>
            </w:r>
            <w:r>
              <w:rPr>
                <w:rFonts w:hint="eastAsia"/>
                <w:b/>
                <w:bCs/>
                <w:color w:val="000000" w:themeColor="text1"/>
                <w:kern w:val="0"/>
                <w:sz w:val="24"/>
                <w14:textFill>
                  <w14:solidFill>
                    <w14:schemeClr w14:val="tx1"/>
                  </w14:solidFill>
                </w14:textFill>
              </w:rPr>
              <w:t>4-19  降噪后车间外噪声源强一览表</w:t>
            </w:r>
          </w:p>
          <w:tbl>
            <w:tblPr>
              <w:tblStyle w:val="25"/>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97"/>
              <w:gridCol w:w="2698"/>
              <w:gridCol w:w="2698"/>
              <w:gridCol w:w="2701"/>
              <w:gridCol w:w="2706"/>
            </w:tblGrid>
            <w:tr w14:paraId="13BC43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Merge w:val="restart"/>
                  <w:vAlign w:val="center"/>
                </w:tcPr>
                <w:p w14:paraId="187E786D">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面源</w:t>
                  </w:r>
                </w:p>
              </w:tc>
              <w:tc>
                <w:tcPr>
                  <w:tcW w:w="4000" w:type="pct"/>
                  <w:gridSpan w:val="4"/>
                  <w:vAlign w:val="center"/>
                </w:tcPr>
                <w:p w14:paraId="7CAD5474">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车间边界声压级dB（A）</w:t>
                  </w:r>
                </w:p>
              </w:tc>
            </w:tr>
            <w:tr w14:paraId="401C6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Merge w:val="continue"/>
                  <w:vAlign w:val="center"/>
                </w:tcPr>
                <w:p w14:paraId="2B287741">
                  <w:pPr>
                    <w:pStyle w:val="24"/>
                    <w:ind w:firstLine="0" w:firstLineChars="0"/>
                    <w:jc w:val="center"/>
                    <w:rPr>
                      <w:rFonts w:ascii="Times New Roman" w:hAnsi="Times New Roman"/>
                      <w:color w:val="000000" w:themeColor="text1"/>
                      <w:szCs w:val="21"/>
                      <w14:textFill>
                        <w14:solidFill>
                          <w14:schemeClr w14:val="tx1"/>
                        </w14:solidFill>
                      </w14:textFill>
                    </w:rPr>
                  </w:pPr>
                </w:p>
              </w:tc>
              <w:tc>
                <w:tcPr>
                  <w:tcW w:w="999" w:type="pct"/>
                  <w:vAlign w:val="center"/>
                </w:tcPr>
                <w:p w14:paraId="524A54C3">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车间东边界</w:t>
                  </w:r>
                </w:p>
              </w:tc>
              <w:tc>
                <w:tcPr>
                  <w:tcW w:w="999" w:type="pct"/>
                  <w:vAlign w:val="center"/>
                </w:tcPr>
                <w:p w14:paraId="2227BF57">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车间</w:t>
                  </w:r>
                  <w:r>
                    <w:rPr>
                      <w:rFonts w:hint="eastAsia" w:ascii="Times New Roman" w:hAnsi="Times New Roman"/>
                      <w:color w:val="000000" w:themeColor="text1"/>
                      <w:szCs w:val="21"/>
                      <w14:textFill>
                        <w14:solidFill>
                          <w14:schemeClr w14:val="tx1"/>
                        </w14:solidFill>
                      </w14:textFill>
                    </w:rPr>
                    <w:t>南</w:t>
                  </w:r>
                  <w:r>
                    <w:rPr>
                      <w:rFonts w:ascii="Times New Roman" w:hAnsi="Times New Roman"/>
                      <w:color w:val="000000" w:themeColor="text1"/>
                      <w:szCs w:val="21"/>
                      <w14:textFill>
                        <w14:solidFill>
                          <w14:schemeClr w14:val="tx1"/>
                        </w14:solidFill>
                      </w14:textFill>
                    </w:rPr>
                    <w:t>边界</w:t>
                  </w:r>
                </w:p>
              </w:tc>
              <w:tc>
                <w:tcPr>
                  <w:tcW w:w="1000" w:type="pct"/>
                  <w:vAlign w:val="center"/>
                </w:tcPr>
                <w:p w14:paraId="4DC89D71">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车间</w:t>
                  </w:r>
                  <w:r>
                    <w:rPr>
                      <w:rFonts w:hint="eastAsia" w:ascii="Times New Roman" w:hAnsi="Times New Roman"/>
                      <w:color w:val="000000" w:themeColor="text1"/>
                      <w:szCs w:val="21"/>
                      <w14:textFill>
                        <w14:solidFill>
                          <w14:schemeClr w14:val="tx1"/>
                        </w14:solidFill>
                      </w14:textFill>
                    </w:rPr>
                    <w:t>西</w:t>
                  </w:r>
                  <w:r>
                    <w:rPr>
                      <w:rFonts w:ascii="Times New Roman" w:hAnsi="Times New Roman"/>
                      <w:color w:val="000000" w:themeColor="text1"/>
                      <w:szCs w:val="21"/>
                      <w14:textFill>
                        <w14:solidFill>
                          <w14:schemeClr w14:val="tx1"/>
                        </w14:solidFill>
                      </w14:textFill>
                    </w:rPr>
                    <w:t>边界</w:t>
                  </w:r>
                </w:p>
              </w:tc>
              <w:tc>
                <w:tcPr>
                  <w:tcW w:w="1001" w:type="pct"/>
                  <w:vAlign w:val="center"/>
                </w:tcPr>
                <w:p w14:paraId="281A7E3B">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车间</w:t>
                  </w:r>
                  <w:r>
                    <w:rPr>
                      <w:rFonts w:hint="eastAsia" w:ascii="Times New Roman" w:hAnsi="Times New Roman"/>
                      <w:color w:val="000000" w:themeColor="text1"/>
                      <w:szCs w:val="21"/>
                      <w14:textFill>
                        <w14:solidFill>
                          <w14:schemeClr w14:val="tx1"/>
                        </w14:solidFill>
                      </w14:textFill>
                    </w:rPr>
                    <w:t>北</w:t>
                  </w:r>
                  <w:r>
                    <w:rPr>
                      <w:rFonts w:ascii="Times New Roman" w:hAnsi="Times New Roman"/>
                      <w:color w:val="000000" w:themeColor="text1"/>
                      <w:szCs w:val="21"/>
                      <w14:textFill>
                        <w14:solidFill>
                          <w14:schemeClr w14:val="tx1"/>
                        </w14:solidFill>
                      </w14:textFill>
                    </w:rPr>
                    <w:t>边界</w:t>
                  </w:r>
                </w:p>
              </w:tc>
            </w:tr>
            <w:tr w14:paraId="15CAF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Align w:val="center"/>
                </w:tcPr>
                <w:p w14:paraId="423130FD">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黄酒车间</w:t>
                  </w:r>
                </w:p>
              </w:tc>
              <w:tc>
                <w:tcPr>
                  <w:tcW w:w="999" w:type="pct"/>
                  <w:shd w:val="clear" w:color="auto" w:fill="auto"/>
                  <w:vAlign w:val="center"/>
                </w:tcPr>
                <w:p w14:paraId="18F6223C">
                  <w:pPr>
                    <w:widowControl/>
                    <w:jc w:val="center"/>
                    <w:textAlignment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38.1</w:t>
                  </w:r>
                </w:p>
              </w:tc>
              <w:tc>
                <w:tcPr>
                  <w:tcW w:w="999" w:type="pct"/>
                  <w:shd w:val="clear" w:color="auto" w:fill="auto"/>
                  <w:vAlign w:val="center"/>
                </w:tcPr>
                <w:p w14:paraId="40CFBF56">
                  <w:pPr>
                    <w:widowControl/>
                    <w:jc w:val="center"/>
                    <w:textAlignment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41.7</w:t>
                  </w:r>
                </w:p>
              </w:tc>
              <w:tc>
                <w:tcPr>
                  <w:tcW w:w="1000" w:type="pct"/>
                  <w:shd w:val="clear" w:color="auto" w:fill="auto"/>
                  <w:vAlign w:val="center"/>
                </w:tcPr>
                <w:p w14:paraId="03BF8E21">
                  <w:pPr>
                    <w:widowControl/>
                    <w:jc w:val="center"/>
                    <w:textAlignment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32.4</w:t>
                  </w:r>
                </w:p>
              </w:tc>
              <w:tc>
                <w:tcPr>
                  <w:tcW w:w="1001" w:type="pct"/>
                  <w:shd w:val="clear" w:color="auto" w:fill="auto"/>
                  <w:vAlign w:val="center"/>
                </w:tcPr>
                <w:p w14:paraId="636642B1">
                  <w:pPr>
                    <w:widowControl/>
                    <w:jc w:val="center"/>
                    <w:textAlignment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49.3</w:t>
                  </w:r>
                </w:p>
              </w:tc>
            </w:tr>
            <w:tr w14:paraId="6831A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Align w:val="center"/>
                </w:tcPr>
                <w:p w14:paraId="29016142">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综合车间</w:t>
                  </w:r>
                </w:p>
              </w:tc>
              <w:tc>
                <w:tcPr>
                  <w:tcW w:w="999" w:type="pct"/>
                  <w:vAlign w:val="center"/>
                </w:tcPr>
                <w:p w14:paraId="6812DD3A">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43.9</w:t>
                  </w:r>
                </w:p>
              </w:tc>
              <w:tc>
                <w:tcPr>
                  <w:tcW w:w="999" w:type="pct"/>
                  <w:vAlign w:val="center"/>
                </w:tcPr>
                <w:p w14:paraId="460CF958">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47.5</w:t>
                  </w:r>
                </w:p>
              </w:tc>
              <w:tc>
                <w:tcPr>
                  <w:tcW w:w="1000" w:type="pct"/>
                  <w:vAlign w:val="center"/>
                </w:tcPr>
                <w:p w14:paraId="46879142">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44.6</w:t>
                  </w:r>
                </w:p>
              </w:tc>
              <w:tc>
                <w:tcPr>
                  <w:tcW w:w="1001" w:type="pct"/>
                  <w:vAlign w:val="center"/>
                </w:tcPr>
                <w:p w14:paraId="2ACDB703">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50.0</w:t>
                  </w:r>
                </w:p>
              </w:tc>
            </w:tr>
            <w:tr w14:paraId="6B021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Align w:val="center"/>
                </w:tcPr>
                <w:p w14:paraId="64617D64">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1</w:t>
                  </w:r>
                  <w:r>
                    <w:rPr>
                      <w:rFonts w:ascii="Times New Roman" w:hAnsi="Times New Roman"/>
                      <w:color w:val="000000" w:themeColor="text1"/>
                      <w:szCs w:val="21"/>
                      <w14:textFill>
                        <w14:solidFill>
                          <w14:schemeClr w14:val="tx1"/>
                        </w14:solidFill>
                      </w14:textFill>
                    </w:rPr>
                    <w:t>#二类器械车间</w:t>
                  </w:r>
                </w:p>
              </w:tc>
              <w:tc>
                <w:tcPr>
                  <w:tcW w:w="999" w:type="pct"/>
                  <w:vAlign w:val="center"/>
                </w:tcPr>
                <w:p w14:paraId="6A2CD32E">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42.8</w:t>
                  </w:r>
                </w:p>
              </w:tc>
              <w:tc>
                <w:tcPr>
                  <w:tcW w:w="999" w:type="pct"/>
                  <w:vAlign w:val="center"/>
                </w:tcPr>
                <w:p w14:paraId="636B7E16">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55.3</w:t>
                  </w:r>
                </w:p>
              </w:tc>
              <w:tc>
                <w:tcPr>
                  <w:tcW w:w="1000" w:type="pct"/>
                  <w:vAlign w:val="center"/>
                </w:tcPr>
                <w:p w14:paraId="46B8E115">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44.6</w:t>
                  </w:r>
                </w:p>
              </w:tc>
              <w:tc>
                <w:tcPr>
                  <w:tcW w:w="1001" w:type="pct"/>
                  <w:vAlign w:val="center"/>
                </w:tcPr>
                <w:p w14:paraId="5AC948A1">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46.</w:t>
                  </w:r>
                </w:p>
              </w:tc>
            </w:tr>
            <w:tr w14:paraId="054B7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99" w:type="pct"/>
                  <w:vAlign w:val="center"/>
                </w:tcPr>
                <w:p w14:paraId="5BF968F4">
                  <w:pPr>
                    <w:pStyle w:val="24"/>
                    <w:ind w:firstLine="0" w:firstLineChars="0"/>
                    <w:jc w:val="center"/>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2#二类器械车间</w:t>
                  </w:r>
                </w:p>
              </w:tc>
              <w:tc>
                <w:tcPr>
                  <w:tcW w:w="999" w:type="pct"/>
                  <w:vAlign w:val="center"/>
                </w:tcPr>
                <w:p w14:paraId="4CF089F3">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46.3</w:t>
                  </w:r>
                </w:p>
              </w:tc>
              <w:tc>
                <w:tcPr>
                  <w:tcW w:w="999" w:type="pct"/>
                  <w:vAlign w:val="center"/>
                </w:tcPr>
                <w:p w14:paraId="408F4662">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55.5</w:t>
                  </w:r>
                </w:p>
              </w:tc>
              <w:tc>
                <w:tcPr>
                  <w:tcW w:w="1000" w:type="pct"/>
                  <w:vAlign w:val="center"/>
                </w:tcPr>
                <w:p w14:paraId="74A7EDC7">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47.7</w:t>
                  </w:r>
                </w:p>
              </w:tc>
              <w:tc>
                <w:tcPr>
                  <w:tcW w:w="1001" w:type="pct"/>
                  <w:vAlign w:val="center"/>
                </w:tcPr>
                <w:p w14:paraId="792B6FED">
                  <w:pPr>
                    <w:pStyle w:val="24"/>
                    <w:ind w:firstLine="0" w:firstLineChars="0"/>
                    <w:jc w:val="center"/>
                    <w:rPr>
                      <w:rFonts w:ascii="Times New Roman" w:hAnsi="Times New Roman"/>
                      <w:color w:val="000000" w:themeColor="text1"/>
                      <w:szCs w:val="21"/>
                      <w14:textFill>
                        <w14:solidFill>
                          <w14:schemeClr w14:val="tx1"/>
                        </w14:solidFill>
                      </w14:textFill>
                    </w:rPr>
                  </w:pPr>
                  <w:r>
                    <w:rPr>
                      <w:rFonts w:hint="eastAsia" w:ascii="Times New Roman" w:hAnsi="Times New Roman"/>
                      <w:color w:val="000000" w:themeColor="text1"/>
                      <w:szCs w:val="21"/>
                      <w14:textFill>
                        <w14:solidFill>
                          <w14:schemeClr w14:val="tx1"/>
                        </w14:solidFill>
                      </w14:textFill>
                    </w:rPr>
                    <w:t>50.0</w:t>
                  </w:r>
                </w:p>
              </w:tc>
            </w:tr>
          </w:tbl>
          <w:p w14:paraId="60CB7C6E">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3.2</w:t>
            </w:r>
            <w:r>
              <w:rPr>
                <w:rFonts w:hint="eastAsia" w:ascii="Times New Roman" w:hAnsi="Times New Roman"/>
                <w:color w:val="000000" w:themeColor="text1"/>
                <w:sz w:val="24"/>
                <w14:textFill>
                  <w14:solidFill>
                    <w14:schemeClr w14:val="tx1"/>
                  </w14:solidFill>
                </w14:textFill>
              </w:rPr>
              <w:t xml:space="preserve"> </w:t>
            </w:r>
            <w:r>
              <w:rPr>
                <w:rFonts w:ascii="Times New Roman" w:hAnsi="Times New Roman"/>
                <w:color w:val="000000" w:themeColor="text1"/>
                <w:sz w:val="24"/>
                <w14:textFill>
                  <w14:solidFill>
                    <w14:schemeClr w14:val="tx1"/>
                  </w14:solidFill>
                </w14:textFill>
              </w:rPr>
              <w:t>噪声预测模式</w:t>
            </w:r>
          </w:p>
          <w:p w14:paraId="6513B996">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根据《环境影响评价技术导则-声环境》（HJ2.4-2021）要求，本次评价声环境质量预测范围为项目四周厂界。本次评价根据《环境影响评价技术导则-声环境》（HJ2.4-2021）中声级预测模式对边界进行达标预测分析。</w:t>
            </w:r>
          </w:p>
          <w:p w14:paraId="3C6C97F3">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①建设项目声源在预测点产生的等效声级贡献值(</w:t>
            </w:r>
            <w:r>
              <w:rPr>
                <w:rFonts w:ascii="Times New Roman" w:hAnsi="Times New Roman"/>
                <w:color w:val="000000" w:themeColor="text1"/>
                <w:sz w:val="24"/>
                <w14:textFill>
                  <w14:solidFill>
                    <w14:schemeClr w14:val="tx1"/>
                  </w14:solidFill>
                </w14:textFill>
              </w:rPr>
              <w:object>
                <v:shape id="_x0000_i1026" o:spt="75" type="#_x0000_t75" style="height:18.4pt;width:20.95pt;" o:ole="t" filled="f" o:preferrelative="t" stroked="f" coordsize="21600,21600">
                  <v:path/>
                  <v:fill on="f" focussize="0,0"/>
                  <v:stroke on="f" joinstyle="miter"/>
                  <v:imagedata r:id="rId45" embosscolor="#FFFFFF" o:title=""/>
                  <o:lock v:ext="edit" aspectratio="t"/>
                  <w10:wrap type="none"/>
                  <w10:anchorlock/>
                </v:shape>
                <o:OLEObject Type="Embed" ProgID="Equation.3" ShapeID="_x0000_i1026" DrawAspect="Content" ObjectID="_1468075726" r:id="rId44">
                  <o:LockedField>false</o:LockedField>
                </o:OLEObject>
              </w:object>
            </w:r>
            <w:r>
              <w:rPr>
                <w:rFonts w:ascii="Times New Roman" w:hAnsi="Times New Roman"/>
                <w:color w:val="000000" w:themeColor="text1"/>
                <w:sz w:val="24"/>
                <w14:textFill>
                  <w14:solidFill>
                    <w14:schemeClr w14:val="tx1"/>
                  </w14:solidFill>
                </w14:textFill>
              </w:rPr>
              <w:t>)计算公式：</w:t>
            </w:r>
          </w:p>
          <w:p w14:paraId="77125469">
            <w:pPr>
              <w:spacing w:line="360" w:lineRule="auto"/>
              <w:jc w:val="center"/>
              <w:rPr>
                <w:color w:val="000000" w:themeColor="text1"/>
                <w:sz w:val="24"/>
                <w14:textFill>
                  <w14:solidFill>
                    <w14:schemeClr w14:val="tx1"/>
                  </w14:solidFill>
                </w14:textFill>
              </w:rPr>
            </w:pPr>
            <w:r>
              <w:rPr>
                <w:color w:val="000000" w:themeColor="text1"/>
                <w:position w:val="-14"/>
                <w:sz w:val="24"/>
                <w14:textFill>
                  <w14:solidFill>
                    <w14:schemeClr w14:val="tx1"/>
                  </w14:solidFill>
                </w14:textFill>
              </w:rPr>
              <w:object>
                <v:shape id="_x0000_i1027" o:spt="75" type="#_x0000_t75" style="height:18.4pt;width:20.95pt;" o:ole="t" filled="f" o:preferrelative="t" stroked="f" coordsize="21600,21600">
                  <v:path/>
                  <v:fill on="f" focussize="0,0"/>
                  <v:stroke on="f" joinstyle="miter"/>
                  <v:imagedata r:id="rId45" embosscolor="#FFFFFF" o:title=""/>
                  <o:lock v:ext="edit" aspectratio="t"/>
                  <w10:wrap type="none"/>
                  <w10:anchorlock/>
                </v:shape>
                <o:OLEObject Type="Embed" ProgID="Equation.3" ShapeID="_x0000_i1027" DrawAspect="Content" ObjectID="_1468075727" r:id="rId46">
                  <o:LockedField>false</o:LockedField>
                </o:OLEObject>
              </w:object>
            </w:r>
            <w:r>
              <w:rPr>
                <w:color w:val="000000" w:themeColor="text1"/>
                <w:sz w:val="24"/>
                <w14:textFill>
                  <w14:solidFill>
                    <w14:schemeClr w14:val="tx1"/>
                  </w14:solidFill>
                </w14:textFill>
              </w:rPr>
              <w:t>=</w:t>
            </w:r>
            <w:r>
              <w:rPr>
                <w:color w:val="000000" w:themeColor="text1"/>
                <w:position w:val="-10"/>
                <w:sz w:val="24"/>
                <w14:textFill>
                  <w14:solidFill>
                    <w14:schemeClr w14:val="tx1"/>
                  </w14:solidFill>
                </w14:textFill>
              </w:rPr>
              <w:object>
                <v:shape id="_x0000_i1028" o:spt="75" type="#_x0000_t75" style="height:15.9pt;width:24.3pt;" o:ole="t" filled="f" o:preferrelative="t" stroked="f" coordsize="21600,21600">
                  <v:path/>
                  <v:fill on="f" focussize="0,0"/>
                  <v:stroke on="f" joinstyle="miter"/>
                  <v:imagedata r:id="rId48" embosscolor="#FFFFFF" o:title=""/>
                  <o:lock v:ext="edit" aspectratio="t"/>
                  <w10:wrap type="none"/>
                  <w10:anchorlock/>
                </v:shape>
                <o:OLEObject Type="Embed" ProgID="Equation.3" ShapeID="_x0000_i1028" DrawAspect="Content" ObjectID="_1468075728" r:id="rId47">
                  <o:LockedField>false</o:LockedField>
                </o:OLEObject>
              </w:object>
            </w:r>
            <w:r>
              <w:rPr>
                <w:color w:val="000000" w:themeColor="text1"/>
                <w:sz w:val="24"/>
                <w14:textFill>
                  <w14:solidFill>
                    <w14:schemeClr w14:val="tx1"/>
                  </w14:solidFill>
                </w14:textFill>
              </w:rPr>
              <w:t>(</w:t>
            </w:r>
            <w:r>
              <w:rPr>
                <w:color w:val="000000" w:themeColor="text1"/>
                <w:position w:val="-12"/>
                <w:sz w:val="24"/>
                <w14:textFill>
                  <w14:solidFill>
                    <w14:schemeClr w14:val="tx1"/>
                  </w14:solidFill>
                </w14:textFill>
              </w:rPr>
              <w:object>
                <v:shape id="_x0000_i1029" o:spt="75" type="#_x0000_t75" style="height:18.4pt;width:10.05pt;" o:ole="t" filled="f" o:preferrelative="t" stroked="f" coordsize="21600,21600">
                  <v:path/>
                  <v:fill on="f" focussize="0,0"/>
                  <v:stroke on="f" joinstyle="miter"/>
                  <v:imagedata r:id="rId50" embosscolor="#FFFFFF" o:title=""/>
                  <o:lock v:ext="edit" aspectratio="t"/>
                  <w10:wrap type="none"/>
                  <w10:anchorlock/>
                </v:shape>
                <o:OLEObject Type="Embed" ProgID="Equation.KSEE3" ShapeID="_x0000_i1029" DrawAspect="Content" ObjectID="_1468075729" r:id="rId49">
                  <o:LockedField>false</o:LockedField>
                </o:OLEObject>
              </w:object>
            </w:r>
            <w:r>
              <w:rPr>
                <w:color w:val="000000" w:themeColor="text1"/>
                <w:position w:val="-28"/>
                <w:sz w:val="24"/>
                <w14:textFill>
                  <w14:solidFill>
                    <w14:schemeClr w14:val="tx1"/>
                  </w14:solidFill>
                </w14:textFill>
              </w:rPr>
              <w:object>
                <v:shape id="_x0000_i1030" o:spt="75" type="#_x0000_t75" style="height:26.8pt;width:54.4pt;" o:ole="t" filled="f" o:preferrelative="t" stroked="f" coordsize="21600,21600">
                  <v:path/>
                  <v:fill on="f" focussize="0,0"/>
                  <v:stroke on="f" joinstyle="miter"/>
                  <v:imagedata r:id="rId52" embosscolor="#FFFFFF" o:title=""/>
                  <o:lock v:ext="edit" aspectratio="t"/>
                  <w10:wrap type="none"/>
                  <w10:anchorlock/>
                </v:shape>
                <o:OLEObject Type="Embed" ProgID="Equation.3" ShapeID="_x0000_i1030" DrawAspect="Content" ObjectID="_1468075730" r:id="rId51">
                  <o:LockedField>false</o:LockedField>
                </o:OLEObject>
              </w:object>
            </w:r>
            <w:r>
              <w:rPr>
                <w:color w:val="000000" w:themeColor="text1"/>
                <w:sz w:val="24"/>
                <w14:textFill>
                  <w14:solidFill>
                    <w14:schemeClr w14:val="tx1"/>
                  </w14:solidFill>
                </w14:textFill>
              </w:rPr>
              <w:t>)</w:t>
            </w:r>
          </w:p>
          <w:p w14:paraId="3054190D">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式中：</w:t>
            </w:r>
            <w:r>
              <w:rPr>
                <w:rFonts w:ascii="Times New Roman" w:hAnsi="Times New Roman"/>
                <w:color w:val="000000" w:themeColor="text1"/>
                <w:sz w:val="24"/>
                <w14:textFill>
                  <w14:solidFill>
                    <w14:schemeClr w14:val="tx1"/>
                  </w14:solidFill>
                </w14:textFill>
              </w:rPr>
              <w:object>
                <v:shape id="_x0000_i1031" o:spt="75" type="#_x0000_t75" style="height:18.4pt;width:20.95pt;" o:ole="t" filled="f" o:preferrelative="t" stroked="f" coordsize="21600,21600">
                  <v:path/>
                  <v:fill on="f" focussize="0,0"/>
                  <v:stroke on="f" joinstyle="miter"/>
                  <v:imagedata r:id="rId45" embosscolor="#FFFFFF" o:title=""/>
                  <o:lock v:ext="edit" aspectratio="t"/>
                  <w10:wrap type="none"/>
                  <w10:anchorlock/>
                </v:shape>
                <o:OLEObject Type="Embed" ProgID="Equation.3" ShapeID="_x0000_i1031" DrawAspect="Content" ObjectID="_1468075731" r:id="rId53">
                  <o:LockedField>false</o:LockedField>
                </o:OLEObject>
              </w:object>
            </w:r>
            <w:r>
              <w:rPr>
                <w:rFonts w:ascii="Times New Roman" w:hAnsi="Times New Roman"/>
                <w:color w:val="000000" w:themeColor="text1"/>
                <w:sz w:val="24"/>
                <w14:textFill>
                  <w14:solidFill>
                    <w14:schemeClr w14:val="tx1"/>
                  </w14:solidFill>
                </w14:textFill>
              </w:rPr>
              <w:t>：建设项目声源在预测点的等效声级贡献值，dB(A)；</w:t>
            </w:r>
          </w:p>
          <w:p w14:paraId="07B15327">
            <w:pPr>
              <w:pStyle w:val="24"/>
              <w:spacing w:line="360" w:lineRule="auto"/>
              <w:ind w:firstLine="1200" w:firstLineChars="5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object>
                <v:shape id="_x0000_i1032" o:spt="75" type="#_x0000_t75" style="height:17.6pt;width:18.4pt;" o:ole="t" filled="f" o:preferrelative="t" stroked="f" coordsize="21600,21600">
                  <v:path/>
                  <v:fill on="f" focussize="0,0"/>
                  <v:stroke on="f" joinstyle="miter"/>
                  <v:imagedata r:id="rId55" embosscolor="#FFFFFF" o:title=""/>
                  <o:lock v:ext="edit" aspectratio="t"/>
                  <w10:wrap type="none"/>
                  <w10:anchorlock/>
                </v:shape>
                <o:OLEObject Type="Embed" ProgID="Equation.3" ShapeID="_x0000_i1032" DrawAspect="Content" ObjectID="_1468075732" r:id="rId54">
                  <o:LockedField>false</o:LockedField>
                </o:OLEObject>
              </w:object>
            </w:r>
            <w:r>
              <w:rPr>
                <w:rFonts w:ascii="Times New Roman" w:hAnsi="Times New Roman"/>
                <w:color w:val="000000" w:themeColor="text1"/>
                <w:sz w:val="24"/>
                <w14:textFill>
                  <w14:solidFill>
                    <w14:schemeClr w14:val="tx1"/>
                  </w14:solidFill>
                </w14:textFill>
              </w:rPr>
              <w:t>：声源在预测点产生的A声级，dB(A)；</w:t>
            </w:r>
          </w:p>
          <w:p w14:paraId="6CD247D4">
            <w:pPr>
              <w:pStyle w:val="24"/>
              <w:spacing w:line="360" w:lineRule="auto"/>
              <w:ind w:firstLine="1200" w:firstLineChars="5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T：预测计算的时间段，s；</w:t>
            </w:r>
          </w:p>
          <w:p w14:paraId="5DEAA47F">
            <w:pPr>
              <w:pStyle w:val="24"/>
              <w:spacing w:line="360" w:lineRule="auto"/>
              <w:ind w:firstLine="1200" w:firstLineChars="5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Ti：i声源在T时段内的运行时间，s。</w:t>
            </w:r>
          </w:p>
          <w:p w14:paraId="39C4F021">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②无指向性点声源的几何发散衰减计算公式为：</w:t>
            </w:r>
          </w:p>
          <w:p w14:paraId="58C72C2E">
            <w:pPr>
              <w:pStyle w:val="24"/>
              <w:spacing w:line="360" w:lineRule="auto"/>
              <w:ind w:firstLine="480"/>
              <w:jc w:val="center"/>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Lr =L0 -20lg(R/R0)</w:t>
            </w:r>
          </w:p>
          <w:p w14:paraId="60FEF471">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式中：Lr：距噪声源距离为r处声级值，dB(A)；</w:t>
            </w:r>
          </w:p>
          <w:p w14:paraId="5DA2B1AF">
            <w:pPr>
              <w:pStyle w:val="24"/>
              <w:spacing w:line="360" w:lineRule="auto"/>
              <w:ind w:firstLine="1200" w:firstLineChars="5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L</w:t>
            </w:r>
            <w:r>
              <w:rPr>
                <w:rFonts w:ascii="Times New Roman" w:hAnsi="Times New Roman"/>
                <w:color w:val="000000" w:themeColor="text1"/>
                <w:sz w:val="24"/>
                <w:vertAlign w:val="subscript"/>
                <w14:textFill>
                  <w14:solidFill>
                    <w14:schemeClr w14:val="tx1"/>
                  </w14:solidFill>
                </w14:textFill>
              </w:rPr>
              <w:t>0</w:t>
            </w:r>
            <w:r>
              <w:rPr>
                <w:rFonts w:ascii="Times New Roman" w:hAnsi="Times New Roman"/>
                <w:color w:val="000000" w:themeColor="text1"/>
                <w:sz w:val="24"/>
                <w14:textFill>
                  <w14:solidFill>
                    <w14:schemeClr w14:val="tx1"/>
                  </w14:solidFill>
                </w14:textFill>
              </w:rPr>
              <w:t>：距噪声源距离为r</w:t>
            </w:r>
            <w:r>
              <w:rPr>
                <w:rFonts w:ascii="Times New Roman" w:hAnsi="Times New Roman"/>
                <w:color w:val="000000" w:themeColor="text1"/>
                <w:sz w:val="24"/>
                <w:vertAlign w:val="subscript"/>
                <w14:textFill>
                  <w14:solidFill>
                    <w14:schemeClr w14:val="tx1"/>
                  </w14:solidFill>
                </w14:textFill>
              </w:rPr>
              <w:t>0</w:t>
            </w:r>
            <w:r>
              <w:rPr>
                <w:rFonts w:ascii="Times New Roman" w:hAnsi="Times New Roman"/>
                <w:color w:val="000000" w:themeColor="text1"/>
                <w:sz w:val="24"/>
                <w14:textFill>
                  <w14:solidFill>
                    <w14:schemeClr w14:val="tx1"/>
                  </w14:solidFill>
                </w14:textFill>
              </w:rPr>
              <w:t>处声级值，dB(A)；</w:t>
            </w:r>
          </w:p>
          <w:p w14:paraId="30F5833D">
            <w:pPr>
              <w:pStyle w:val="24"/>
              <w:spacing w:line="360" w:lineRule="auto"/>
              <w:ind w:firstLine="1200" w:firstLineChars="5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R：关心点距噪声源距离，m；</w:t>
            </w:r>
          </w:p>
          <w:p w14:paraId="627ABDF1">
            <w:pPr>
              <w:pStyle w:val="24"/>
              <w:spacing w:line="360" w:lineRule="auto"/>
              <w:ind w:firstLine="1200" w:firstLineChars="50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r</w:t>
            </w:r>
            <w:r>
              <w:rPr>
                <w:rFonts w:ascii="Times New Roman" w:hAnsi="Times New Roman"/>
                <w:color w:val="000000" w:themeColor="text1"/>
                <w:sz w:val="24"/>
                <w:vertAlign w:val="subscript"/>
                <w14:textFill>
                  <w14:solidFill>
                    <w14:schemeClr w14:val="tx1"/>
                  </w14:solidFill>
                </w14:textFill>
              </w:rPr>
              <w:t>0</w:t>
            </w:r>
            <w:r>
              <w:rPr>
                <w:rFonts w:ascii="Times New Roman" w:hAnsi="Times New Roman"/>
                <w:color w:val="000000" w:themeColor="text1"/>
                <w:sz w:val="24"/>
                <w14:textFill>
                  <w14:solidFill>
                    <w14:schemeClr w14:val="tx1"/>
                  </w14:solidFill>
                </w14:textFill>
              </w:rPr>
              <w:t>--距噪声源距离，r</w:t>
            </w:r>
            <w:r>
              <w:rPr>
                <w:rFonts w:ascii="Times New Roman" w:hAnsi="Times New Roman"/>
                <w:color w:val="000000" w:themeColor="text1"/>
                <w:sz w:val="24"/>
                <w:vertAlign w:val="subscript"/>
                <w14:textFill>
                  <w14:solidFill>
                    <w14:schemeClr w14:val="tx1"/>
                  </w14:solidFill>
                </w14:textFill>
              </w:rPr>
              <w:t>0</w:t>
            </w:r>
            <w:r>
              <w:rPr>
                <w:rFonts w:ascii="Times New Roman" w:hAnsi="Times New Roman"/>
                <w:color w:val="000000" w:themeColor="text1"/>
                <w:sz w:val="24"/>
                <w14:textFill>
                  <w14:solidFill>
                    <w14:schemeClr w14:val="tx1"/>
                  </w14:solidFill>
                </w14:textFill>
              </w:rPr>
              <w:t>取1m。</w:t>
            </w:r>
          </w:p>
          <w:p w14:paraId="2250C8AA">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③各预测点声压级按下列公式进行叠加：</w:t>
            </w:r>
          </w:p>
          <w:p w14:paraId="20F59DAC">
            <w:pPr>
              <w:pStyle w:val="24"/>
              <w:spacing w:line="360" w:lineRule="auto"/>
              <w:ind w:firstLine="0" w:firstLineChars="0"/>
              <w:jc w:val="center"/>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L</w:t>
            </w:r>
            <w:r>
              <w:rPr>
                <w:rFonts w:ascii="Times New Roman" w:hAnsi="Times New Roman"/>
                <w:color w:val="000000" w:themeColor="text1"/>
                <w:sz w:val="24"/>
                <w:vertAlign w:val="subscript"/>
                <w14:textFill>
                  <w14:solidFill>
                    <w14:schemeClr w14:val="tx1"/>
                  </w14:solidFill>
                </w14:textFill>
              </w:rPr>
              <w:t>总</w:t>
            </w:r>
            <w:r>
              <w:rPr>
                <w:rFonts w:ascii="Times New Roman" w:hAnsi="Times New Roman"/>
                <w:color w:val="000000" w:themeColor="text1"/>
                <w:sz w:val="24"/>
                <w14:textFill>
                  <w14:solidFill>
                    <w14:schemeClr w14:val="tx1"/>
                  </w14:solidFill>
                </w14:textFill>
              </w:rPr>
              <w:t>= 10lg(∑100.1Li + 100.1Lb)</w:t>
            </w:r>
          </w:p>
          <w:p w14:paraId="242D4723">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式中：L总——预测点叠加后的总声压级，dB(A)；</w:t>
            </w:r>
          </w:p>
          <w:p w14:paraId="461C20B0">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 xml:space="preserve">      L</w:t>
            </w:r>
            <w:r>
              <w:rPr>
                <w:rFonts w:ascii="Times New Roman" w:hAnsi="Times New Roman"/>
                <w:color w:val="000000" w:themeColor="text1"/>
                <w:sz w:val="24"/>
                <w:vertAlign w:val="subscript"/>
                <w14:textFill>
                  <w14:solidFill>
                    <w14:schemeClr w14:val="tx1"/>
                  </w14:solidFill>
                </w14:textFill>
              </w:rPr>
              <w:t>i</w:t>
            </w:r>
            <w:r>
              <w:rPr>
                <w:rFonts w:ascii="Times New Roman" w:hAnsi="Times New Roman"/>
                <w:color w:val="000000" w:themeColor="text1"/>
                <w:sz w:val="24"/>
                <w14:textFill>
                  <w14:solidFill>
                    <w14:schemeClr w14:val="tx1"/>
                  </w14:solidFill>
                </w14:textFill>
              </w:rPr>
              <w:t xml:space="preserve"> ——第i个声源到预测点处的声压级，dB(A)；</w:t>
            </w:r>
          </w:p>
          <w:p w14:paraId="5C75DB03">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 xml:space="preserve">      L</w:t>
            </w:r>
            <w:r>
              <w:rPr>
                <w:rFonts w:ascii="Times New Roman" w:hAnsi="Times New Roman"/>
                <w:color w:val="000000" w:themeColor="text1"/>
                <w:sz w:val="24"/>
                <w:vertAlign w:val="subscript"/>
                <w14:textFill>
                  <w14:solidFill>
                    <w14:schemeClr w14:val="tx1"/>
                  </w14:solidFill>
                </w14:textFill>
              </w:rPr>
              <w:t>b</w:t>
            </w:r>
            <w:r>
              <w:rPr>
                <w:rFonts w:ascii="Times New Roman" w:hAnsi="Times New Roman"/>
                <w:color w:val="000000" w:themeColor="text1"/>
                <w:sz w:val="24"/>
                <w14:textFill>
                  <w14:solidFill>
                    <w14:schemeClr w14:val="tx1"/>
                  </w14:solidFill>
                </w14:textFill>
              </w:rPr>
              <w:t>——环境噪声本底值，dB(A)；</w:t>
            </w:r>
          </w:p>
          <w:p w14:paraId="7172C8F0">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 xml:space="preserve">      n——声源个数。</w:t>
            </w:r>
          </w:p>
          <w:p w14:paraId="650D9B67">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3.3预测结果及分析</w:t>
            </w:r>
          </w:p>
          <w:p w14:paraId="4355778A">
            <w:pPr>
              <w:pStyle w:val="24"/>
              <w:spacing w:line="360" w:lineRule="auto"/>
              <w:ind w:firstLine="480"/>
              <w:rPr>
                <w:rFonts w:ascii="Times New Roman" w:hAnsi="Times New Roman"/>
                <w:color w:val="000000" w:themeColor="text1"/>
                <w:sz w:val="24"/>
                <w14:textFill>
                  <w14:solidFill>
                    <w14:schemeClr w14:val="tx1"/>
                  </w14:solidFill>
                </w14:textFill>
              </w:rPr>
            </w:pPr>
            <w:r>
              <w:rPr>
                <w:rFonts w:ascii="Times New Roman" w:hAnsi="Times New Roman"/>
                <w:color w:val="000000" w:themeColor="text1"/>
                <w:sz w:val="24"/>
                <w14:textFill>
                  <w14:solidFill>
                    <w14:schemeClr w14:val="tx1"/>
                  </w14:solidFill>
                </w14:textFill>
              </w:rPr>
              <w:t>本项目生产噪声对四周厂界</w:t>
            </w:r>
            <w:r>
              <w:rPr>
                <w:rFonts w:hint="eastAsia" w:ascii="Times New Roman" w:hAnsi="Times New Roman"/>
                <w:color w:val="000000" w:themeColor="text1"/>
                <w:sz w:val="24"/>
                <w14:textFill>
                  <w14:solidFill>
                    <w14:schemeClr w14:val="tx1"/>
                  </w14:solidFill>
                </w14:textFill>
              </w:rPr>
              <w:t>及周边环境敏感点</w:t>
            </w:r>
            <w:r>
              <w:rPr>
                <w:rFonts w:ascii="Times New Roman" w:hAnsi="Times New Roman"/>
                <w:color w:val="000000" w:themeColor="text1"/>
                <w:sz w:val="24"/>
                <w14:textFill>
                  <w14:solidFill>
                    <w14:schemeClr w14:val="tx1"/>
                  </w14:solidFill>
                </w14:textFill>
              </w:rPr>
              <w:t>的噪声预测结果见下表。</w:t>
            </w:r>
          </w:p>
          <w:p w14:paraId="6EEF572C">
            <w:pPr>
              <w:pStyle w:val="23"/>
              <w:spacing w:after="0" w:line="360" w:lineRule="auto"/>
              <w:ind w:firstLine="0" w:firstLineChars="0"/>
              <w:jc w:val="center"/>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表</w:t>
            </w:r>
            <w:r>
              <w:rPr>
                <w:rFonts w:hint="eastAsia"/>
                <w:b/>
                <w:bCs/>
                <w:color w:val="000000" w:themeColor="text1"/>
                <w:sz w:val="24"/>
                <w:szCs w:val="24"/>
                <w14:textFill>
                  <w14:solidFill>
                    <w14:schemeClr w14:val="tx1"/>
                  </w14:solidFill>
                </w14:textFill>
              </w:rPr>
              <w:t xml:space="preserve">4-20  </w:t>
            </w:r>
            <w:r>
              <w:rPr>
                <w:b/>
                <w:bCs/>
                <w:color w:val="000000" w:themeColor="text1"/>
                <w:sz w:val="24"/>
                <w:szCs w:val="24"/>
                <w14:textFill>
                  <w14:solidFill>
                    <w14:schemeClr w14:val="tx1"/>
                  </w14:solidFill>
                </w14:textFill>
              </w:rPr>
              <w:t>各厂界噪声贡献值结果统计表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4"/>
              <w:gridCol w:w="2013"/>
              <w:gridCol w:w="1429"/>
              <w:gridCol w:w="1556"/>
              <w:gridCol w:w="2145"/>
              <w:gridCol w:w="1951"/>
              <w:gridCol w:w="1951"/>
              <w:gridCol w:w="1386"/>
            </w:tblGrid>
            <w:tr w14:paraId="2B7C5C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Align w:val="center"/>
                </w:tcPr>
                <w:p w14:paraId="32A63632">
                  <w:pPr>
                    <w:jc w:val="center"/>
                    <w:rPr>
                      <w:bCs/>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评价点</w:t>
                  </w:r>
                </w:p>
              </w:tc>
              <w:tc>
                <w:tcPr>
                  <w:tcW w:w="745" w:type="pct"/>
                  <w:vAlign w:val="center"/>
                </w:tcPr>
                <w:p w14:paraId="45253E1C">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污染源名称</w:t>
                  </w:r>
                </w:p>
              </w:tc>
              <w:tc>
                <w:tcPr>
                  <w:tcW w:w="529" w:type="pct"/>
                  <w:vAlign w:val="center"/>
                </w:tcPr>
                <w:p w14:paraId="0A60B6C2">
                  <w:pPr>
                    <w:jc w:val="center"/>
                    <w:rPr>
                      <w:color w:val="000000" w:themeColor="text1"/>
                      <w:spacing w:val="-20"/>
                      <w:sz w:val="21"/>
                      <w:szCs w:val="21"/>
                      <w14:textFill>
                        <w14:solidFill>
                          <w14:schemeClr w14:val="tx1"/>
                        </w14:solidFill>
                      </w14:textFill>
                    </w:rPr>
                  </w:pPr>
                  <w:r>
                    <w:rPr>
                      <w:color w:val="000000" w:themeColor="text1"/>
                      <w:spacing w:val="-20"/>
                      <w:sz w:val="21"/>
                      <w:szCs w:val="21"/>
                      <w14:textFill>
                        <w14:solidFill>
                          <w14:schemeClr w14:val="tx1"/>
                        </w14:solidFill>
                      </w14:textFill>
                    </w:rPr>
                    <w:t>源强dB（A）</w:t>
                  </w:r>
                </w:p>
              </w:tc>
              <w:tc>
                <w:tcPr>
                  <w:tcW w:w="576" w:type="pct"/>
                  <w:vAlign w:val="center"/>
                </w:tcPr>
                <w:p w14:paraId="53D17D30">
                  <w:pPr>
                    <w:jc w:val="center"/>
                    <w:rPr>
                      <w:color w:val="000000" w:themeColor="text1"/>
                      <w:spacing w:val="-20"/>
                      <w:sz w:val="21"/>
                      <w:szCs w:val="21"/>
                      <w14:textFill>
                        <w14:solidFill>
                          <w14:schemeClr w14:val="tx1"/>
                        </w14:solidFill>
                      </w14:textFill>
                    </w:rPr>
                  </w:pPr>
                  <w:r>
                    <w:rPr>
                      <w:color w:val="000000" w:themeColor="text1"/>
                      <w:sz w:val="21"/>
                      <w:szCs w:val="21"/>
                      <w14:textFill>
                        <w14:solidFill>
                          <w14:schemeClr w14:val="tx1"/>
                        </w14:solidFill>
                      </w14:textFill>
                    </w:rPr>
                    <w:t>衰减距离</w:t>
                  </w:r>
                  <w:r>
                    <w:rPr>
                      <w:color w:val="000000" w:themeColor="text1"/>
                      <w:spacing w:val="-20"/>
                      <w:sz w:val="21"/>
                      <w:szCs w:val="21"/>
                      <w14:textFill>
                        <w14:solidFill>
                          <w14:schemeClr w14:val="tx1"/>
                        </w14:solidFill>
                      </w14:textFill>
                    </w:rPr>
                    <w:t>（m</w:t>
                  </w:r>
                  <w:r>
                    <w:rPr>
                      <w:color w:val="000000" w:themeColor="text1"/>
                      <w:sz w:val="21"/>
                      <w:szCs w:val="21"/>
                      <w14:textFill>
                        <w14:solidFill>
                          <w14:schemeClr w14:val="tx1"/>
                        </w14:solidFill>
                      </w14:textFill>
                    </w:rPr>
                    <w:t>）</w:t>
                  </w:r>
                </w:p>
              </w:tc>
              <w:tc>
                <w:tcPr>
                  <w:tcW w:w="794" w:type="pct"/>
                  <w:vAlign w:val="center"/>
                </w:tcPr>
                <w:p w14:paraId="22523594">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预测点位影响值</w:t>
                  </w:r>
                  <w:r>
                    <w:rPr>
                      <w:color w:val="000000" w:themeColor="text1"/>
                      <w:spacing w:val="-20"/>
                      <w:sz w:val="21"/>
                      <w:szCs w:val="21"/>
                      <w14:textFill>
                        <w14:solidFill>
                          <w14:schemeClr w14:val="tx1"/>
                        </w14:solidFill>
                      </w14:textFill>
                    </w:rPr>
                    <w:t>dB（A）</w:t>
                  </w:r>
                </w:p>
              </w:tc>
              <w:tc>
                <w:tcPr>
                  <w:tcW w:w="722" w:type="pct"/>
                  <w:vAlign w:val="center"/>
                </w:tcPr>
                <w:p w14:paraId="402AE294">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现状值</w:t>
                  </w:r>
                </w:p>
                <w:p w14:paraId="6CC90834">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dB（A）</w:t>
                  </w:r>
                </w:p>
              </w:tc>
              <w:tc>
                <w:tcPr>
                  <w:tcW w:w="722" w:type="pct"/>
                  <w:vAlign w:val="center"/>
                </w:tcPr>
                <w:p w14:paraId="46299752">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贡献叠加值</w:t>
                  </w:r>
                </w:p>
                <w:p w14:paraId="64A4FB16">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dB（A）</w:t>
                  </w:r>
                </w:p>
              </w:tc>
              <w:tc>
                <w:tcPr>
                  <w:tcW w:w="513" w:type="pct"/>
                  <w:vAlign w:val="center"/>
                </w:tcPr>
                <w:p w14:paraId="619C686A">
                  <w:pPr>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标准值</w:t>
                  </w:r>
                </w:p>
              </w:tc>
            </w:tr>
            <w:tr w14:paraId="0138A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restart"/>
                  <w:vAlign w:val="center"/>
                </w:tcPr>
                <w:p w14:paraId="7EB937A4">
                  <w:pPr>
                    <w:autoSpaceDE w:val="0"/>
                    <w:autoSpaceDN w:val="0"/>
                    <w:adjustRightInd w:val="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东</w:t>
                  </w:r>
                </w:p>
                <w:p w14:paraId="4B3CD70D">
                  <w:pPr>
                    <w:autoSpaceDE w:val="0"/>
                    <w:autoSpaceDN w:val="0"/>
                    <w:adjustRightInd w:val="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厂</w:t>
                  </w:r>
                </w:p>
                <w:p w14:paraId="2DE727AA">
                  <w:pPr>
                    <w:autoSpaceDE w:val="0"/>
                    <w:autoSpaceDN w:val="0"/>
                    <w:adjustRightInd w:val="0"/>
                    <w:jc w:val="center"/>
                    <w:rPr>
                      <w:bCs/>
                      <w:color w:val="000000" w:themeColor="text1"/>
                      <w:sz w:val="21"/>
                      <w:szCs w:val="21"/>
                      <w14:textFill>
                        <w14:solidFill>
                          <w14:schemeClr w14:val="tx1"/>
                        </w14:solidFill>
                      </w14:textFill>
                    </w:rPr>
                  </w:pPr>
                  <w:r>
                    <w:rPr>
                      <w:color w:val="000000" w:themeColor="text1"/>
                      <w:sz w:val="21"/>
                      <w:szCs w:val="21"/>
                      <w:lang w:val="zh-CN"/>
                      <w14:textFill>
                        <w14:solidFill>
                          <w14:schemeClr w14:val="tx1"/>
                        </w14:solidFill>
                      </w14:textFill>
                    </w:rPr>
                    <w:t>界</w:t>
                  </w:r>
                </w:p>
              </w:tc>
              <w:tc>
                <w:tcPr>
                  <w:tcW w:w="745" w:type="pct"/>
                  <w:shd w:val="clear" w:color="auto" w:fill="auto"/>
                  <w:vAlign w:val="center"/>
                </w:tcPr>
                <w:p w14:paraId="7765DB4E">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黄酒车间</w:t>
                  </w:r>
                </w:p>
              </w:tc>
              <w:tc>
                <w:tcPr>
                  <w:tcW w:w="529" w:type="pct"/>
                  <w:shd w:val="clear" w:color="auto" w:fill="auto"/>
                  <w:vAlign w:val="center"/>
                </w:tcPr>
                <w:p w14:paraId="33D67431">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38.1</w:t>
                  </w:r>
                </w:p>
              </w:tc>
              <w:tc>
                <w:tcPr>
                  <w:tcW w:w="576" w:type="pct"/>
                  <w:vAlign w:val="center"/>
                </w:tcPr>
                <w:p w14:paraId="1F5718A8">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2145" w:type="dxa"/>
                  <w:vAlign w:val="center"/>
                </w:tcPr>
                <w:p w14:paraId="1F0654DF">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24.1</w:t>
                  </w:r>
                </w:p>
              </w:tc>
              <w:tc>
                <w:tcPr>
                  <w:tcW w:w="722" w:type="pct"/>
                  <w:vMerge w:val="restart"/>
                  <w:vAlign w:val="center"/>
                </w:tcPr>
                <w:p w14:paraId="05B0C129">
                  <w:pPr>
                    <w:widowControl/>
                    <w:jc w:val="center"/>
                    <w:textAlignment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722" w:type="pct"/>
                  <w:vMerge w:val="restart"/>
                  <w:vAlign w:val="center"/>
                </w:tcPr>
                <w:p w14:paraId="1CCEA990">
                  <w:pPr>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53.4</w:t>
                  </w:r>
                </w:p>
              </w:tc>
              <w:tc>
                <w:tcPr>
                  <w:tcW w:w="513" w:type="pct"/>
                  <w:vMerge w:val="restart"/>
                  <w:vAlign w:val="center"/>
                </w:tcPr>
                <w:p w14:paraId="73B389BF">
                  <w:pPr>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60</w:t>
                  </w:r>
                </w:p>
              </w:tc>
            </w:tr>
            <w:tr w14:paraId="17897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2C6E2EBF">
                  <w:pPr>
                    <w:autoSpaceDE w:val="0"/>
                    <w:autoSpaceDN w:val="0"/>
                    <w:adjustRightInd w:val="0"/>
                    <w:jc w:val="center"/>
                    <w:rPr>
                      <w:color w:val="000000" w:themeColor="text1"/>
                      <w:sz w:val="21"/>
                      <w:szCs w:val="21"/>
                      <w:lang w:val="zh-CN"/>
                      <w14:textFill>
                        <w14:solidFill>
                          <w14:schemeClr w14:val="tx1"/>
                        </w14:solidFill>
                      </w14:textFill>
                    </w:rPr>
                  </w:pPr>
                </w:p>
              </w:tc>
              <w:tc>
                <w:tcPr>
                  <w:tcW w:w="745" w:type="pct"/>
                  <w:shd w:val="clear" w:color="auto" w:fill="auto"/>
                  <w:vAlign w:val="center"/>
                </w:tcPr>
                <w:p w14:paraId="1F9F558B">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综合车间</w:t>
                  </w:r>
                </w:p>
              </w:tc>
              <w:tc>
                <w:tcPr>
                  <w:tcW w:w="529" w:type="pct"/>
                  <w:shd w:val="clear" w:color="auto" w:fill="auto"/>
                  <w:vAlign w:val="center"/>
                </w:tcPr>
                <w:p w14:paraId="4CD11C9E">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43.9</w:t>
                  </w:r>
                </w:p>
              </w:tc>
              <w:tc>
                <w:tcPr>
                  <w:tcW w:w="576" w:type="pct"/>
                  <w:vAlign w:val="center"/>
                </w:tcPr>
                <w:p w14:paraId="696A6C4D">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w:t>
                  </w:r>
                </w:p>
              </w:tc>
              <w:tc>
                <w:tcPr>
                  <w:tcW w:w="2145" w:type="dxa"/>
                  <w:vAlign w:val="center"/>
                </w:tcPr>
                <w:p w14:paraId="478EC0DF">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29.9</w:t>
                  </w:r>
                </w:p>
              </w:tc>
              <w:tc>
                <w:tcPr>
                  <w:tcW w:w="722" w:type="pct"/>
                  <w:vMerge w:val="continue"/>
                  <w:vAlign w:val="center"/>
                </w:tcPr>
                <w:p w14:paraId="28961D86">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3E6AA195">
                  <w:pPr>
                    <w:jc w:val="center"/>
                    <w:rPr>
                      <w:bCs/>
                      <w:color w:val="000000" w:themeColor="text1"/>
                      <w:sz w:val="21"/>
                      <w:szCs w:val="21"/>
                      <w14:textFill>
                        <w14:solidFill>
                          <w14:schemeClr w14:val="tx1"/>
                        </w14:solidFill>
                      </w14:textFill>
                    </w:rPr>
                  </w:pPr>
                </w:p>
              </w:tc>
              <w:tc>
                <w:tcPr>
                  <w:tcW w:w="513" w:type="pct"/>
                  <w:vMerge w:val="continue"/>
                  <w:vAlign w:val="center"/>
                </w:tcPr>
                <w:p w14:paraId="2847A6DB">
                  <w:pPr>
                    <w:jc w:val="center"/>
                    <w:rPr>
                      <w:bCs/>
                      <w:color w:val="000000" w:themeColor="text1"/>
                      <w:sz w:val="21"/>
                      <w:szCs w:val="21"/>
                      <w14:textFill>
                        <w14:solidFill>
                          <w14:schemeClr w14:val="tx1"/>
                        </w14:solidFill>
                      </w14:textFill>
                    </w:rPr>
                  </w:pPr>
                </w:p>
              </w:tc>
            </w:tr>
            <w:tr w14:paraId="5FA567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080F1298">
                  <w:pPr>
                    <w:autoSpaceDE w:val="0"/>
                    <w:autoSpaceDN w:val="0"/>
                    <w:adjustRightInd w:val="0"/>
                    <w:jc w:val="center"/>
                    <w:rPr>
                      <w:color w:val="000000" w:themeColor="text1"/>
                      <w:sz w:val="21"/>
                      <w:szCs w:val="21"/>
                      <w:lang w:val="zh-CN"/>
                      <w14:textFill>
                        <w14:solidFill>
                          <w14:schemeClr w14:val="tx1"/>
                        </w14:solidFill>
                      </w14:textFill>
                    </w:rPr>
                  </w:pPr>
                </w:p>
              </w:tc>
              <w:tc>
                <w:tcPr>
                  <w:tcW w:w="745" w:type="pct"/>
                  <w:shd w:val="clear" w:color="auto" w:fill="auto"/>
                  <w:vAlign w:val="center"/>
                </w:tcPr>
                <w:p w14:paraId="712F4392">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w:t>
                  </w:r>
                  <w:r>
                    <w:rPr>
                      <w:rFonts w:ascii="Times New Roman" w:hAnsi="Times New Roman"/>
                      <w:color w:val="000000" w:themeColor="text1"/>
                      <w:sz w:val="21"/>
                      <w:szCs w:val="21"/>
                      <w14:textFill>
                        <w14:solidFill>
                          <w14:schemeClr w14:val="tx1"/>
                        </w14:solidFill>
                      </w14:textFill>
                    </w:rPr>
                    <w:t>#二类器械车间</w:t>
                  </w:r>
                </w:p>
              </w:tc>
              <w:tc>
                <w:tcPr>
                  <w:tcW w:w="529" w:type="pct"/>
                  <w:shd w:val="clear" w:color="auto" w:fill="auto"/>
                  <w:vAlign w:val="center"/>
                </w:tcPr>
                <w:p w14:paraId="2484BC62">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42.8</w:t>
                  </w:r>
                </w:p>
              </w:tc>
              <w:tc>
                <w:tcPr>
                  <w:tcW w:w="576" w:type="pct"/>
                  <w:vAlign w:val="center"/>
                </w:tcPr>
                <w:p w14:paraId="3CA59909">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w:t>
                  </w:r>
                </w:p>
              </w:tc>
              <w:tc>
                <w:tcPr>
                  <w:tcW w:w="2145" w:type="dxa"/>
                  <w:vAlign w:val="center"/>
                </w:tcPr>
                <w:p w14:paraId="25FFF24F">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3.9</w:t>
                  </w:r>
                </w:p>
              </w:tc>
              <w:tc>
                <w:tcPr>
                  <w:tcW w:w="722" w:type="pct"/>
                  <w:vMerge w:val="continue"/>
                  <w:vAlign w:val="center"/>
                </w:tcPr>
                <w:p w14:paraId="72823968">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3B3AB456">
                  <w:pPr>
                    <w:jc w:val="center"/>
                    <w:rPr>
                      <w:bCs/>
                      <w:color w:val="000000" w:themeColor="text1"/>
                      <w:sz w:val="21"/>
                      <w:szCs w:val="21"/>
                      <w14:textFill>
                        <w14:solidFill>
                          <w14:schemeClr w14:val="tx1"/>
                        </w14:solidFill>
                      </w14:textFill>
                    </w:rPr>
                  </w:pPr>
                </w:p>
              </w:tc>
              <w:tc>
                <w:tcPr>
                  <w:tcW w:w="513" w:type="pct"/>
                  <w:vMerge w:val="continue"/>
                  <w:vAlign w:val="center"/>
                </w:tcPr>
                <w:p w14:paraId="5146BB82">
                  <w:pPr>
                    <w:jc w:val="center"/>
                    <w:rPr>
                      <w:bCs/>
                      <w:color w:val="000000" w:themeColor="text1"/>
                      <w:sz w:val="21"/>
                      <w:szCs w:val="21"/>
                      <w14:textFill>
                        <w14:solidFill>
                          <w14:schemeClr w14:val="tx1"/>
                        </w14:solidFill>
                      </w14:textFill>
                    </w:rPr>
                  </w:pPr>
                </w:p>
              </w:tc>
            </w:tr>
            <w:tr w14:paraId="26630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2ECE2743">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0B107988">
                  <w:pPr>
                    <w:pStyle w:val="24"/>
                    <w:ind w:firstLine="0" w:firstLineChars="0"/>
                    <w:jc w:val="center"/>
                    <w:rPr>
                      <w:rFonts w:ascii="Times New Roman" w:hAnsi="Times New Roman"/>
                      <w:color w:val="000000" w:themeColor="text1"/>
                      <w:sz w:val="21"/>
                      <w:szCs w:val="21"/>
                      <w:lang w:val="zh-CN"/>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2#二类器械车间</w:t>
                  </w:r>
                </w:p>
              </w:tc>
              <w:tc>
                <w:tcPr>
                  <w:tcW w:w="529" w:type="pct"/>
                  <w:shd w:val="clear" w:color="auto" w:fill="auto"/>
                  <w:vAlign w:val="center"/>
                </w:tcPr>
                <w:p w14:paraId="63924856">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46.3</w:t>
                  </w:r>
                </w:p>
              </w:tc>
              <w:tc>
                <w:tcPr>
                  <w:tcW w:w="576" w:type="pct"/>
                  <w:vAlign w:val="center"/>
                </w:tcPr>
                <w:p w14:paraId="0CBA00F6">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88</w:t>
                  </w:r>
                </w:p>
              </w:tc>
              <w:tc>
                <w:tcPr>
                  <w:tcW w:w="2145" w:type="dxa"/>
                  <w:vAlign w:val="center"/>
                </w:tcPr>
                <w:p w14:paraId="343FDEDC">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7.4</w:t>
                  </w:r>
                </w:p>
              </w:tc>
              <w:tc>
                <w:tcPr>
                  <w:tcW w:w="722" w:type="pct"/>
                  <w:vMerge w:val="continue"/>
                  <w:vAlign w:val="center"/>
                </w:tcPr>
                <w:p w14:paraId="72187F8E">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0B662B82">
                  <w:pPr>
                    <w:jc w:val="center"/>
                    <w:rPr>
                      <w:bCs/>
                      <w:color w:val="000000" w:themeColor="text1"/>
                      <w:sz w:val="21"/>
                      <w:szCs w:val="21"/>
                      <w14:textFill>
                        <w14:solidFill>
                          <w14:schemeClr w14:val="tx1"/>
                        </w14:solidFill>
                      </w14:textFill>
                    </w:rPr>
                  </w:pPr>
                </w:p>
              </w:tc>
              <w:tc>
                <w:tcPr>
                  <w:tcW w:w="513" w:type="pct"/>
                  <w:vMerge w:val="continue"/>
                  <w:vAlign w:val="center"/>
                </w:tcPr>
                <w:p w14:paraId="4B031B97">
                  <w:pPr>
                    <w:jc w:val="center"/>
                    <w:rPr>
                      <w:bCs/>
                      <w:color w:val="000000" w:themeColor="text1"/>
                      <w:sz w:val="21"/>
                      <w:szCs w:val="21"/>
                      <w14:textFill>
                        <w14:solidFill>
                          <w14:schemeClr w14:val="tx1"/>
                        </w14:solidFill>
                      </w14:textFill>
                    </w:rPr>
                  </w:pPr>
                </w:p>
              </w:tc>
            </w:tr>
            <w:tr w14:paraId="3C32A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664FA285">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5FA905A4">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TA001配套风机</w:t>
                  </w:r>
                </w:p>
              </w:tc>
              <w:tc>
                <w:tcPr>
                  <w:tcW w:w="529" w:type="pct"/>
                  <w:shd w:val="clear" w:color="auto" w:fill="auto"/>
                  <w:vAlign w:val="center"/>
                </w:tcPr>
                <w:p w14:paraId="1F86C826">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65</w:t>
                  </w:r>
                </w:p>
              </w:tc>
              <w:tc>
                <w:tcPr>
                  <w:tcW w:w="576" w:type="pct"/>
                  <w:shd w:val="clear" w:color="auto" w:fill="auto"/>
                  <w:vAlign w:val="center"/>
                </w:tcPr>
                <w:p w14:paraId="04D6F50E">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5</w:t>
                  </w:r>
                </w:p>
              </w:tc>
              <w:tc>
                <w:tcPr>
                  <w:tcW w:w="2145" w:type="dxa"/>
                  <w:vAlign w:val="center"/>
                </w:tcPr>
                <w:p w14:paraId="24936F67">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51.0</w:t>
                  </w:r>
                </w:p>
              </w:tc>
              <w:tc>
                <w:tcPr>
                  <w:tcW w:w="722" w:type="pct"/>
                  <w:vMerge w:val="continue"/>
                  <w:vAlign w:val="center"/>
                </w:tcPr>
                <w:p w14:paraId="7F9306EF">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128F9766">
                  <w:pPr>
                    <w:jc w:val="center"/>
                    <w:rPr>
                      <w:bCs/>
                      <w:color w:val="000000" w:themeColor="text1"/>
                      <w:sz w:val="21"/>
                      <w:szCs w:val="21"/>
                      <w14:textFill>
                        <w14:solidFill>
                          <w14:schemeClr w14:val="tx1"/>
                        </w14:solidFill>
                      </w14:textFill>
                    </w:rPr>
                  </w:pPr>
                </w:p>
              </w:tc>
              <w:tc>
                <w:tcPr>
                  <w:tcW w:w="513" w:type="pct"/>
                  <w:vMerge w:val="continue"/>
                  <w:vAlign w:val="center"/>
                </w:tcPr>
                <w:p w14:paraId="0C446ECF">
                  <w:pPr>
                    <w:jc w:val="center"/>
                    <w:rPr>
                      <w:bCs/>
                      <w:color w:val="000000" w:themeColor="text1"/>
                      <w:sz w:val="21"/>
                      <w:szCs w:val="21"/>
                      <w14:textFill>
                        <w14:solidFill>
                          <w14:schemeClr w14:val="tx1"/>
                        </w14:solidFill>
                      </w14:textFill>
                    </w:rPr>
                  </w:pPr>
                </w:p>
              </w:tc>
            </w:tr>
            <w:tr w14:paraId="607A2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63523357">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78C5D269">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TA002配套风机</w:t>
                  </w:r>
                </w:p>
              </w:tc>
              <w:tc>
                <w:tcPr>
                  <w:tcW w:w="529" w:type="pct"/>
                  <w:shd w:val="clear" w:color="auto" w:fill="auto"/>
                  <w:vAlign w:val="center"/>
                </w:tcPr>
                <w:p w14:paraId="0D617605">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shd w:val="clear" w:color="auto" w:fill="auto"/>
                  <w:vAlign w:val="center"/>
                </w:tcPr>
                <w:p w14:paraId="37DD149A">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40</w:t>
                  </w:r>
                </w:p>
              </w:tc>
              <w:tc>
                <w:tcPr>
                  <w:tcW w:w="2145" w:type="dxa"/>
                  <w:vAlign w:val="center"/>
                </w:tcPr>
                <w:p w14:paraId="216678E3">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33.0</w:t>
                  </w:r>
                </w:p>
              </w:tc>
              <w:tc>
                <w:tcPr>
                  <w:tcW w:w="722" w:type="pct"/>
                  <w:vMerge w:val="continue"/>
                  <w:vAlign w:val="center"/>
                </w:tcPr>
                <w:p w14:paraId="277099F1">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0428965E">
                  <w:pPr>
                    <w:jc w:val="center"/>
                    <w:rPr>
                      <w:bCs/>
                      <w:color w:val="000000" w:themeColor="text1"/>
                      <w:sz w:val="21"/>
                      <w:szCs w:val="21"/>
                      <w14:textFill>
                        <w14:solidFill>
                          <w14:schemeClr w14:val="tx1"/>
                        </w14:solidFill>
                      </w14:textFill>
                    </w:rPr>
                  </w:pPr>
                </w:p>
              </w:tc>
              <w:tc>
                <w:tcPr>
                  <w:tcW w:w="513" w:type="pct"/>
                  <w:vMerge w:val="continue"/>
                  <w:vAlign w:val="center"/>
                </w:tcPr>
                <w:p w14:paraId="2FC55DD5">
                  <w:pPr>
                    <w:jc w:val="center"/>
                    <w:rPr>
                      <w:bCs/>
                      <w:color w:val="000000" w:themeColor="text1"/>
                      <w:sz w:val="21"/>
                      <w:szCs w:val="21"/>
                      <w14:textFill>
                        <w14:solidFill>
                          <w14:schemeClr w14:val="tx1"/>
                        </w14:solidFill>
                      </w14:textFill>
                    </w:rPr>
                  </w:pPr>
                </w:p>
              </w:tc>
            </w:tr>
            <w:tr w14:paraId="781B9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60879A8B">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284CEC49">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w:t>
                  </w:r>
                  <w:r>
                    <w:rPr>
                      <w:rFonts w:hint="eastAsia"/>
                      <w:color w:val="000000" w:themeColor="text1"/>
                      <w:kern w:val="0"/>
                      <w:sz w:val="21"/>
                      <w:szCs w:val="21"/>
                      <w14:textFill>
                        <w14:solidFill>
                          <w14:schemeClr w14:val="tx1"/>
                        </w14:solidFill>
                      </w14:textFill>
                    </w:rPr>
                    <w:t>3</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0CA07BC7">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shd w:val="clear" w:color="auto" w:fill="auto"/>
                  <w:vAlign w:val="center"/>
                </w:tcPr>
                <w:p w14:paraId="75D81E7D">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50</w:t>
                  </w:r>
                </w:p>
              </w:tc>
              <w:tc>
                <w:tcPr>
                  <w:tcW w:w="2145" w:type="dxa"/>
                  <w:vAlign w:val="center"/>
                </w:tcPr>
                <w:p w14:paraId="23675110">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31.0</w:t>
                  </w:r>
                </w:p>
              </w:tc>
              <w:tc>
                <w:tcPr>
                  <w:tcW w:w="722" w:type="pct"/>
                  <w:vMerge w:val="continue"/>
                  <w:vAlign w:val="center"/>
                </w:tcPr>
                <w:p w14:paraId="2911753B">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5C170AF1">
                  <w:pPr>
                    <w:jc w:val="center"/>
                    <w:rPr>
                      <w:bCs/>
                      <w:color w:val="000000" w:themeColor="text1"/>
                      <w:sz w:val="21"/>
                      <w:szCs w:val="21"/>
                      <w14:textFill>
                        <w14:solidFill>
                          <w14:schemeClr w14:val="tx1"/>
                        </w14:solidFill>
                      </w14:textFill>
                    </w:rPr>
                  </w:pPr>
                </w:p>
              </w:tc>
              <w:tc>
                <w:tcPr>
                  <w:tcW w:w="513" w:type="pct"/>
                  <w:vMerge w:val="continue"/>
                  <w:vAlign w:val="center"/>
                </w:tcPr>
                <w:p w14:paraId="2E0AED0F">
                  <w:pPr>
                    <w:jc w:val="center"/>
                    <w:rPr>
                      <w:bCs/>
                      <w:color w:val="000000" w:themeColor="text1"/>
                      <w:sz w:val="21"/>
                      <w:szCs w:val="21"/>
                      <w14:textFill>
                        <w14:solidFill>
                          <w14:schemeClr w14:val="tx1"/>
                        </w14:solidFill>
                      </w14:textFill>
                    </w:rPr>
                  </w:pPr>
                </w:p>
              </w:tc>
            </w:tr>
            <w:tr w14:paraId="7D0D8A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7E7C8BCA">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36F7220E">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w:t>
                  </w:r>
                  <w:r>
                    <w:rPr>
                      <w:rFonts w:hint="eastAsia"/>
                      <w:color w:val="000000" w:themeColor="text1"/>
                      <w:kern w:val="0"/>
                      <w:sz w:val="21"/>
                      <w:szCs w:val="21"/>
                      <w14:textFill>
                        <w14:solidFill>
                          <w14:schemeClr w14:val="tx1"/>
                        </w14:solidFill>
                      </w14:textFill>
                    </w:rPr>
                    <w:t>4</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0D5EDAF1">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shd w:val="clear" w:color="auto" w:fill="auto"/>
                  <w:vAlign w:val="center"/>
                </w:tcPr>
                <w:p w14:paraId="2BEBC0FA">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6</w:t>
                  </w:r>
                </w:p>
              </w:tc>
              <w:tc>
                <w:tcPr>
                  <w:tcW w:w="2145" w:type="dxa"/>
                  <w:vAlign w:val="center"/>
                </w:tcPr>
                <w:p w14:paraId="231AEE45">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49.4</w:t>
                  </w:r>
                </w:p>
              </w:tc>
              <w:tc>
                <w:tcPr>
                  <w:tcW w:w="722" w:type="pct"/>
                  <w:vMerge w:val="continue"/>
                  <w:vAlign w:val="center"/>
                </w:tcPr>
                <w:p w14:paraId="17B97556">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7087BF6B">
                  <w:pPr>
                    <w:jc w:val="center"/>
                    <w:rPr>
                      <w:bCs/>
                      <w:color w:val="000000" w:themeColor="text1"/>
                      <w:sz w:val="21"/>
                      <w:szCs w:val="21"/>
                      <w14:textFill>
                        <w14:solidFill>
                          <w14:schemeClr w14:val="tx1"/>
                        </w14:solidFill>
                      </w14:textFill>
                    </w:rPr>
                  </w:pPr>
                </w:p>
              </w:tc>
              <w:tc>
                <w:tcPr>
                  <w:tcW w:w="513" w:type="pct"/>
                  <w:vMerge w:val="continue"/>
                  <w:vAlign w:val="center"/>
                </w:tcPr>
                <w:p w14:paraId="37D33CDE">
                  <w:pPr>
                    <w:jc w:val="center"/>
                    <w:rPr>
                      <w:bCs/>
                      <w:color w:val="000000" w:themeColor="text1"/>
                      <w:sz w:val="21"/>
                      <w:szCs w:val="21"/>
                      <w14:textFill>
                        <w14:solidFill>
                          <w14:schemeClr w14:val="tx1"/>
                        </w14:solidFill>
                      </w14:textFill>
                    </w:rPr>
                  </w:pPr>
                </w:p>
              </w:tc>
            </w:tr>
            <w:tr w14:paraId="0EAC3D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0EECB615">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4C354E4E">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05</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5B6CBAC2">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shd w:val="clear" w:color="auto" w:fill="auto"/>
                  <w:vAlign w:val="center"/>
                </w:tcPr>
                <w:p w14:paraId="2DC20436">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130</w:t>
                  </w:r>
                </w:p>
              </w:tc>
              <w:tc>
                <w:tcPr>
                  <w:tcW w:w="2145" w:type="dxa"/>
                  <w:vAlign w:val="center"/>
                </w:tcPr>
                <w:p w14:paraId="32138FB3">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22.7</w:t>
                  </w:r>
                </w:p>
              </w:tc>
              <w:tc>
                <w:tcPr>
                  <w:tcW w:w="722" w:type="pct"/>
                  <w:vMerge w:val="continue"/>
                  <w:vAlign w:val="center"/>
                </w:tcPr>
                <w:p w14:paraId="73158EF2">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6FB69C22">
                  <w:pPr>
                    <w:jc w:val="center"/>
                    <w:rPr>
                      <w:bCs/>
                      <w:color w:val="000000" w:themeColor="text1"/>
                      <w:sz w:val="21"/>
                      <w:szCs w:val="21"/>
                      <w14:textFill>
                        <w14:solidFill>
                          <w14:schemeClr w14:val="tx1"/>
                        </w14:solidFill>
                      </w14:textFill>
                    </w:rPr>
                  </w:pPr>
                </w:p>
              </w:tc>
              <w:tc>
                <w:tcPr>
                  <w:tcW w:w="513" w:type="pct"/>
                  <w:vMerge w:val="continue"/>
                  <w:vAlign w:val="center"/>
                </w:tcPr>
                <w:p w14:paraId="37DE5554">
                  <w:pPr>
                    <w:jc w:val="center"/>
                    <w:rPr>
                      <w:bCs/>
                      <w:color w:val="000000" w:themeColor="text1"/>
                      <w:sz w:val="21"/>
                      <w:szCs w:val="21"/>
                      <w14:textFill>
                        <w14:solidFill>
                          <w14:schemeClr w14:val="tx1"/>
                        </w14:solidFill>
                      </w14:textFill>
                    </w:rPr>
                  </w:pPr>
                </w:p>
              </w:tc>
            </w:tr>
            <w:tr w14:paraId="7D9E7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00CFE72F">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0E8268EF">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06</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3684F41D">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shd w:val="clear" w:color="auto" w:fill="auto"/>
                  <w:vAlign w:val="center"/>
                </w:tcPr>
                <w:p w14:paraId="6699BABF">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83</w:t>
                  </w:r>
                </w:p>
              </w:tc>
              <w:tc>
                <w:tcPr>
                  <w:tcW w:w="2145" w:type="dxa"/>
                  <w:vAlign w:val="center"/>
                </w:tcPr>
                <w:p w14:paraId="3AD9E95E">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26.6</w:t>
                  </w:r>
                </w:p>
              </w:tc>
              <w:tc>
                <w:tcPr>
                  <w:tcW w:w="722" w:type="pct"/>
                  <w:vMerge w:val="continue"/>
                  <w:vAlign w:val="center"/>
                </w:tcPr>
                <w:p w14:paraId="3282AD48">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188ACBD7">
                  <w:pPr>
                    <w:jc w:val="center"/>
                    <w:rPr>
                      <w:bCs/>
                      <w:color w:val="000000" w:themeColor="text1"/>
                      <w:sz w:val="21"/>
                      <w:szCs w:val="21"/>
                      <w14:textFill>
                        <w14:solidFill>
                          <w14:schemeClr w14:val="tx1"/>
                        </w14:solidFill>
                      </w14:textFill>
                    </w:rPr>
                  </w:pPr>
                </w:p>
              </w:tc>
              <w:tc>
                <w:tcPr>
                  <w:tcW w:w="513" w:type="pct"/>
                  <w:vMerge w:val="continue"/>
                  <w:vAlign w:val="center"/>
                </w:tcPr>
                <w:p w14:paraId="35065ED9">
                  <w:pPr>
                    <w:jc w:val="center"/>
                    <w:rPr>
                      <w:bCs/>
                      <w:color w:val="000000" w:themeColor="text1"/>
                      <w:sz w:val="21"/>
                      <w:szCs w:val="21"/>
                      <w14:textFill>
                        <w14:solidFill>
                          <w14:schemeClr w14:val="tx1"/>
                        </w14:solidFill>
                      </w14:textFill>
                    </w:rPr>
                  </w:pPr>
                </w:p>
              </w:tc>
            </w:tr>
            <w:tr w14:paraId="12EC65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7A2BCAA5">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7A4A0880">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07</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5E9E2D02">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shd w:val="clear" w:color="auto" w:fill="auto"/>
                  <w:vAlign w:val="center"/>
                </w:tcPr>
                <w:p w14:paraId="08A3BA84">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125</w:t>
                  </w:r>
                </w:p>
              </w:tc>
              <w:tc>
                <w:tcPr>
                  <w:tcW w:w="2145" w:type="dxa"/>
                  <w:vAlign w:val="center"/>
                </w:tcPr>
                <w:p w14:paraId="34098582">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23.1</w:t>
                  </w:r>
                </w:p>
              </w:tc>
              <w:tc>
                <w:tcPr>
                  <w:tcW w:w="722" w:type="pct"/>
                  <w:vMerge w:val="continue"/>
                  <w:vAlign w:val="center"/>
                </w:tcPr>
                <w:p w14:paraId="4BE1379C">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1387C714">
                  <w:pPr>
                    <w:jc w:val="center"/>
                    <w:rPr>
                      <w:bCs/>
                      <w:color w:val="000000" w:themeColor="text1"/>
                      <w:sz w:val="21"/>
                      <w:szCs w:val="21"/>
                      <w14:textFill>
                        <w14:solidFill>
                          <w14:schemeClr w14:val="tx1"/>
                        </w14:solidFill>
                      </w14:textFill>
                    </w:rPr>
                  </w:pPr>
                </w:p>
              </w:tc>
              <w:tc>
                <w:tcPr>
                  <w:tcW w:w="513" w:type="pct"/>
                  <w:vMerge w:val="continue"/>
                  <w:vAlign w:val="center"/>
                </w:tcPr>
                <w:p w14:paraId="0A9EF2B5">
                  <w:pPr>
                    <w:jc w:val="center"/>
                    <w:rPr>
                      <w:bCs/>
                      <w:color w:val="000000" w:themeColor="text1"/>
                      <w:sz w:val="21"/>
                      <w:szCs w:val="21"/>
                      <w14:textFill>
                        <w14:solidFill>
                          <w14:schemeClr w14:val="tx1"/>
                        </w14:solidFill>
                      </w14:textFill>
                    </w:rPr>
                  </w:pPr>
                </w:p>
              </w:tc>
            </w:tr>
            <w:tr w14:paraId="360B1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restart"/>
                  <w:vAlign w:val="center"/>
                </w:tcPr>
                <w:p w14:paraId="2501BF49">
                  <w:pPr>
                    <w:autoSpaceDE w:val="0"/>
                    <w:autoSpaceDN w:val="0"/>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南</w:t>
                  </w:r>
                </w:p>
                <w:p w14:paraId="75D1950E">
                  <w:pPr>
                    <w:autoSpaceDE w:val="0"/>
                    <w:autoSpaceDN w:val="0"/>
                    <w:adjustRightInd w:val="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厂</w:t>
                  </w:r>
                </w:p>
                <w:p w14:paraId="2D4C0A3B">
                  <w:pPr>
                    <w:autoSpaceDE w:val="0"/>
                    <w:autoSpaceDN w:val="0"/>
                    <w:adjustRightInd w:val="0"/>
                    <w:jc w:val="center"/>
                    <w:rPr>
                      <w:bCs/>
                      <w:color w:val="000000" w:themeColor="text1"/>
                      <w:sz w:val="21"/>
                      <w:szCs w:val="21"/>
                      <w14:textFill>
                        <w14:solidFill>
                          <w14:schemeClr w14:val="tx1"/>
                        </w14:solidFill>
                      </w14:textFill>
                    </w:rPr>
                  </w:pPr>
                  <w:r>
                    <w:rPr>
                      <w:color w:val="000000" w:themeColor="text1"/>
                      <w:sz w:val="21"/>
                      <w:szCs w:val="21"/>
                      <w:lang w:val="zh-CN"/>
                      <w14:textFill>
                        <w14:solidFill>
                          <w14:schemeClr w14:val="tx1"/>
                        </w14:solidFill>
                      </w14:textFill>
                    </w:rPr>
                    <w:t>界</w:t>
                  </w:r>
                </w:p>
              </w:tc>
              <w:tc>
                <w:tcPr>
                  <w:tcW w:w="745" w:type="pct"/>
                  <w:shd w:val="clear" w:color="auto" w:fill="auto"/>
                  <w:vAlign w:val="center"/>
                </w:tcPr>
                <w:p w14:paraId="0FA74062">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黄酒车间</w:t>
                  </w:r>
                </w:p>
              </w:tc>
              <w:tc>
                <w:tcPr>
                  <w:tcW w:w="529" w:type="pct"/>
                  <w:shd w:val="clear" w:color="auto" w:fill="auto"/>
                  <w:vAlign w:val="center"/>
                </w:tcPr>
                <w:p w14:paraId="7EBAF59D">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41.7</w:t>
                  </w:r>
                </w:p>
              </w:tc>
              <w:tc>
                <w:tcPr>
                  <w:tcW w:w="576" w:type="pct"/>
                  <w:vAlign w:val="center"/>
                </w:tcPr>
                <w:p w14:paraId="66A475B0">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215</w:t>
                  </w:r>
                </w:p>
              </w:tc>
              <w:tc>
                <w:tcPr>
                  <w:tcW w:w="2145" w:type="dxa"/>
                  <w:vAlign w:val="center"/>
                </w:tcPr>
                <w:p w14:paraId="24A14205">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4.9</w:t>
                  </w:r>
                </w:p>
              </w:tc>
              <w:tc>
                <w:tcPr>
                  <w:tcW w:w="722" w:type="pct"/>
                  <w:vMerge w:val="restart"/>
                  <w:vAlign w:val="center"/>
                </w:tcPr>
                <w:p w14:paraId="6F81DAE8">
                  <w:pPr>
                    <w:widowControl/>
                    <w:jc w:val="center"/>
                    <w:textAlignment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722" w:type="pct"/>
                  <w:vMerge w:val="restart"/>
                  <w:vAlign w:val="center"/>
                </w:tcPr>
                <w:p w14:paraId="2EC1C428">
                  <w:pPr>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29.9</w:t>
                  </w:r>
                </w:p>
              </w:tc>
              <w:tc>
                <w:tcPr>
                  <w:tcW w:w="513" w:type="pct"/>
                  <w:vMerge w:val="restart"/>
                  <w:vAlign w:val="center"/>
                </w:tcPr>
                <w:p w14:paraId="29568448">
                  <w:pPr>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60</w:t>
                  </w:r>
                </w:p>
              </w:tc>
            </w:tr>
            <w:tr w14:paraId="5FF98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4C2E8458">
                  <w:pPr>
                    <w:autoSpaceDE w:val="0"/>
                    <w:autoSpaceDN w:val="0"/>
                    <w:adjustRightInd w:val="0"/>
                    <w:jc w:val="center"/>
                    <w:rPr>
                      <w:color w:val="000000" w:themeColor="text1"/>
                      <w:sz w:val="21"/>
                      <w:szCs w:val="21"/>
                      <w:lang w:val="zh-CN"/>
                      <w14:textFill>
                        <w14:solidFill>
                          <w14:schemeClr w14:val="tx1"/>
                        </w14:solidFill>
                      </w14:textFill>
                    </w:rPr>
                  </w:pPr>
                </w:p>
              </w:tc>
              <w:tc>
                <w:tcPr>
                  <w:tcW w:w="745" w:type="pct"/>
                  <w:shd w:val="clear" w:color="auto" w:fill="auto"/>
                  <w:vAlign w:val="center"/>
                </w:tcPr>
                <w:p w14:paraId="447E9815">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综合车间</w:t>
                  </w:r>
                </w:p>
              </w:tc>
              <w:tc>
                <w:tcPr>
                  <w:tcW w:w="529" w:type="pct"/>
                  <w:shd w:val="clear" w:color="auto" w:fill="auto"/>
                  <w:vAlign w:val="center"/>
                </w:tcPr>
                <w:p w14:paraId="1C5C2040">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47.5</w:t>
                  </w:r>
                </w:p>
              </w:tc>
              <w:tc>
                <w:tcPr>
                  <w:tcW w:w="576" w:type="pct"/>
                  <w:vAlign w:val="center"/>
                </w:tcPr>
                <w:p w14:paraId="21CCCD8F">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56</w:t>
                  </w:r>
                </w:p>
              </w:tc>
              <w:tc>
                <w:tcPr>
                  <w:tcW w:w="2145" w:type="dxa"/>
                  <w:vAlign w:val="center"/>
                </w:tcPr>
                <w:p w14:paraId="554EA741">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12.5</w:t>
                  </w:r>
                </w:p>
              </w:tc>
              <w:tc>
                <w:tcPr>
                  <w:tcW w:w="722" w:type="pct"/>
                  <w:vMerge w:val="continue"/>
                  <w:vAlign w:val="center"/>
                </w:tcPr>
                <w:p w14:paraId="71F15020">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7B95759E">
                  <w:pPr>
                    <w:jc w:val="center"/>
                    <w:rPr>
                      <w:bCs/>
                      <w:color w:val="000000" w:themeColor="text1"/>
                      <w:sz w:val="21"/>
                      <w:szCs w:val="21"/>
                      <w14:textFill>
                        <w14:solidFill>
                          <w14:schemeClr w14:val="tx1"/>
                        </w14:solidFill>
                      </w14:textFill>
                    </w:rPr>
                  </w:pPr>
                </w:p>
              </w:tc>
              <w:tc>
                <w:tcPr>
                  <w:tcW w:w="513" w:type="pct"/>
                  <w:vMerge w:val="continue"/>
                  <w:vAlign w:val="center"/>
                </w:tcPr>
                <w:p w14:paraId="70DA2CAE">
                  <w:pPr>
                    <w:jc w:val="center"/>
                    <w:rPr>
                      <w:bCs/>
                      <w:color w:val="000000" w:themeColor="text1"/>
                      <w:sz w:val="21"/>
                      <w:szCs w:val="21"/>
                      <w14:textFill>
                        <w14:solidFill>
                          <w14:schemeClr w14:val="tx1"/>
                        </w14:solidFill>
                      </w14:textFill>
                    </w:rPr>
                  </w:pPr>
                </w:p>
              </w:tc>
            </w:tr>
            <w:tr w14:paraId="4613A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269E8F03">
                  <w:pPr>
                    <w:autoSpaceDE w:val="0"/>
                    <w:autoSpaceDN w:val="0"/>
                    <w:adjustRightInd w:val="0"/>
                    <w:jc w:val="center"/>
                    <w:rPr>
                      <w:color w:val="000000" w:themeColor="text1"/>
                      <w:sz w:val="21"/>
                      <w:szCs w:val="21"/>
                      <w:lang w:val="zh-CN"/>
                      <w14:textFill>
                        <w14:solidFill>
                          <w14:schemeClr w14:val="tx1"/>
                        </w14:solidFill>
                      </w14:textFill>
                    </w:rPr>
                  </w:pPr>
                </w:p>
              </w:tc>
              <w:tc>
                <w:tcPr>
                  <w:tcW w:w="745" w:type="pct"/>
                  <w:shd w:val="clear" w:color="auto" w:fill="auto"/>
                  <w:vAlign w:val="center"/>
                </w:tcPr>
                <w:p w14:paraId="35E9E73D">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w:t>
                  </w:r>
                  <w:r>
                    <w:rPr>
                      <w:rFonts w:ascii="Times New Roman" w:hAnsi="Times New Roman"/>
                      <w:color w:val="000000" w:themeColor="text1"/>
                      <w:sz w:val="21"/>
                      <w:szCs w:val="21"/>
                      <w14:textFill>
                        <w14:solidFill>
                          <w14:schemeClr w14:val="tx1"/>
                        </w14:solidFill>
                      </w14:textFill>
                    </w:rPr>
                    <w:t>#二类器械车间</w:t>
                  </w:r>
                </w:p>
              </w:tc>
              <w:tc>
                <w:tcPr>
                  <w:tcW w:w="529" w:type="pct"/>
                  <w:shd w:val="clear" w:color="auto" w:fill="auto"/>
                  <w:vAlign w:val="center"/>
                </w:tcPr>
                <w:p w14:paraId="75F669F5">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55.3</w:t>
                  </w:r>
                </w:p>
              </w:tc>
              <w:tc>
                <w:tcPr>
                  <w:tcW w:w="576" w:type="pct"/>
                  <w:vAlign w:val="center"/>
                </w:tcPr>
                <w:p w14:paraId="04C4E508">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215</w:t>
                  </w:r>
                </w:p>
              </w:tc>
              <w:tc>
                <w:tcPr>
                  <w:tcW w:w="2145" w:type="dxa"/>
                  <w:vAlign w:val="center"/>
                </w:tcPr>
                <w:p w14:paraId="5E39CE5C">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8.7</w:t>
                  </w:r>
                </w:p>
              </w:tc>
              <w:tc>
                <w:tcPr>
                  <w:tcW w:w="722" w:type="pct"/>
                  <w:vMerge w:val="continue"/>
                  <w:vAlign w:val="center"/>
                </w:tcPr>
                <w:p w14:paraId="791CAB2F">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1A76D9F8">
                  <w:pPr>
                    <w:jc w:val="center"/>
                    <w:rPr>
                      <w:bCs/>
                      <w:color w:val="000000" w:themeColor="text1"/>
                      <w:sz w:val="21"/>
                      <w:szCs w:val="21"/>
                      <w14:textFill>
                        <w14:solidFill>
                          <w14:schemeClr w14:val="tx1"/>
                        </w14:solidFill>
                      </w14:textFill>
                    </w:rPr>
                  </w:pPr>
                </w:p>
              </w:tc>
              <w:tc>
                <w:tcPr>
                  <w:tcW w:w="513" w:type="pct"/>
                  <w:vMerge w:val="continue"/>
                  <w:vAlign w:val="center"/>
                </w:tcPr>
                <w:p w14:paraId="407E1128">
                  <w:pPr>
                    <w:jc w:val="center"/>
                    <w:rPr>
                      <w:bCs/>
                      <w:color w:val="000000" w:themeColor="text1"/>
                      <w:sz w:val="21"/>
                      <w:szCs w:val="21"/>
                      <w14:textFill>
                        <w14:solidFill>
                          <w14:schemeClr w14:val="tx1"/>
                        </w14:solidFill>
                      </w14:textFill>
                    </w:rPr>
                  </w:pPr>
                </w:p>
              </w:tc>
            </w:tr>
            <w:tr w14:paraId="359C7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66F148FD">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2D93F480">
                  <w:pPr>
                    <w:pStyle w:val="24"/>
                    <w:ind w:firstLine="0" w:firstLineChars="0"/>
                    <w:jc w:val="center"/>
                    <w:rPr>
                      <w:rFonts w:ascii="Times New Roman" w:hAnsi="Times New Roman"/>
                      <w:color w:val="000000" w:themeColor="text1"/>
                      <w:sz w:val="21"/>
                      <w:szCs w:val="21"/>
                      <w:lang w:val="zh-CN"/>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2#二类器械车间</w:t>
                  </w:r>
                </w:p>
              </w:tc>
              <w:tc>
                <w:tcPr>
                  <w:tcW w:w="529" w:type="pct"/>
                  <w:shd w:val="clear" w:color="auto" w:fill="auto"/>
                  <w:vAlign w:val="center"/>
                </w:tcPr>
                <w:p w14:paraId="13069098">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55.5</w:t>
                  </w:r>
                </w:p>
              </w:tc>
              <w:tc>
                <w:tcPr>
                  <w:tcW w:w="576" w:type="pct"/>
                  <w:vAlign w:val="center"/>
                </w:tcPr>
                <w:p w14:paraId="7BBDE3D7">
                  <w:pPr>
                    <w:pStyle w:val="24"/>
                    <w:snapToGrid w:val="0"/>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182</w:t>
                  </w:r>
                </w:p>
              </w:tc>
              <w:tc>
                <w:tcPr>
                  <w:tcW w:w="2145" w:type="dxa"/>
                  <w:vAlign w:val="center"/>
                </w:tcPr>
                <w:p w14:paraId="5C3E4069">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10.3</w:t>
                  </w:r>
                </w:p>
              </w:tc>
              <w:tc>
                <w:tcPr>
                  <w:tcW w:w="722" w:type="pct"/>
                  <w:vMerge w:val="continue"/>
                  <w:vAlign w:val="center"/>
                </w:tcPr>
                <w:p w14:paraId="058C7895">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5B993CB9">
                  <w:pPr>
                    <w:jc w:val="center"/>
                    <w:rPr>
                      <w:bCs/>
                      <w:color w:val="000000" w:themeColor="text1"/>
                      <w:sz w:val="21"/>
                      <w:szCs w:val="21"/>
                      <w14:textFill>
                        <w14:solidFill>
                          <w14:schemeClr w14:val="tx1"/>
                        </w14:solidFill>
                      </w14:textFill>
                    </w:rPr>
                  </w:pPr>
                </w:p>
              </w:tc>
              <w:tc>
                <w:tcPr>
                  <w:tcW w:w="513" w:type="pct"/>
                  <w:vMerge w:val="continue"/>
                  <w:vAlign w:val="center"/>
                </w:tcPr>
                <w:p w14:paraId="739666C9">
                  <w:pPr>
                    <w:jc w:val="center"/>
                    <w:rPr>
                      <w:bCs/>
                      <w:color w:val="000000" w:themeColor="text1"/>
                      <w:sz w:val="21"/>
                      <w:szCs w:val="21"/>
                      <w14:textFill>
                        <w14:solidFill>
                          <w14:schemeClr w14:val="tx1"/>
                        </w14:solidFill>
                      </w14:textFill>
                    </w:rPr>
                  </w:pPr>
                </w:p>
              </w:tc>
            </w:tr>
            <w:tr w14:paraId="3F236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54E966AF">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208BB40F">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TA001配套风机</w:t>
                  </w:r>
                </w:p>
              </w:tc>
              <w:tc>
                <w:tcPr>
                  <w:tcW w:w="529" w:type="pct"/>
                  <w:shd w:val="clear" w:color="auto" w:fill="auto"/>
                  <w:vAlign w:val="center"/>
                </w:tcPr>
                <w:p w14:paraId="2DBEE82E">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428CE208">
                  <w:pPr>
                    <w:widowControl/>
                    <w:jc w:val="center"/>
                    <w:textAlignment w:val="bottom"/>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113</w:t>
                  </w:r>
                </w:p>
              </w:tc>
              <w:tc>
                <w:tcPr>
                  <w:tcW w:w="2145" w:type="dxa"/>
                  <w:vAlign w:val="center"/>
                </w:tcPr>
                <w:p w14:paraId="5E7BFEC5">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23.9</w:t>
                  </w:r>
                </w:p>
              </w:tc>
              <w:tc>
                <w:tcPr>
                  <w:tcW w:w="722" w:type="pct"/>
                  <w:vMerge w:val="continue"/>
                  <w:vAlign w:val="center"/>
                </w:tcPr>
                <w:p w14:paraId="311B9CC3">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3B136554">
                  <w:pPr>
                    <w:jc w:val="center"/>
                    <w:rPr>
                      <w:bCs/>
                      <w:color w:val="000000" w:themeColor="text1"/>
                      <w:sz w:val="21"/>
                      <w:szCs w:val="21"/>
                      <w14:textFill>
                        <w14:solidFill>
                          <w14:schemeClr w14:val="tx1"/>
                        </w14:solidFill>
                      </w14:textFill>
                    </w:rPr>
                  </w:pPr>
                </w:p>
              </w:tc>
              <w:tc>
                <w:tcPr>
                  <w:tcW w:w="513" w:type="pct"/>
                  <w:vMerge w:val="continue"/>
                  <w:vAlign w:val="center"/>
                </w:tcPr>
                <w:p w14:paraId="388BEF62">
                  <w:pPr>
                    <w:jc w:val="center"/>
                    <w:rPr>
                      <w:bCs/>
                      <w:color w:val="000000" w:themeColor="text1"/>
                      <w:sz w:val="21"/>
                      <w:szCs w:val="21"/>
                      <w14:textFill>
                        <w14:solidFill>
                          <w14:schemeClr w14:val="tx1"/>
                        </w14:solidFill>
                      </w14:textFill>
                    </w:rPr>
                  </w:pPr>
                </w:p>
              </w:tc>
            </w:tr>
            <w:tr w14:paraId="44C40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6D9EF120">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6E1AB8F8">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TA002配套风机</w:t>
                  </w:r>
                </w:p>
              </w:tc>
              <w:tc>
                <w:tcPr>
                  <w:tcW w:w="529" w:type="pct"/>
                  <w:shd w:val="clear" w:color="auto" w:fill="auto"/>
                  <w:vAlign w:val="center"/>
                </w:tcPr>
                <w:p w14:paraId="6346D45C">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69F6B1C9">
                  <w:pPr>
                    <w:widowControl/>
                    <w:jc w:val="center"/>
                    <w:textAlignment w:val="bottom"/>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130</w:t>
                  </w:r>
                </w:p>
              </w:tc>
              <w:tc>
                <w:tcPr>
                  <w:tcW w:w="2145" w:type="dxa"/>
                  <w:vAlign w:val="center"/>
                </w:tcPr>
                <w:p w14:paraId="22BEFD6B">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22.7</w:t>
                  </w:r>
                </w:p>
              </w:tc>
              <w:tc>
                <w:tcPr>
                  <w:tcW w:w="722" w:type="pct"/>
                  <w:vMerge w:val="continue"/>
                  <w:vAlign w:val="center"/>
                </w:tcPr>
                <w:p w14:paraId="6789B208">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4F0AE9D2">
                  <w:pPr>
                    <w:jc w:val="center"/>
                    <w:rPr>
                      <w:bCs/>
                      <w:color w:val="000000" w:themeColor="text1"/>
                      <w:sz w:val="21"/>
                      <w:szCs w:val="21"/>
                      <w14:textFill>
                        <w14:solidFill>
                          <w14:schemeClr w14:val="tx1"/>
                        </w14:solidFill>
                      </w14:textFill>
                    </w:rPr>
                  </w:pPr>
                </w:p>
              </w:tc>
              <w:tc>
                <w:tcPr>
                  <w:tcW w:w="513" w:type="pct"/>
                  <w:vMerge w:val="continue"/>
                  <w:vAlign w:val="center"/>
                </w:tcPr>
                <w:p w14:paraId="1EAEDC24">
                  <w:pPr>
                    <w:jc w:val="center"/>
                    <w:rPr>
                      <w:bCs/>
                      <w:color w:val="000000" w:themeColor="text1"/>
                      <w:sz w:val="21"/>
                      <w:szCs w:val="21"/>
                      <w14:textFill>
                        <w14:solidFill>
                          <w14:schemeClr w14:val="tx1"/>
                        </w14:solidFill>
                      </w14:textFill>
                    </w:rPr>
                  </w:pPr>
                </w:p>
              </w:tc>
            </w:tr>
            <w:tr w14:paraId="7FF59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2D96E305">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544D288F">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w:t>
                  </w:r>
                  <w:r>
                    <w:rPr>
                      <w:rFonts w:hint="eastAsia"/>
                      <w:color w:val="000000" w:themeColor="text1"/>
                      <w:kern w:val="0"/>
                      <w:sz w:val="21"/>
                      <w:szCs w:val="21"/>
                      <w14:textFill>
                        <w14:solidFill>
                          <w14:schemeClr w14:val="tx1"/>
                        </w14:solidFill>
                      </w14:textFill>
                    </w:rPr>
                    <w:t>3</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055B7274">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33B27EFE">
                  <w:pPr>
                    <w:widowControl/>
                    <w:jc w:val="center"/>
                    <w:textAlignment w:val="bottom"/>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230</w:t>
                  </w:r>
                </w:p>
              </w:tc>
              <w:tc>
                <w:tcPr>
                  <w:tcW w:w="2145" w:type="dxa"/>
                  <w:vAlign w:val="center"/>
                </w:tcPr>
                <w:p w14:paraId="28D1F924">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17.8</w:t>
                  </w:r>
                </w:p>
              </w:tc>
              <w:tc>
                <w:tcPr>
                  <w:tcW w:w="722" w:type="pct"/>
                  <w:vMerge w:val="continue"/>
                  <w:vAlign w:val="center"/>
                </w:tcPr>
                <w:p w14:paraId="27BD8759">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22E4A980">
                  <w:pPr>
                    <w:jc w:val="center"/>
                    <w:rPr>
                      <w:bCs/>
                      <w:color w:val="000000" w:themeColor="text1"/>
                      <w:sz w:val="21"/>
                      <w:szCs w:val="21"/>
                      <w14:textFill>
                        <w14:solidFill>
                          <w14:schemeClr w14:val="tx1"/>
                        </w14:solidFill>
                      </w14:textFill>
                    </w:rPr>
                  </w:pPr>
                </w:p>
              </w:tc>
              <w:tc>
                <w:tcPr>
                  <w:tcW w:w="513" w:type="pct"/>
                  <w:vMerge w:val="continue"/>
                  <w:vAlign w:val="center"/>
                </w:tcPr>
                <w:p w14:paraId="1EBDFD56">
                  <w:pPr>
                    <w:jc w:val="center"/>
                    <w:rPr>
                      <w:bCs/>
                      <w:color w:val="000000" w:themeColor="text1"/>
                      <w:sz w:val="21"/>
                      <w:szCs w:val="21"/>
                      <w14:textFill>
                        <w14:solidFill>
                          <w14:schemeClr w14:val="tx1"/>
                        </w14:solidFill>
                      </w14:textFill>
                    </w:rPr>
                  </w:pPr>
                </w:p>
              </w:tc>
            </w:tr>
            <w:tr w14:paraId="5AC9C7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1014D229">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001F9ED9">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w:t>
                  </w:r>
                  <w:r>
                    <w:rPr>
                      <w:rFonts w:hint="eastAsia"/>
                      <w:color w:val="000000" w:themeColor="text1"/>
                      <w:kern w:val="0"/>
                      <w:sz w:val="21"/>
                      <w:szCs w:val="21"/>
                      <w14:textFill>
                        <w14:solidFill>
                          <w14:schemeClr w14:val="tx1"/>
                        </w14:solidFill>
                      </w14:textFill>
                    </w:rPr>
                    <w:t>4</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1C3F3F42">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46D8E2C0">
                  <w:pPr>
                    <w:widowControl/>
                    <w:jc w:val="center"/>
                    <w:textAlignment w:val="bottom"/>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202</w:t>
                  </w:r>
                </w:p>
              </w:tc>
              <w:tc>
                <w:tcPr>
                  <w:tcW w:w="2145" w:type="dxa"/>
                  <w:vAlign w:val="center"/>
                </w:tcPr>
                <w:p w14:paraId="047B360B">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18.9</w:t>
                  </w:r>
                </w:p>
              </w:tc>
              <w:tc>
                <w:tcPr>
                  <w:tcW w:w="722" w:type="pct"/>
                  <w:vMerge w:val="continue"/>
                  <w:vAlign w:val="center"/>
                </w:tcPr>
                <w:p w14:paraId="431C204D">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3E6F6C64">
                  <w:pPr>
                    <w:jc w:val="center"/>
                    <w:rPr>
                      <w:bCs/>
                      <w:color w:val="000000" w:themeColor="text1"/>
                      <w:sz w:val="21"/>
                      <w:szCs w:val="21"/>
                      <w14:textFill>
                        <w14:solidFill>
                          <w14:schemeClr w14:val="tx1"/>
                        </w14:solidFill>
                      </w14:textFill>
                    </w:rPr>
                  </w:pPr>
                </w:p>
              </w:tc>
              <w:tc>
                <w:tcPr>
                  <w:tcW w:w="513" w:type="pct"/>
                  <w:vMerge w:val="continue"/>
                  <w:vAlign w:val="center"/>
                </w:tcPr>
                <w:p w14:paraId="45871A03">
                  <w:pPr>
                    <w:jc w:val="center"/>
                    <w:rPr>
                      <w:bCs/>
                      <w:color w:val="000000" w:themeColor="text1"/>
                      <w:sz w:val="21"/>
                      <w:szCs w:val="21"/>
                      <w14:textFill>
                        <w14:solidFill>
                          <w14:schemeClr w14:val="tx1"/>
                        </w14:solidFill>
                      </w14:textFill>
                    </w:rPr>
                  </w:pPr>
                </w:p>
              </w:tc>
            </w:tr>
            <w:tr w14:paraId="74A16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199A7BDA">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7FC12E88">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05</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3D30A4E6">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32077831">
                  <w:pPr>
                    <w:widowControl/>
                    <w:jc w:val="center"/>
                    <w:textAlignment w:val="bottom"/>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230</w:t>
                  </w:r>
                </w:p>
              </w:tc>
              <w:tc>
                <w:tcPr>
                  <w:tcW w:w="2145" w:type="dxa"/>
                  <w:vAlign w:val="center"/>
                </w:tcPr>
                <w:p w14:paraId="4EBB0326">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17.8</w:t>
                  </w:r>
                </w:p>
              </w:tc>
              <w:tc>
                <w:tcPr>
                  <w:tcW w:w="722" w:type="pct"/>
                  <w:vMerge w:val="continue"/>
                  <w:vAlign w:val="center"/>
                </w:tcPr>
                <w:p w14:paraId="2A5AF306">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42F5B2CA">
                  <w:pPr>
                    <w:jc w:val="center"/>
                    <w:rPr>
                      <w:bCs/>
                      <w:color w:val="000000" w:themeColor="text1"/>
                      <w:sz w:val="21"/>
                      <w:szCs w:val="21"/>
                      <w14:textFill>
                        <w14:solidFill>
                          <w14:schemeClr w14:val="tx1"/>
                        </w14:solidFill>
                      </w14:textFill>
                    </w:rPr>
                  </w:pPr>
                </w:p>
              </w:tc>
              <w:tc>
                <w:tcPr>
                  <w:tcW w:w="513" w:type="pct"/>
                  <w:vMerge w:val="continue"/>
                  <w:vAlign w:val="center"/>
                </w:tcPr>
                <w:p w14:paraId="64601A3A">
                  <w:pPr>
                    <w:jc w:val="center"/>
                    <w:rPr>
                      <w:bCs/>
                      <w:color w:val="000000" w:themeColor="text1"/>
                      <w:sz w:val="21"/>
                      <w:szCs w:val="21"/>
                      <w14:textFill>
                        <w14:solidFill>
                          <w14:schemeClr w14:val="tx1"/>
                        </w14:solidFill>
                      </w14:textFill>
                    </w:rPr>
                  </w:pPr>
                </w:p>
              </w:tc>
            </w:tr>
            <w:tr w14:paraId="67745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16DBA204">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6C8A6088">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06</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349402A9">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5DE8FE38">
                  <w:pPr>
                    <w:widowControl/>
                    <w:jc w:val="center"/>
                    <w:textAlignment w:val="bottom"/>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192</w:t>
                  </w:r>
                </w:p>
              </w:tc>
              <w:tc>
                <w:tcPr>
                  <w:tcW w:w="2145" w:type="dxa"/>
                  <w:vAlign w:val="center"/>
                </w:tcPr>
                <w:p w14:paraId="64198FF9">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19.3</w:t>
                  </w:r>
                </w:p>
              </w:tc>
              <w:tc>
                <w:tcPr>
                  <w:tcW w:w="722" w:type="pct"/>
                  <w:vMerge w:val="continue"/>
                  <w:vAlign w:val="center"/>
                </w:tcPr>
                <w:p w14:paraId="7DA3B5B9">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4B1AD00C">
                  <w:pPr>
                    <w:jc w:val="center"/>
                    <w:rPr>
                      <w:bCs/>
                      <w:color w:val="000000" w:themeColor="text1"/>
                      <w:sz w:val="21"/>
                      <w:szCs w:val="21"/>
                      <w14:textFill>
                        <w14:solidFill>
                          <w14:schemeClr w14:val="tx1"/>
                        </w14:solidFill>
                      </w14:textFill>
                    </w:rPr>
                  </w:pPr>
                </w:p>
              </w:tc>
              <w:tc>
                <w:tcPr>
                  <w:tcW w:w="513" w:type="pct"/>
                  <w:vMerge w:val="continue"/>
                  <w:vAlign w:val="center"/>
                </w:tcPr>
                <w:p w14:paraId="2B8C6E1D">
                  <w:pPr>
                    <w:jc w:val="center"/>
                    <w:rPr>
                      <w:bCs/>
                      <w:color w:val="000000" w:themeColor="text1"/>
                      <w:sz w:val="21"/>
                      <w:szCs w:val="21"/>
                      <w14:textFill>
                        <w14:solidFill>
                          <w14:schemeClr w14:val="tx1"/>
                        </w14:solidFill>
                      </w14:textFill>
                    </w:rPr>
                  </w:pPr>
                </w:p>
              </w:tc>
            </w:tr>
            <w:tr w14:paraId="55D0BC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4D692AE4">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5BB1FCBE">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07</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28F448B2">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73840554">
                  <w:pPr>
                    <w:widowControl/>
                    <w:jc w:val="center"/>
                    <w:textAlignment w:val="bottom"/>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122</w:t>
                  </w:r>
                </w:p>
              </w:tc>
              <w:tc>
                <w:tcPr>
                  <w:tcW w:w="2145" w:type="dxa"/>
                  <w:vAlign w:val="center"/>
                </w:tcPr>
                <w:p w14:paraId="7A8DD6A3">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23.3</w:t>
                  </w:r>
                </w:p>
              </w:tc>
              <w:tc>
                <w:tcPr>
                  <w:tcW w:w="722" w:type="pct"/>
                  <w:vMerge w:val="continue"/>
                  <w:vAlign w:val="center"/>
                </w:tcPr>
                <w:p w14:paraId="425BA939">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4044D3F9">
                  <w:pPr>
                    <w:jc w:val="center"/>
                    <w:rPr>
                      <w:bCs/>
                      <w:color w:val="000000" w:themeColor="text1"/>
                      <w:sz w:val="21"/>
                      <w:szCs w:val="21"/>
                      <w14:textFill>
                        <w14:solidFill>
                          <w14:schemeClr w14:val="tx1"/>
                        </w14:solidFill>
                      </w14:textFill>
                    </w:rPr>
                  </w:pPr>
                </w:p>
              </w:tc>
              <w:tc>
                <w:tcPr>
                  <w:tcW w:w="513" w:type="pct"/>
                  <w:vMerge w:val="continue"/>
                  <w:vAlign w:val="center"/>
                </w:tcPr>
                <w:p w14:paraId="1B39961D">
                  <w:pPr>
                    <w:jc w:val="center"/>
                    <w:rPr>
                      <w:bCs/>
                      <w:color w:val="000000" w:themeColor="text1"/>
                      <w:sz w:val="21"/>
                      <w:szCs w:val="21"/>
                      <w14:textFill>
                        <w14:solidFill>
                          <w14:schemeClr w14:val="tx1"/>
                        </w14:solidFill>
                      </w14:textFill>
                    </w:rPr>
                  </w:pPr>
                </w:p>
              </w:tc>
            </w:tr>
            <w:tr w14:paraId="41F57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restart"/>
                  <w:vAlign w:val="center"/>
                </w:tcPr>
                <w:p w14:paraId="189D4B1A">
                  <w:pPr>
                    <w:autoSpaceDE w:val="0"/>
                    <w:autoSpaceDN w:val="0"/>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西</w:t>
                  </w:r>
                </w:p>
                <w:p w14:paraId="7D8D8227">
                  <w:pPr>
                    <w:autoSpaceDE w:val="0"/>
                    <w:autoSpaceDN w:val="0"/>
                    <w:adjustRightInd w:val="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厂</w:t>
                  </w:r>
                </w:p>
                <w:p w14:paraId="6AFB9310">
                  <w:pPr>
                    <w:autoSpaceDE w:val="0"/>
                    <w:autoSpaceDN w:val="0"/>
                    <w:adjustRightInd w:val="0"/>
                    <w:jc w:val="center"/>
                    <w:rPr>
                      <w:bCs/>
                      <w:color w:val="000000" w:themeColor="text1"/>
                      <w:sz w:val="21"/>
                      <w:szCs w:val="21"/>
                      <w14:textFill>
                        <w14:solidFill>
                          <w14:schemeClr w14:val="tx1"/>
                        </w14:solidFill>
                      </w14:textFill>
                    </w:rPr>
                  </w:pPr>
                  <w:r>
                    <w:rPr>
                      <w:color w:val="000000" w:themeColor="text1"/>
                      <w:sz w:val="21"/>
                      <w:szCs w:val="21"/>
                      <w:lang w:val="zh-CN"/>
                      <w14:textFill>
                        <w14:solidFill>
                          <w14:schemeClr w14:val="tx1"/>
                        </w14:solidFill>
                      </w14:textFill>
                    </w:rPr>
                    <w:t>界</w:t>
                  </w:r>
                </w:p>
              </w:tc>
              <w:tc>
                <w:tcPr>
                  <w:tcW w:w="745" w:type="pct"/>
                  <w:shd w:val="clear" w:color="auto" w:fill="auto"/>
                  <w:vAlign w:val="center"/>
                </w:tcPr>
                <w:p w14:paraId="32946D87">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黄酒车间</w:t>
                  </w:r>
                </w:p>
              </w:tc>
              <w:tc>
                <w:tcPr>
                  <w:tcW w:w="529" w:type="pct"/>
                  <w:shd w:val="clear" w:color="auto" w:fill="auto"/>
                  <w:vAlign w:val="center"/>
                </w:tcPr>
                <w:p w14:paraId="551223FD">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32.4</w:t>
                  </w:r>
                </w:p>
              </w:tc>
              <w:tc>
                <w:tcPr>
                  <w:tcW w:w="576" w:type="pct"/>
                  <w:vAlign w:val="center"/>
                </w:tcPr>
                <w:p w14:paraId="3C8D00B5">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75</w:t>
                  </w:r>
                </w:p>
              </w:tc>
              <w:tc>
                <w:tcPr>
                  <w:tcW w:w="2145" w:type="dxa"/>
                  <w:vAlign w:val="center"/>
                </w:tcPr>
                <w:p w14:paraId="392EC093">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5.1</w:t>
                  </w:r>
                </w:p>
              </w:tc>
              <w:tc>
                <w:tcPr>
                  <w:tcW w:w="722" w:type="pct"/>
                  <w:vMerge w:val="restart"/>
                  <w:vAlign w:val="center"/>
                </w:tcPr>
                <w:p w14:paraId="33E93848">
                  <w:pPr>
                    <w:widowControl/>
                    <w:jc w:val="center"/>
                    <w:textAlignment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722" w:type="pct"/>
                  <w:vMerge w:val="restart"/>
                  <w:vAlign w:val="center"/>
                </w:tcPr>
                <w:p w14:paraId="39FCF036">
                  <w:pPr>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48.4</w:t>
                  </w:r>
                </w:p>
              </w:tc>
              <w:tc>
                <w:tcPr>
                  <w:tcW w:w="513" w:type="pct"/>
                  <w:vMerge w:val="restart"/>
                  <w:vAlign w:val="center"/>
                </w:tcPr>
                <w:p w14:paraId="0BF7D3C7">
                  <w:pPr>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60</w:t>
                  </w:r>
                </w:p>
              </w:tc>
            </w:tr>
            <w:tr w14:paraId="2ECE4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3355056E">
                  <w:pPr>
                    <w:autoSpaceDE w:val="0"/>
                    <w:autoSpaceDN w:val="0"/>
                    <w:adjustRightInd w:val="0"/>
                    <w:jc w:val="center"/>
                    <w:rPr>
                      <w:color w:val="000000" w:themeColor="text1"/>
                      <w:sz w:val="21"/>
                      <w:szCs w:val="21"/>
                      <w:lang w:val="zh-CN"/>
                      <w14:textFill>
                        <w14:solidFill>
                          <w14:schemeClr w14:val="tx1"/>
                        </w14:solidFill>
                      </w14:textFill>
                    </w:rPr>
                  </w:pPr>
                </w:p>
              </w:tc>
              <w:tc>
                <w:tcPr>
                  <w:tcW w:w="745" w:type="pct"/>
                  <w:shd w:val="clear" w:color="auto" w:fill="auto"/>
                  <w:vAlign w:val="center"/>
                </w:tcPr>
                <w:p w14:paraId="07B04F7B">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综合车间</w:t>
                  </w:r>
                </w:p>
              </w:tc>
              <w:tc>
                <w:tcPr>
                  <w:tcW w:w="529" w:type="pct"/>
                  <w:shd w:val="clear" w:color="auto" w:fill="auto"/>
                  <w:vAlign w:val="center"/>
                </w:tcPr>
                <w:p w14:paraId="01651ED1">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44.6</w:t>
                  </w:r>
                </w:p>
              </w:tc>
              <w:tc>
                <w:tcPr>
                  <w:tcW w:w="576" w:type="pct"/>
                  <w:vAlign w:val="center"/>
                </w:tcPr>
                <w:p w14:paraId="5149858C">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75</w:t>
                  </w:r>
                </w:p>
              </w:tc>
              <w:tc>
                <w:tcPr>
                  <w:tcW w:w="2145" w:type="dxa"/>
                  <w:vAlign w:val="center"/>
                </w:tcPr>
                <w:p w14:paraId="4A2A02AF">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7.1</w:t>
                  </w:r>
                </w:p>
              </w:tc>
              <w:tc>
                <w:tcPr>
                  <w:tcW w:w="722" w:type="pct"/>
                  <w:vMerge w:val="continue"/>
                  <w:vAlign w:val="center"/>
                </w:tcPr>
                <w:p w14:paraId="256FF854">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3AB69553">
                  <w:pPr>
                    <w:jc w:val="center"/>
                    <w:rPr>
                      <w:bCs/>
                      <w:color w:val="000000" w:themeColor="text1"/>
                      <w:sz w:val="21"/>
                      <w:szCs w:val="21"/>
                      <w14:textFill>
                        <w14:solidFill>
                          <w14:schemeClr w14:val="tx1"/>
                        </w14:solidFill>
                      </w14:textFill>
                    </w:rPr>
                  </w:pPr>
                </w:p>
              </w:tc>
              <w:tc>
                <w:tcPr>
                  <w:tcW w:w="513" w:type="pct"/>
                  <w:vMerge w:val="continue"/>
                  <w:vAlign w:val="center"/>
                </w:tcPr>
                <w:p w14:paraId="41B9FE43">
                  <w:pPr>
                    <w:jc w:val="center"/>
                    <w:rPr>
                      <w:bCs/>
                      <w:color w:val="000000" w:themeColor="text1"/>
                      <w:sz w:val="21"/>
                      <w:szCs w:val="21"/>
                      <w14:textFill>
                        <w14:solidFill>
                          <w14:schemeClr w14:val="tx1"/>
                        </w14:solidFill>
                      </w14:textFill>
                    </w:rPr>
                  </w:pPr>
                </w:p>
              </w:tc>
            </w:tr>
            <w:tr w14:paraId="5F432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1E5B6626">
                  <w:pPr>
                    <w:autoSpaceDE w:val="0"/>
                    <w:autoSpaceDN w:val="0"/>
                    <w:adjustRightInd w:val="0"/>
                    <w:jc w:val="center"/>
                    <w:rPr>
                      <w:color w:val="000000" w:themeColor="text1"/>
                      <w:sz w:val="21"/>
                      <w:szCs w:val="21"/>
                      <w:lang w:val="zh-CN"/>
                      <w14:textFill>
                        <w14:solidFill>
                          <w14:schemeClr w14:val="tx1"/>
                        </w14:solidFill>
                      </w14:textFill>
                    </w:rPr>
                  </w:pPr>
                </w:p>
              </w:tc>
              <w:tc>
                <w:tcPr>
                  <w:tcW w:w="745" w:type="pct"/>
                  <w:shd w:val="clear" w:color="auto" w:fill="auto"/>
                  <w:vAlign w:val="center"/>
                </w:tcPr>
                <w:p w14:paraId="49C3F7B5">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w:t>
                  </w:r>
                  <w:r>
                    <w:rPr>
                      <w:rFonts w:ascii="Times New Roman" w:hAnsi="Times New Roman"/>
                      <w:color w:val="000000" w:themeColor="text1"/>
                      <w:sz w:val="21"/>
                      <w:szCs w:val="21"/>
                      <w14:textFill>
                        <w14:solidFill>
                          <w14:schemeClr w14:val="tx1"/>
                        </w14:solidFill>
                      </w14:textFill>
                    </w:rPr>
                    <w:t>#二类器械车间</w:t>
                  </w:r>
                </w:p>
              </w:tc>
              <w:tc>
                <w:tcPr>
                  <w:tcW w:w="529" w:type="pct"/>
                  <w:shd w:val="clear" w:color="auto" w:fill="auto"/>
                  <w:vAlign w:val="center"/>
                </w:tcPr>
                <w:p w14:paraId="7C9A2C93">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44.6</w:t>
                  </w:r>
                </w:p>
              </w:tc>
              <w:tc>
                <w:tcPr>
                  <w:tcW w:w="576" w:type="pct"/>
                  <w:vAlign w:val="center"/>
                </w:tcPr>
                <w:p w14:paraId="637A66E9">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2145" w:type="dxa"/>
                  <w:vAlign w:val="center"/>
                </w:tcPr>
                <w:p w14:paraId="47801649">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38.6</w:t>
                  </w:r>
                </w:p>
              </w:tc>
              <w:tc>
                <w:tcPr>
                  <w:tcW w:w="722" w:type="pct"/>
                  <w:vMerge w:val="continue"/>
                  <w:vAlign w:val="center"/>
                </w:tcPr>
                <w:p w14:paraId="72D548F0">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076B0658">
                  <w:pPr>
                    <w:jc w:val="center"/>
                    <w:rPr>
                      <w:bCs/>
                      <w:color w:val="000000" w:themeColor="text1"/>
                      <w:sz w:val="21"/>
                      <w:szCs w:val="21"/>
                      <w14:textFill>
                        <w14:solidFill>
                          <w14:schemeClr w14:val="tx1"/>
                        </w14:solidFill>
                      </w14:textFill>
                    </w:rPr>
                  </w:pPr>
                </w:p>
              </w:tc>
              <w:tc>
                <w:tcPr>
                  <w:tcW w:w="513" w:type="pct"/>
                  <w:vMerge w:val="continue"/>
                  <w:vAlign w:val="center"/>
                </w:tcPr>
                <w:p w14:paraId="29E66BE6">
                  <w:pPr>
                    <w:jc w:val="center"/>
                    <w:rPr>
                      <w:bCs/>
                      <w:color w:val="000000" w:themeColor="text1"/>
                      <w:sz w:val="21"/>
                      <w:szCs w:val="21"/>
                      <w14:textFill>
                        <w14:solidFill>
                          <w14:schemeClr w14:val="tx1"/>
                        </w14:solidFill>
                      </w14:textFill>
                    </w:rPr>
                  </w:pPr>
                </w:p>
              </w:tc>
            </w:tr>
            <w:tr w14:paraId="2A4F2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51921742">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31252DEE">
                  <w:pPr>
                    <w:pStyle w:val="24"/>
                    <w:ind w:firstLine="0" w:firstLineChars="0"/>
                    <w:jc w:val="center"/>
                    <w:rPr>
                      <w:rFonts w:ascii="Times New Roman" w:hAnsi="Times New Roman"/>
                      <w:color w:val="000000" w:themeColor="text1"/>
                      <w:sz w:val="21"/>
                      <w:szCs w:val="21"/>
                      <w:lang w:val="zh-CN"/>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2#二类器械车间</w:t>
                  </w:r>
                </w:p>
              </w:tc>
              <w:tc>
                <w:tcPr>
                  <w:tcW w:w="529" w:type="pct"/>
                  <w:shd w:val="clear" w:color="auto" w:fill="auto"/>
                  <w:vAlign w:val="center"/>
                </w:tcPr>
                <w:p w14:paraId="243157B8">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47.7</w:t>
                  </w:r>
                </w:p>
              </w:tc>
              <w:tc>
                <w:tcPr>
                  <w:tcW w:w="576" w:type="pct"/>
                  <w:vAlign w:val="center"/>
                </w:tcPr>
                <w:p w14:paraId="3711BDBF">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2145" w:type="dxa"/>
                  <w:vAlign w:val="center"/>
                </w:tcPr>
                <w:p w14:paraId="7DCD028F">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41.7</w:t>
                  </w:r>
                </w:p>
              </w:tc>
              <w:tc>
                <w:tcPr>
                  <w:tcW w:w="722" w:type="pct"/>
                  <w:vMerge w:val="continue"/>
                  <w:vAlign w:val="center"/>
                </w:tcPr>
                <w:p w14:paraId="0751011B">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3022BC36">
                  <w:pPr>
                    <w:jc w:val="center"/>
                    <w:rPr>
                      <w:bCs/>
                      <w:color w:val="000000" w:themeColor="text1"/>
                      <w:sz w:val="21"/>
                      <w:szCs w:val="21"/>
                      <w14:textFill>
                        <w14:solidFill>
                          <w14:schemeClr w14:val="tx1"/>
                        </w14:solidFill>
                      </w14:textFill>
                    </w:rPr>
                  </w:pPr>
                </w:p>
              </w:tc>
              <w:tc>
                <w:tcPr>
                  <w:tcW w:w="513" w:type="pct"/>
                  <w:vMerge w:val="continue"/>
                  <w:vAlign w:val="center"/>
                </w:tcPr>
                <w:p w14:paraId="2EDA6BB2">
                  <w:pPr>
                    <w:jc w:val="center"/>
                    <w:rPr>
                      <w:bCs/>
                      <w:color w:val="000000" w:themeColor="text1"/>
                      <w:sz w:val="21"/>
                      <w:szCs w:val="21"/>
                      <w14:textFill>
                        <w14:solidFill>
                          <w14:schemeClr w14:val="tx1"/>
                        </w14:solidFill>
                      </w14:textFill>
                    </w:rPr>
                  </w:pPr>
                </w:p>
              </w:tc>
            </w:tr>
            <w:tr w14:paraId="710E9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5D10FCE6">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29DD7078">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TA001配套风机</w:t>
                  </w:r>
                </w:p>
              </w:tc>
              <w:tc>
                <w:tcPr>
                  <w:tcW w:w="529" w:type="pct"/>
                  <w:shd w:val="clear" w:color="auto" w:fill="auto"/>
                  <w:vAlign w:val="center"/>
                </w:tcPr>
                <w:p w14:paraId="73E95B49">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4BCFA269">
                  <w:pPr>
                    <w:widowControl/>
                    <w:jc w:val="center"/>
                    <w:textAlignment w:val="bottom"/>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135</w:t>
                  </w:r>
                </w:p>
              </w:tc>
              <w:tc>
                <w:tcPr>
                  <w:tcW w:w="2145" w:type="dxa"/>
                  <w:vAlign w:val="center"/>
                </w:tcPr>
                <w:p w14:paraId="4A295B5C">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22.4</w:t>
                  </w:r>
                </w:p>
              </w:tc>
              <w:tc>
                <w:tcPr>
                  <w:tcW w:w="722" w:type="pct"/>
                  <w:vMerge w:val="continue"/>
                  <w:vAlign w:val="center"/>
                </w:tcPr>
                <w:p w14:paraId="0688CC9C">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1CDA1C1D">
                  <w:pPr>
                    <w:jc w:val="center"/>
                    <w:rPr>
                      <w:bCs/>
                      <w:color w:val="000000" w:themeColor="text1"/>
                      <w:sz w:val="21"/>
                      <w:szCs w:val="21"/>
                      <w14:textFill>
                        <w14:solidFill>
                          <w14:schemeClr w14:val="tx1"/>
                        </w14:solidFill>
                      </w14:textFill>
                    </w:rPr>
                  </w:pPr>
                </w:p>
              </w:tc>
              <w:tc>
                <w:tcPr>
                  <w:tcW w:w="513" w:type="pct"/>
                  <w:vMerge w:val="continue"/>
                  <w:vAlign w:val="center"/>
                </w:tcPr>
                <w:p w14:paraId="698903B2">
                  <w:pPr>
                    <w:jc w:val="center"/>
                    <w:rPr>
                      <w:bCs/>
                      <w:color w:val="000000" w:themeColor="text1"/>
                      <w:sz w:val="21"/>
                      <w:szCs w:val="21"/>
                      <w14:textFill>
                        <w14:solidFill>
                          <w14:schemeClr w14:val="tx1"/>
                        </w14:solidFill>
                      </w14:textFill>
                    </w:rPr>
                  </w:pPr>
                </w:p>
              </w:tc>
            </w:tr>
            <w:tr w14:paraId="19FDF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13E1A668">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68A3DB73">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TA002配套风机</w:t>
                  </w:r>
                </w:p>
              </w:tc>
              <w:tc>
                <w:tcPr>
                  <w:tcW w:w="529" w:type="pct"/>
                  <w:shd w:val="clear" w:color="auto" w:fill="auto"/>
                  <w:vAlign w:val="center"/>
                </w:tcPr>
                <w:p w14:paraId="6B2B73F1">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0DCB3753">
                  <w:pPr>
                    <w:widowControl/>
                    <w:jc w:val="center"/>
                    <w:textAlignment w:val="bottom"/>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120</w:t>
                  </w:r>
                </w:p>
              </w:tc>
              <w:tc>
                <w:tcPr>
                  <w:tcW w:w="2145" w:type="dxa"/>
                  <w:vAlign w:val="center"/>
                </w:tcPr>
                <w:p w14:paraId="60B9D45A">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23.4</w:t>
                  </w:r>
                </w:p>
              </w:tc>
              <w:tc>
                <w:tcPr>
                  <w:tcW w:w="722" w:type="pct"/>
                  <w:vMerge w:val="continue"/>
                  <w:vAlign w:val="center"/>
                </w:tcPr>
                <w:p w14:paraId="26D776E4">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4477AA52">
                  <w:pPr>
                    <w:jc w:val="center"/>
                    <w:rPr>
                      <w:bCs/>
                      <w:color w:val="000000" w:themeColor="text1"/>
                      <w:sz w:val="21"/>
                      <w:szCs w:val="21"/>
                      <w14:textFill>
                        <w14:solidFill>
                          <w14:schemeClr w14:val="tx1"/>
                        </w14:solidFill>
                      </w14:textFill>
                    </w:rPr>
                  </w:pPr>
                </w:p>
              </w:tc>
              <w:tc>
                <w:tcPr>
                  <w:tcW w:w="513" w:type="pct"/>
                  <w:vMerge w:val="continue"/>
                  <w:vAlign w:val="center"/>
                </w:tcPr>
                <w:p w14:paraId="62C95CDC">
                  <w:pPr>
                    <w:jc w:val="center"/>
                    <w:rPr>
                      <w:bCs/>
                      <w:color w:val="000000" w:themeColor="text1"/>
                      <w:sz w:val="21"/>
                      <w:szCs w:val="21"/>
                      <w14:textFill>
                        <w14:solidFill>
                          <w14:schemeClr w14:val="tx1"/>
                        </w14:solidFill>
                      </w14:textFill>
                    </w:rPr>
                  </w:pPr>
                </w:p>
              </w:tc>
            </w:tr>
            <w:tr w14:paraId="3F040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5BCC96F5">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778DEF68">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w:t>
                  </w:r>
                  <w:r>
                    <w:rPr>
                      <w:rFonts w:hint="eastAsia"/>
                      <w:color w:val="000000" w:themeColor="text1"/>
                      <w:kern w:val="0"/>
                      <w:sz w:val="21"/>
                      <w:szCs w:val="21"/>
                      <w14:textFill>
                        <w14:solidFill>
                          <w14:schemeClr w14:val="tx1"/>
                        </w14:solidFill>
                      </w14:textFill>
                    </w:rPr>
                    <w:t>3</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4D8643D3">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544B594F">
                  <w:pPr>
                    <w:widowControl/>
                    <w:jc w:val="center"/>
                    <w:textAlignment w:val="bottom"/>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110</w:t>
                  </w:r>
                </w:p>
              </w:tc>
              <w:tc>
                <w:tcPr>
                  <w:tcW w:w="2145" w:type="dxa"/>
                  <w:vAlign w:val="center"/>
                </w:tcPr>
                <w:p w14:paraId="05C37978">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24.2</w:t>
                  </w:r>
                </w:p>
              </w:tc>
              <w:tc>
                <w:tcPr>
                  <w:tcW w:w="722" w:type="pct"/>
                  <w:vMerge w:val="continue"/>
                  <w:vAlign w:val="center"/>
                </w:tcPr>
                <w:p w14:paraId="19D7BA14">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669D9DFE">
                  <w:pPr>
                    <w:jc w:val="center"/>
                    <w:rPr>
                      <w:bCs/>
                      <w:color w:val="000000" w:themeColor="text1"/>
                      <w:sz w:val="21"/>
                      <w:szCs w:val="21"/>
                      <w14:textFill>
                        <w14:solidFill>
                          <w14:schemeClr w14:val="tx1"/>
                        </w14:solidFill>
                      </w14:textFill>
                    </w:rPr>
                  </w:pPr>
                </w:p>
              </w:tc>
              <w:tc>
                <w:tcPr>
                  <w:tcW w:w="513" w:type="pct"/>
                  <w:vMerge w:val="continue"/>
                  <w:vAlign w:val="center"/>
                </w:tcPr>
                <w:p w14:paraId="2C2689E8">
                  <w:pPr>
                    <w:jc w:val="center"/>
                    <w:rPr>
                      <w:bCs/>
                      <w:color w:val="000000" w:themeColor="text1"/>
                      <w:sz w:val="21"/>
                      <w:szCs w:val="21"/>
                      <w14:textFill>
                        <w14:solidFill>
                          <w14:schemeClr w14:val="tx1"/>
                        </w14:solidFill>
                      </w14:textFill>
                    </w:rPr>
                  </w:pPr>
                </w:p>
              </w:tc>
            </w:tr>
            <w:tr w14:paraId="47B2B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401F6984">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7E32254D">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w:t>
                  </w:r>
                  <w:r>
                    <w:rPr>
                      <w:rFonts w:hint="eastAsia"/>
                      <w:color w:val="000000" w:themeColor="text1"/>
                      <w:kern w:val="0"/>
                      <w:sz w:val="21"/>
                      <w:szCs w:val="21"/>
                      <w14:textFill>
                        <w14:solidFill>
                          <w14:schemeClr w14:val="tx1"/>
                        </w14:solidFill>
                      </w14:textFill>
                    </w:rPr>
                    <w:t>4</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5C230D71">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428D5F2A">
                  <w:pPr>
                    <w:widowControl/>
                    <w:jc w:val="center"/>
                    <w:textAlignment w:val="bottom"/>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134</w:t>
                  </w:r>
                </w:p>
              </w:tc>
              <w:tc>
                <w:tcPr>
                  <w:tcW w:w="2145" w:type="dxa"/>
                  <w:vAlign w:val="center"/>
                </w:tcPr>
                <w:p w14:paraId="2D9418C7">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22.5</w:t>
                  </w:r>
                </w:p>
              </w:tc>
              <w:tc>
                <w:tcPr>
                  <w:tcW w:w="722" w:type="pct"/>
                  <w:vMerge w:val="continue"/>
                  <w:vAlign w:val="center"/>
                </w:tcPr>
                <w:p w14:paraId="08507C50">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113193AE">
                  <w:pPr>
                    <w:jc w:val="center"/>
                    <w:rPr>
                      <w:bCs/>
                      <w:color w:val="000000" w:themeColor="text1"/>
                      <w:sz w:val="21"/>
                      <w:szCs w:val="21"/>
                      <w14:textFill>
                        <w14:solidFill>
                          <w14:schemeClr w14:val="tx1"/>
                        </w14:solidFill>
                      </w14:textFill>
                    </w:rPr>
                  </w:pPr>
                </w:p>
              </w:tc>
              <w:tc>
                <w:tcPr>
                  <w:tcW w:w="513" w:type="pct"/>
                  <w:vMerge w:val="continue"/>
                  <w:vAlign w:val="center"/>
                </w:tcPr>
                <w:p w14:paraId="5603A8D5">
                  <w:pPr>
                    <w:jc w:val="center"/>
                    <w:rPr>
                      <w:bCs/>
                      <w:color w:val="000000" w:themeColor="text1"/>
                      <w:sz w:val="21"/>
                      <w:szCs w:val="21"/>
                      <w14:textFill>
                        <w14:solidFill>
                          <w14:schemeClr w14:val="tx1"/>
                        </w14:solidFill>
                      </w14:textFill>
                    </w:rPr>
                  </w:pPr>
                </w:p>
              </w:tc>
            </w:tr>
            <w:tr w14:paraId="2B914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4FFA8CEB">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15279519">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05</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798A9FC5">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7D64349A">
                  <w:pPr>
                    <w:widowControl/>
                    <w:jc w:val="center"/>
                    <w:textAlignment w:val="bottom"/>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w:t>
                  </w:r>
                </w:p>
              </w:tc>
              <w:tc>
                <w:tcPr>
                  <w:tcW w:w="2145" w:type="dxa"/>
                  <w:vAlign w:val="center"/>
                </w:tcPr>
                <w:p w14:paraId="69935341">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45.0</w:t>
                  </w:r>
                </w:p>
              </w:tc>
              <w:tc>
                <w:tcPr>
                  <w:tcW w:w="722" w:type="pct"/>
                  <w:vMerge w:val="continue"/>
                  <w:vAlign w:val="center"/>
                </w:tcPr>
                <w:p w14:paraId="2267B7C6">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110AC4AA">
                  <w:pPr>
                    <w:jc w:val="center"/>
                    <w:rPr>
                      <w:bCs/>
                      <w:color w:val="000000" w:themeColor="text1"/>
                      <w:sz w:val="21"/>
                      <w:szCs w:val="21"/>
                      <w14:textFill>
                        <w14:solidFill>
                          <w14:schemeClr w14:val="tx1"/>
                        </w14:solidFill>
                      </w14:textFill>
                    </w:rPr>
                  </w:pPr>
                </w:p>
              </w:tc>
              <w:tc>
                <w:tcPr>
                  <w:tcW w:w="513" w:type="pct"/>
                  <w:vMerge w:val="continue"/>
                  <w:vAlign w:val="center"/>
                </w:tcPr>
                <w:p w14:paraId="107DF463">
                  <w:pPr>
                    <w:jc w:val="center"/>
                    <w:rPr>
                      <w:bCs/>
                      <w:color w:val="000000" w:themeColor="text1"/>
                      <w:sz w:val="21"/>
                      <w:szCs w:val="21"/>
                      <w14:textFill>
                        <w14:solidFill>
                          <w14:schemeClr w14:val="tx1"/>
                        </w14:solidFill>
                      </w14:textFill>
                    </w:rPr>
                  </w:pPr>
                </w:p>
              </w:tc>
            </w:tr>
            <w:tr w14:paraId="403F1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00DD9DA7">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2C9D186A">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06</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0B0C8DF1">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527C2F61">
                  <w:pPr>
                    <w:widowControl/>
                    <w:jc w:val="center"/>
                    <w:textAlignment w:val="bottom"/>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57</w:t>
                  </w:r>
                </w:p>
              </w:tc>
              <w:tc>
                <w:tcPr>
                  <w:tcW w:w="2145" w:type="dxa"/>
                  <w:vAlign w:val="center"/>
                </w:tcPr>
                <w:p w14:paraId="403C1861">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29.9</w:t>
                  </w:r>
                </w:p>
              </w:tc>
              <w:tc>
                <w:tcPr>
                  <w:tcW w:w="722" w:type="pct"/>
                  <w:vMerge w:val="continue"/>
                  <w:vAlign w:val="center"/>
                </w:tcPr>
                <w:p w14:paraId="7834861A">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5891EC57">
                  <w:pPr>
                    <w:jc w:val="center"/>
                    <w:rPr>
                      <w:bCs/>
                      <w:color w:val="000000" w:themeColor="text1"/>
                      <w:sz w:val="21"/>
                      <w:szCs w:val="21"/>
                      <w14:textFill>
                        <w14:solidFill>
                          <w14:schemeClr w14:val="tx1"/>
                        </w14:solidFill>
                      </w14:textFill>
                    </w:rPr>
                  </w:pPr>
                </w:p>
              </w:tc>
              <w:tc>
                <w:tcPr>
                  <w:tcW w:w="513" w:type="pct"/>
                  <w:vMerge w:val="continue"/>
                  <w:vAlign w:val="center"/>
                </w:tcPr>
                <w:p w14:paraId="1AB3DA8C">
                  <w:pPr>
                    <w:jc w:val="center"/>
                    <w:rPr>
                      <w:bCs/>
                      <w:color w:val="000000" w:themeColor="text1"/>
                      <w:sz w:val="21"/>
                      <w:szCs w:val="21"/>
                      <w14:textFill>
                        <w14:solidFill>
                          <w14:schemeClr w14:val="tx1"/>
                        </w14:solidFill>
                      </w14:textFill>
                    </w:rPr>
                  </w:pPr>
                </w:p>
              </w:tc>
            </w:tr>
            <w:tr w14:paraId="4323C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1CA0450E">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3A4917F4">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07</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22C79B57">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0120C038">
                  <w:pPr>
                    <w:widowControl/>
                    <w:jc w:val="center"/>
                    <w:textAlignment w:val="bottom"/>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15</w:t>
                  </w:r>
                </w:p>
              </w:tc>
              <w:tc>
                <w:tcPr>
                  <w:tcW w:w="2145" w:type="dxa"/>
                  <w:vAlign w:val="center"/>
                </w:tcPr>
                <w:p w14:paraId="12CA34D9">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41.5</w:t>
                  </w:r>
                </w:p>
              </w:tc>
              <w:tc>
                <w:tcPr>
                  <w:tcW w:w="722" w:type="pct"/>
                  <w:vMerge w:val="continue"/>
                  <w:vAlign w:val="center"/>
                </w:tcPr>
                <w:p w14:paraId="0B7CCC30">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48C8EFCF">
                  <w:pPr>
                    <w:jc w:val="center"/>
                    <w:rPr>
                      <w:bCs/>
                      <w:color w:val="000000" w:themeColor="text1"/>
                      <w:sz w:val="21"/>
                      <w:szCs w:val="21"/>
                      <w14:textFill>
                        <w14:solidFill>
                          <w14:schemeClr w14:val="tx1"/>
                        </w14:solidFill>
                      </w14:textFill>
                    </w:rPr>
                  </w:pPr>
                </w:p>
              </w:tc>
              <w:tc>
                <w:tcPr>
                  <w:tcW w:w="513" w:type="pct"/>
                  <w:vMerge w:val="continue"/>
                  <w:vAlign w:val="center"/>
                </w:tcPr>
                <w:p w14:paraId="0757224F">
                  <w:pPr>
                    <w:jc w:val="center"/>
                    <w:rPr>
                      <w:bCs/>
                      <w:color w:val="000000" w:themeColor="text1"/>
                      <w:sz w:val="21"/>
                      <w:szCs w:val="21"/>
                      <w14:textFill>
                        <w14:solidFill>
                          <w14:schemeClr w14:val="tx1"/>
                        </w14:solidFill>
                      </w14:textFill>
                    </w:rPr>
                  </w:pPr>
                </w:p>
              </w:tc>
            </w:tr>
            <w:tr w14:paraId="6AF0B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restart"/>
                  <w:vAlign w:val="center"/>
                </w:tcPr>
                <w:p w14:paraId="7C378D0D">
                  <w:pPr>
                    <w:autoSpaceDE w:val="0"/>
                    <w:autoSpaceDN w:val="0"/>
                    <w:adjustRightIn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北</w:t>
                  </w:r>
                </w:p>
                <w:p w14:paraId="10EB02E7">
                  <w:pPr>
                    <w:autoSpaceDE w:val="0"/>
                    <w:autoSpaceDN w:val="0"/>
                    <w:adjustRightInd w:val="0"/>
                    <w:jc w:val="center"/>
                    <w:rPr>
                      <w:color w:val="000000" w:themeColor="text1"/>
                      <w:sz w:val="21"/>
                      <w:szCs w:val="21"/>
                      <w:lang w:val="zh-CN"/>
                      <w14:textFill>
                        <w14:solidFill>
                          <w14:schemeClr w14:val="tx1"/>
                        </w14:solidFill>
                      </w14:textFill>
                    </w:rPr>
                  </w:pPr>
                  <w:r>
                    <w:rPr>
                      <w:color w:val="000000" w:themeColor="text1"/>
                      <w:sz w:val="21"/>
                      <w:szCs w:val="21"/>
                      <w:lang w:val="zh-CN"/>
                      <w14:textFill>
                        <w14:solidFill>
                          <w14:schemeClr w14:val="tx1"/>
                        </w14:solidFill>
                      </w14:textFill>
                    </w:rPr>
                    <w:t>厂</w:t>
                  </w:r>
                </w:p>
                <w:p w14:paraId="56FFD548">
                  <w:pPr>
                    <w:autoSpaceDE w:val="0"/>
                    <w:autoSpaceDN w:val="0"/>
                    <w:adjustRightInd w:val="0"/>
                    <w:jc w:val="center"/>
                    <w:rPr>
                      <w:bCs/>
                      <w:color w:val="000000" w:themeColor="text1"/>
                      <w:sz w:val="21"/>
                      <w:szCs w:val="21"/>
                      <w14:textFill>
                        <w14:solidFill>
                          <w14:schemeClr w14:val="tx1"/>
                        </w14:solidFill>
                      </w14:textFill>
                    </w:rPr>
                  </w:pPr>
                  <w:r>
                    <w:rPr>
                      <w:color w:val="000000" w:themeColor="text1"/>
                      <w:sz w:val="21"/>
                      <w:szCs w:val="21"/>
                      <w:lang w:val="zh-CN"/>
                      <w14:textFill>
                        <w14:solidFill>
                          <w14:schemeClr w14:val="tx1"/>
                        </w14:solidFill>
                      </w14:textFill>
                    </w:rPr>
                    <w:t>界</w:t>
                  </w:r>
                </w:p>
              </w:tc>
              <w:tc>
                <w:tcPr>
                  <w:tcW w:w="745" w:type="pct"/>
                  <w:shd w:val="clear" w:color="auto" w:fill="auto"/>
                  <w:vAlign w:val="center"/>
                </w:tcPr>
                <w:p w14:paraId="05E21DDE">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黄酒车间</w:t>
                  </w:r>
                </w:p>
              </w:tc>
              <w:tc>
                <w:tcPr>
                  <w:tcW w:w="529" w:type="pct"/>
                  <w:shd w:val="clear" w:color="auto" w:fill="auto"/>
                  <w:vAlign w:val="center"/>
                </w:tcPr>
                <w:p w14:paraId="1FC0B9EA">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49.3</w:t>
                  </w:r>
                </w:p>
              </w:tc>
              <w:tc>
                <w:tcPr>
                  <w:tcW w:w="576" w:type="pct"/>
                  <w:vAlign w:val="center"/>
                </w:tcPr>
                <w:p w14:paraId="3580EE3C">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2145" w:type="dxa"/>
                  <w:vAlign w:val="center"/>
                </w:tcPr>
                <w:p w14:paraId="28695448">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43.3</w:t>
                  </w:r>
                </w:p>
              </w:tc>
              <w:tc>
                <w:tcPr>
                  <w:tcW w:w="722" w:type="pct"/>
                  <w:vMerge w:val="restart"/>
                  <w:vAlign w:val="center"/>
                </w:tcPr>
                <w:p w14:paraId="144563E5">
                  <w:pPr>
                    <w:widowControl/>
                    <w:jc w:val="center"/>
                    <w:textAlignment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722" w:type="pct"/>
                  <w:vMerge w:val="restart"/>
                  <w:vAlign w:val="center"/>
                </w:tcPr>
                <w:p w14:paraId="5B52C0EC">
                  <w:pPr>
                    <w:jc w:val="center"/>
                    <w:rPr>
                      <w:bCs/>
                      <w:color w:val="000000" w:themeColor="text1"/>
                      <w:sz w:val="21"/>
                      <w:szCs w:val="21"/>
                      <w14:textFill>
                        <w14:solidFill>
                          <w14:schemeClr w14:val="tx1"/>
                        </w14:solidFill>
                      </w14:textFill>
                    </w:rPr>
                  </w:pPr>
                  <w:r>
                    <w:rPr>
                      <w:rFonts w:hint="eastAsia"/>
                      <w:bCs/>
                      <w:color w:val="000000" w:themeColor="text1"/>
                      <w:sz w:val="21"/>
                      <w:szCs w:val="21"/>
                      <w14:textFill>
                        <w14:solidFill>
                          <w14:schemeClr w14:val="tx1"/>
                        </w14:solidFill>
                      </w14:textFill>
                    </w:rPr>
                    <w:t>51.3</w:t>
                  </w:r>
                </w:p>
              </w:tc>
              <w:tc>
                <w:tcPr>
                  <w:tcW w:w="513" w:type="pct"/>
                  <w:vMerge w:val="restart"/>
                  <w:vAlign w:val="center"/>
                </w:tcPr>
                <w:p w14:paraId="3B385BE5">
                  <w:pPr>
                    <w:jc w:val="center"/>
                    <w:rPr>
                      <w:bCs/>
                      <w:color w:val="000000" w:themeColor="text1"/>
                      <w:sz w:val="21"/>
                      <w:szCs w:val="21"/>
                      <w14:textFill>
                        <w14:solidFill>
                          <w14:schemeClr w14:val="tx1"/>
                        </w14:solidFill>
                      </w14:textFill>
                    </w:rPr>
                  </w:pPr>
                  <w:r>
                    <w:rPr>
                      <w:bCs/>
                      <w:color w:val="000000" w:themeColor="text1"/>
                      <w:sz w:val="21"/>
                      <w:szCs w:val="21"/>
                      <w14:textFill>
                        <w14:solidFill>
                          <w14:schemeClr w14:val="tx1"/>
                        </w14:solidFill>
                      </w14:textFill>
                    </w:rPr>
                    <w:t>60</w:t>
                  </w:r>
                </w:p>
              </w:tc>
            </w:tr>
            <w:tr w14:paraId="18185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080F5B59">
                  <w:pPr>
                    <w:autoSpaceDE w:val="0"/>
                    <w:autoSpaceDN w:val="0"/>
                    <w:adjustRightInd w:val="0"/>
                    <w:jc w:val="center"/>
                    <w:rPr>
                      <w:color w:val="000000" w:themeColor="text1"/>
                      <w:sz w:val="21"/>
                      <w:szCs w:val="21"/>
                      <w:lang w:val="zh-CN"/>
                      <w14:textFill>
                        <w14:solidFill>
                          <w14:schemeClr w14:val="tx1"/>
                        </w14:solidFill>
                      </w14:textFill>
                    </w:rPr>
                  </w:pPr>
                </w:p>
              </w:tc>
              <w:tc>
                <w:tcPr>
                  <w:tcW w:w="745" w:type="pct"/>
                  <w:shd w:val="clear" w:color="auto" w:fill="auto"/>
                  <w:vAlign w:val="center"/>
                </w:tcPr>
                <w:p w14:paraId="1BDBB9E6">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综合车间</w:t>
                  </w:r>
                </w:p>
              </w:tc>
              <w:tc>
                <w:tcPr>
                  <w:tcW w:w="529" w:type="pct"/>
                  <w:shd w:val="clear" w:color="auto" w:fill="auto"/>
                  <w:vAlign w:val="center"/>
                </w:tcPr>
                <w:p w14:paraId="5440DE19">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50.0</w:t>
                  </w:r>
                </w:p>
              </w:tc>
              <w:tc>
                <w:tcPr>
                  <w:tcW w:w="576" w:type="pct"/>
                  <w:vAlign w:val="center"/>
                </w:tcPr>
                <w:p w14:paraId="2E41CA72">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107</w:t>
                  </w:r>
                </w:p>
              </w:tc>
              <w:tc>
                <w:tcPr>
                  <w:tcW w:w="2145" w:type="dxa"/>
                  <w:vAlign w:val="center"/>
                </w:tcPr>
                <w:p w14:paraId="32BB22B3">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9.4</w:t>
                  </w:r>
                </w:p>
              </w:tc>
              <w:tc>
                <w:tcPr>
                  <w:tcW w:w="722" w:type="pct"/>
                  <w:vMerge w:val="continue"/>
                  <w:vAlign w:val="center"/>
                </w:tcPr>
                <w:p w14:paraId="3ABF2379">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7A1AEE3C">
                  <w:pPr>
                    <w:jc w:val="center"/>
                    <w:rPr>
                      <w:bCs/>
                      <w:color w:val="000000" w:themeColor="text1"/>
                      <w:sz w:val="21"/>
                      <w:szCs w:val="21"/>
                      <w14:textFill>
                        <w14:solidFill>
                          <w14:schemeClr w14:val="tx1"/>
                        </w14:solidFill>
                      </w14:textFill>
                    </w:rPr>
                  </w:pPr>
                </w:p>
              </w:tc>
              <w:tc>
                <w:tcPr>
                  <w:tcW w:w="513" w:type="pct"/>
                  <w:vMerge w:val="continue"/>
                  <w:vAlign w:val="center"/>
                </w:tcPr>
                <w:p w14:paraId="106133C7">
                  <w:pPr>
                    <w:jc w:val="center"/>
                    <w:rPr>
                      <w:bCs/>
                      <w:color w:val="000000" w:themeColor="text1"/>
                      <w:sz w:val="21"/>
                      <w:szCs w:val="21"/>
                      <w14:textFill>
                        <w14:solidFill>
                          <w14:schemeClr w14:val="tx1"/>
                        </w14:solidFill>
                      </w14:textFill>
                    </w:rPr>
                  </w:pPr>
                </w:p>
              </w:tc>
            </w:tr>
            <w:tr w14:paraId="5CF1C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2DFFD8AF">
                  <w:pPr>
                    <w:autoSpaceDE w:val="0"/>
                    <w:autoSpaceDN w:val="0"/>
                    <w:adjustRightInd w:val="0"/>
                    <w:jc w:val="center"/>
                    <w:rPr>
                      <w:color w:val="000000" w:themeColor="text1"/>
                      <w:sz w:val="21"/>
                      <w:szCs w:val="21"/>
                      <w:lang w:val="zh-CN"/>
                      <w14:textFill>
                        <w14:solidFill>
                          <w14:schemeClr w14:val="tx1"/>
                        </w14:solidFill>
                      </w14:textFill>
                    </w:rPr>
                  </w:pPr>
                </w:p>
              </w:tc>
              <w:tc>
                <w:tcPr>
                  <w:tcW w:w="745" w:type="pct"/>
                  <w:shd w:val="clear" w:color="auto" w:fill="auto"/>
                  <w:vAlign w:val="center"/>
                </w:tcPr>
                <w:p w14:paraId="7DD60427">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1</w:t>
                  </w:r>
                  <w:r>
                    <w:rPr>
                      <w:rFonts w:ascii="Times New Roman" w:hAnsi="Times New Roman"/>
                      <w:color w:val="000000" w:themeColor="text1"/>
                      <w:sz w:val="21"/>
                      <w:szCs w:val="21"/>
                      <w14:textFill>
                        <w14:solidFill>
                          <w14:schemeClr w14:val="tx1"/>
                        </w14:solidFill>
                      </w14:textFill>
                    </w:rPr>
                    <w:t>#二类器械车间</w:t>
                  </w:r>
                </w:p>
              </w:tc>
              <w:tc>
                <w:tcPr>
                  <w:tcW w:w="529" w:type="pct"/>
                  <w:shd w:val="clear" w:color="auto" w:fill="auto"/>
                  <w:vAlign w:val="center"/>
                </w:tcPr>
                <w:p w14:paraId="02D2969D">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46.</w:t>
                  </w:r>
                </w:p>
              </w:tc>
              <w:tc>
                <w:tcPr>
                  <w:tcW w:w="576" w:type="pct"/>
                  <w:vAlign w:val="center"/>
                </w:tcPr>
                <w:p w14:paraId="6A4DFAC3">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p>
              </w:tc>
              <w:tc>
                <w:tcPr>
                  <w:tcW w:w="2145" w:type="dxa"/>
                  <w:vAlign w:val="center"/>
                </w:tcPr>
                <w:p w14:paraId="2D37FF3E">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40.0</w:t>
                  </w:r>
                </w:p>
              </w:tc>
              <w:tc>
                <w:tcPr>
                  <w:tcW w:w="722" w:type="pct"/>
                  <w:vMerge w:val="continue"/>
                  <w:vAlign w:val="center"/>
                </w:tcPr>
                <w:p w14:paraId="62202A6D">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1A3510C2">
                  <w:pPr>
                    <w:jc w:val="center"/>
                    <w:rPr>
                      <w:bCs/>
                      <w:color w:val="000000" w:themeColor="text1"/>
                      <w:sz w:val="21"/>
                      <w:szCs w:val="21"/>
                      <w14:textFill>
                        <w14:solidFill>
                          <w14:schemeClr w14:val="tx1"/>
                        </w14:solidFill>
                      </w14:textFill>
                    </w:rPr>
                  </w:pPr>
                </w:p>
              </w:tc>
              <w:tc>
                <w:tcPr>
                  <w:tcW w:w="513" w:type="pct"/>
                  <w:vMerge w:val="continue"/>
                  <w:vAlign w:val="center"/>
                </w:tcPr>
                <w:p w14:paraId="29D4719A">
                  <w:pPr>
                    <w:jc w:val="center"/>
                    <w:rPr>
                      <w:bCs/>
                      <w:color w:val="000000" w:themeColor="text1"/>
                      <w:sz w:val="21"/>
                      <w:szCs w:val="21"/>
                      <w14:textFill>
                        <w14:solidFill>
                          <w14:schemeClr w14:val="tx1"/>
                        </w14:solidFill>
                      </w14:textFill>
                    </w:rPr>
                  </w:pPr>
                </w:p>
              </w:tc>
            </w:tr>
            <w:tr w14:paraId="38C1D8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6812A7FD">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23D7D554">
                  <w:pPr>
                    <w:pStyle w:val="24"/>
                    <w:ind w:firstLine="0" w:firstLineChars="0"/>
                    <w:jc w:val="center"/>
                    <w:rPr>
                      <w:rFonts w:ascii="Times New Roman" w:hAnsi="Times New Roman"/>
                      <w:color w:val="000000" w:themeColor="text1"/>
                      <w:sz w:val="21"/>
                      <w:szCs w:val="21"/>
                      <w:lang w:val="zh-CN"/>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2#二类器械车间</w:t>
                  </w:r>
                </w:p>
              </w:tc>
              <w:tc>
                <w:tcPr>
                  <w:tcW w:w="529" w:type="pct"/>
                  <w:shd w:val="clear" w:color="auto" w:fill="auto"/>
                  <w:vAlign w:val="center"/>
                </w:tcPr>
                <w:p w14:paraId="4B37B34C">
                  <w:pPr>
                    <w:pStyle w:val="24"/>
                    <w:ind w:firstLine="0" w:firstLineChars="0"/>
                    <w:jc w:val="center"/>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50.0</w:t>
                  </w:r>
                </w:p>
              </w:tc>
              <w:tc>
                <w:tcPr>
                  <w:tcW w:w="576" w:type="pct"/>
                  <w:vAlign w:val="center"/>
                </w:tcPr>
                <w:p w14:paraId="58256FC1">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39</w:t>
                  </w:r>
                </w:p>
              </w:tc>
              <w:tc>
                <w:tcPr>
                  <w:tcW w:w="2145" w:type="dxa"/>
                  <w:vAlign w:val="center"/>
                </w:tcPr>
                <w:p w14:paraId="3B241D3B">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18.2</w:t>
                  </w:r>
                </w:p>
              </w:tc>
              <w:tc>
                <w:tcPr>
                  <w:tcW w:w="722" w:type="pct"/>
                  <w:vMerge w:val="continue"/>
                  <w:vAlign w:val="center"/>
                </w:tcPr>
                <w:p w14:paraId="3473B2EC">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7B560564">
                  <w:pPr>
                    <w:jc w:val="center"/>
                    <w:rPr>
                      <w:bCs/>
                      <w:color w:val="000000" w:themeColor="text1"/>
                      <w:sz w:val="21"/>
                      <w:szCs w:val="21"/>
                      <w14:textFill>
                        <w14:solidFill>
                          <w14:schemeClr w14:val="tx1"/>
                        </w14:solidFill>
                      </w14:textFill>
                    </w:rPr>
                  </w:pPr>
                </w:p>
              </w:tc>
              <w:tc>
                <w:tcPr>
                  <w:tcW w:w="513" w:type="pct"/>
                  <w:vMerge w:val="continue"/>
                  <w:vAlign w:val="center"/>
                </w:tcPr>
                <w:p w14:paraId="19DA4805">
                  <w:pPr>
                    <w:jc w:val="center"/>
                    <w:rPr>
                      <w:bCs/>
                      <w:color w:val="000000" w:themeColor="text1"/>
                      <w:sz w:val="21"/>
                      <w:szCs w:val="21"/>
                      <w14:textFill>
                        <w14:solidFill>
                          <w14:schemeClr w14:val="tx1"/>
                        </w14:solidFill>
                      </w14:textFill>
                    </w:rPr>
                  </w:pPr>
                </w:p>
              </w:tc>
            </w:tr>
            <w:tr w14:paraId="5B4AF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766052A0">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412B8266">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TA001配套风机</w:t>
                  </w:r>
                </w:p>
              </w:tc>
              <w:tc>
                <w:tcPr>
                  <w:tcW w:w="529" w:type="pct"/>
                  <w:shd w:val="clear" w:color="auto" w:fill="auto"/>
                  <w:vAlign w:val="center"/>
                </w:tcPr>
                <w:p w14:paraId="6DEB3A2B">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2AF9673C">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125</w:t>
                  </w:r>
                </w:p>
              </w:tc>
              <w:tc>
                <w:tcPr>
                  <w:tcW w:w="2145" w:type="dxa"/>
                  <w:vAlign w:val="center"/>
                </w:tcPr>
                <w:p w14:paraId="1870729B">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23.1</w:t>
                  </w:r>
                </w:p>
              </w:tc>
              <w:tc>
                <w:tcPr>
                  <w:tcW w:w="722" w:type="pct"/>
                  <w:vMerge w:val="continue"/>
                  <w:vAlign w:val="center"/>
                </w:tcPr>
                <w:p w14:paraId="181CCC62">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5A1C5713">
                  <w:pPr>
                    <w:jc w:val="center"/>
                    <w:rPr>
                      <w:bCs/>
                      <w:color w:val="000000" w:themeColor="text1"/>
                      <w:sz w:val="21"/>
                      <w:szCs w:val="21"/>
                      <w14:textFill>
                        <w14:solidFill>
                          <w14:schemeClr w14:val="tx1"/>
                        </w14:solidFill>
                      </w14:textFill>
                    </w:rPr>
                  </w:pPr>
                </w:p>
              </w:tc>
              <w:tc>
                <w:tcPr>
                  <w:tcW w:w="513" w:type="pct"/>
                  <w:vMerge w:val="continue"/>
                  <w:vAlign w:val="center"/>
                </w:tcPr>
                <w:p w14:paraId="4E292FF2">
                  <w:pPr>
                    <w:jc w:val="center"/>
                    <w:rPr>
                      <w:bCs/>
                      <w:color w:val="000000" w:themeColor="text1"/>
                      <w:sz w:val="21"/>
                      <w:szCs w:val="21"/>
                      <w14:textFill>
                        <w14:solidFill>
                          <w14:schemeClr w14:val="tx1"/>
                        </w14:solidFill>
                      </w14:textFill>
                    </w:rPr>
                  </w:pPr>
                </w:p>
              </w:tc>
            </w:tr>
            <w:tr w14:paraId="34E94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0DD411D6">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593CCFA0">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TA002配套风机</w:t>
                  </w:r>
                </w:p>
              </w:tc>
              <w:tc>
                <w:tcPr>
                  <w:tcW w:w="529" w:type="pct"/>
                  <w:shd w:val="clear" w:color="auto" w:fill="auto"/>
                  <w:vAlign w:val="center"/>
                </w:tcPr>
                <w:p w14:paraId="05C6F1E6">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6CC45AE0">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108</w:t>
                  </w:r>
                </w:p>
              </w:tc>
              <w:tc>
                <w:tcPr>
                  <w:tcW w:w="2145" w:type="dxa"/>
                  <w:vAlign w:val="center"/>
                </w:tcPr>
                <w:p w14:paraId="4426E922">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24.3</w:t>
                  </w:r>
                </w:p>
              </w:tc>
              <w:tc>
                <w:tcPr>
                  <w:tcW w:w="722" w:type="pct"/>
                  <w:vMerge w:val="continue"/>
                  <w:vAlign w:val="center"/>
                </w:tcPr>
                <w:p w14:paraId="0ABFF8F3">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522EFADD">
                  <w:pPr>
                    <w:jc w:val="center"/>
                    <w:rPr>
                      <w:bCs/>
                      <w:color w:val="000000" w:themeColor="text1"/>
                      <w:sz w:val="21"/>
                      <w:szCs w:val="21"/>
                      <w14:textFill>
                        <w14:solidFill>
                          <w14:schemeClr w14:val="tx1"/>
                        </w14:solidFill>
                      </w14:textFill>
                    </w:rPr>
                  </w:pPr>
                </w:p>
              </w:tc>
              <w:tc>
                <w:tcPr>
                  <w:tcW w:w="513" w:type="pct"/>
                  <w:vMerge w:val="continue"/>
                  <w:vAlign w:val="center"/>
                </w:tcPr>
                <w:p w14:paraId="6206882B">
                  <w:pPr>
                    <w:jc w:val="center"/>
                    <w:rPr>
                      <w:bCs/>
                      <w:color w:val="000000" w:themeColor="text1"/>
                      <w:sz w:val="21"/>
                      <w:szCs w:val="21"/>
                      <w14:textFill>
                        <w14:solidFill>
                          <w14:schemeClr w14:val="tx1"/>
                        </w14:solidFill>
                      </w14:textFill>
                    </w:rPr>
                  </w:pPr>
                </w:p>
              </w:tc>
            </w:tr>
            <w:tr w14:paraId="4D883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4D45A036">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37845AEF">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w:t>
                  </w:r>
                  <w:r>
                    <w:rPr>
                      <w:rFonts w:hint="eastAsia"/>
                      <w:color w:val="000000" w:themeColor="text1"/>
                      <w:kern w:val="0"/>
                      <w:sz w:val="21"/>
                      <w:szCs w:val="21"/>
                      <w14:textFill>
                        <w14:solidFill>
                          <w14:schemeClr w14:val="tx1"/>
                        </w14:solidFill>
                      </w14:textFill>
                    </w:rPr>
                    <w:t>3</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0E695FB5">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51058538">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2145" w:type="dxa"/>
                  <w:vAlign w:val="center"/>
                </w:tcPr>
                <w:p w14:paraId="1AAB413E">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46.9</w:t>
                  </w:r>
                </w:p>
              </w:tc>
              <w:tc>
                <w:tcPr>
                  <w:tcW w:w="722" w:type="pct"/>
                  <w:vMerge w:val="continue"/>
                  <w:vAlign w:val="center"/>
                </w:tcPr>
                <w:p w14:paraId="2F372FE6">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7D68143C">
                  <w:pPr>
                    <w:jc w:val="center"/>
                    <w:rPr>
                      <w:bCs/>
                      <w:color w:val="000000" w:themeColor="text1"/>
                      <w:sz w:val="21"/>
                      <w:szCs w:val="21"/>
                      <w14:textFill>
                        <w14:solidFill>
                          <w14:schemeClr w14:val="tx1"/>
                        </w14:solidFill>
                      </w14:textFill>
                    </w:rPr>
                  </w:pPr>
                </w:p>
              </w:tc>
              <w:tc>
                <w:tcPr>
                  <w:tcW w:w="513" w:type="pct"/>
                  <w:vMerge w:val="continue"/>
                  <w:vAlign w:val="center"/>
                </w:tcPr>
                <w:p w14:paraId="43AAB190">
                  <w:pPr>
                    <w:jc w:val="center"/>
                    <w:rPr>
                      <w:bCs/>
                      <w:color w:val="000000" w:themeColor="text1"/>
                      <w:sz w:val="21"/>
                      <w:szCs w:val="21"/>
                      <w14:textFill>
                        <w14:solidFill>
                          <w14:schemeClr w14:val="tx1"/>
                        </w14:solidFill>
                      </w14:textFill>
                    </w:rPr>
                  </w:pPr>
                </w:p>
              </w:tc>
            </w:tr>
            <w:tr w14:paraId="376980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3AB7B970">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6CA01D87">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TA00</w:t>
                  </w:r>
                  <w:r>
                    <w:rPr>
                      <w:rFonts w:hint="eastAsia"/>
                      <w:color w:val="000000" w:themeColor="text1"/>
                      <w:kern w:val="0"/>
                      <w:sz w:val="21"/>
                      <w:szCs w:val="21"/>
                      <w14:textFill>
                        <w14:solidFill>
                          <w14:schemeClr w14:val="tx1"/>
                        </w14:solidFill>
                      </w14:textFill>
                    </w:rPr>
                    <w:t>4</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5565A4C5">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0F57657B">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36</w:t>
                  </w:r>
                </w:p>
              </w:tc>
              <w:tc>
                <w:tcPr>
                  <w:tcW w:w="2145" w:type="dxa"/>
                  <w:vAlign w:val="center"/>
                </w:tcPr>
                <w:p w14:paraId="4A763C81">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33.9</w:t>
                  </w:r>
                </w:p>
              </w:tc>
              <w:tc>
                <w:tcPr>
                  <w:tcW w:w="722" w:type="pct"/>
                  <w:vMerge w:val="continue"/>
                  <w:vAlign w:val="center"/>
                </w:tcPr>
                <w:p w14:paraId="676EEEBE">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5F8A3B8D">
                  <w:pPr>
                    <w:jc w:val="center"/>
                    <w:rPr>
                      <w:bCs/>
                      <w:color w:val="000000" w:themeColor="text1"/>
                      <w:sz w:val="21"/>
                      <w:szCs w:val="21"/>
                      <w14:textFill>
                        <w14:solidFill>
                          <w14:schemeClr w14:val="tx1"/>
                        </w14:solidFill>
                      </w14:textFill>
                    </w:rPr>
                  </w:pPr>
                </w:p>
              </w:tc>
              <w:tc>
                <w:tcPr>
                  <w:tcW w:w="513" w:type="pct"/>
                  <w:vMerge w:val="continue"/>
                  <w:vAlign w:val="center"/>
                </w:tcPr>
                <w:p w14:paraId="76215279">
                  <w:pPr>
                    <w:jc w:val="center"/>
                    <w:rPr>
                      <w:bCs/>
                      <w:color w:val="000000" w:themeColor="text1"/>
                      <w:sz w:val="21"/>
                      <w:szCs w:val="21"/>
                      <w14:textFill>
                        <w14:solidFill>
                          <w14:schemeClr w14:val="tx1"/>
                        </w14:solidFill>
                      </w14:textFill>
                    </w:rPr>
                  </w:pPr>
                </w:p>
              </w:tc>
            </w:tr>
            <w:tr w14:paraId="70C79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6D568EA0">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00342A96">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05</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6A684109">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543F50F6">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w:t>
                  </w:r>
                </w:p>
              </w:tc>
              <w:tc>
                <w:tcPr>
                  <w:tcW w:w="2145" w:type="dxa"/>
                  <w:vAlign w:val="center"/>
                </w:tcPr>
                <w:p w14:paraId="48C2C07C">
                  <w:pPr>
                    <w:widowControl/>
                    <w:jc w:val="center"/>
                    <w:textAlignment w:val="center"/>
                    <w:rPr>
                      <w:color w:val="000000" w:themeColor="text1"/>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46.9</w:t>
                  </w:r>
                </w:p>
              </w:tc>
              <w:tc>
                <w:tcPr>
                  <w:tcW w:w="722" w:type="pct"/>
                  <w:vMerge w:val="continue"/>
                  <w:vAlign w:val="center"/>
                </w:tcPr>
                <w:p w14:paraId="75363729">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6A1C5A8D">
                  <w:pPr>
                    <w:jc w:val="center"/>
                    <w:rPr>
                      <w:bCs/>
                      <w:color w:val="000000" w:themeColor="text1"/>
                      <w:sz w:val="21"/>
                      <w:szCs w:val="21"/>
                      <w14:textFill>
                        <w14:solidFill>
                          <w14:schemeClr w14:val="tx1"/>
                        </w14:solidFill>
                      </w14:textFill>
                    </w:rPr>
                  </w:pPr>
                </w:p>
              </w:tc>
              <w:tc>
                <w:tcPr>
                  <w:tcW w:w="513" w:type="pct"/>
                  <w:vMerge w:val="continue"/>
                  <w:vAlign w:val="center"/>
                </w:tcPr>
                <w:p w14:paraId="3528FA18">
                  <w:pPr>
                    <w:jc w:val="center"/>
                    <w:rPr>
                      <w:bCs/>
                      <w:color w:val="000000" w:themeColor="text1"/>
                      <w:sz w:val="21"/>
                      <w:szCs w:val="21"/>
                      <w14:textFill>
                        <w14:solidFill>
                          <w14:schemeClr w14:val="tx1"/>
                        </w14:solidFill>
                      </w14:textFill>
                    </w:rPr>
                  </w:pPr>
                </w:p>
              </w:tc>
            </w:tr>
            <w:tr w14:paraId="77298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4BE1F0AC">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7FC04F55">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06</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2C9B42C5">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42A5A68C">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46</w:t>
                  </w:r>
                </w:p>
              </w:tc>
              <w:tc>
                <w:tcPr>
                  <w:tcW w:w="2145" w:type="dxa"/>
                  <w:vAlign w:val="center"/>
                </w:tcPr>
                <w:p w14:paraId="5089DC40">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31.7</w:t>
                  </w:r>
                </w:p>
              </w:tc>
              <w:tc>
                <w:tcPr>
                  <w:tcW w:w="722" w:type="pct"/>
                  <w:vMerge w:val="continue"/>
                  <w:vAlign w:val="center"/>
                </w:tcPr>
                <w:p w14:paraId="6A4CBE8F">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6E58C7BE">
                  <w:pPr>
                    <w:jc w:val="center"/>
                    <w:rPr>
                      <w:bCs/>
                      <w:color w:val="000000" w:themeColor="text1"/>
                      <w:sz w:val="21"/>
                      <w:szCs w:val="21"/>
                      <w14:textFill>
                        <w14:solidFill>
                          <w14:schemeClr w14:val="tx1"/>
                        </w14:solidFill>
                      </w14:textFill>
                    </w:rPr>
                  </w:pPr>
                </w:p>
              </w:tc>
              <w:tc>
                <w:tcPr>
                  <w:tcW w:w="513" w:type="pct"/>
                  <w:vMerge w:val="continue"/>
                  <w:vAlign w:val="center"/>
                </w:tcPr>
                <w:p w14:paraId="52F3F565">
                  <w:pPr>
                    <w:jc w:val="center"/>
                    <w:rPr>
                      <w:bCs/>
                      <w:color w:val="000000" w:themeColor="text1"/>
                      <w:sz w:val="21"/>
                      <w:szCs w:val="21"/>
                      <w14:textFill>
                        <w14:solidFill>
                          <w14:schemeClr w14:val="tx1"/>
                        </w14:solidFill>
                      </w14:textFill>
                    </w:rPr>
                  </w:pPr>
                </w:p>
              </w:tc>
            </w:tr>
            <w:tr w14:paraId="61156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94" w:type="pct"/>
                  <w:vMerge w:val="continue"/>
                  <w:vAlign w:val="center"/>
                </w:tcPr>
                <w:p w14:paraId="791C2D2E">
                  <w:pPr>
                    <w:jc w:val="center"/>
                    <w:rPr>
                      <w:bCs/>
                      <w:color w:val="000000" w:themeColor="text1"/>
                      <w:sz w:val="21"/>
                      <w:szCs w:val="21"/>
                      <w14:textFill>
                        <w14:solidFill>
                          <w14:schemeClr w14:val="tx1"/>
                        </w14:solidFill>
                      </w14:textFill>
                    </w:rPr>
                  </w:pPr>
                </w:p>
              </w:tc>
              <w:tc>
                <w:tcPr>
                  <w:tcW w:w="745" w:type="pct"/>
                  <w:shd w:val="clear" w:color="auto" w:fill="auto"/>
                  <w:vAlign w:val="center"/>
                </w:tcPr>
                <w:p w14:paraId="6D3DD895">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TA0</w:t>
                  </w:r>
                  <w:r>
                    <w:rPr>
                      <w:rFonts w:hint="eastAsia"/>
                      <w:color w:val="000000" w:themeColor="text1"/>
                      <w:kern w:val="0"/>
                      <w:sz w:val="21"/>
                      <w:szCs w:val="21"/>
                      <w14:textFill>
                        <w14:solidFill>
                          <w14:schemeClr w14:val="tx1"/>
                        </w14:solidFill>
                      </w14:textFill>
                    </w:rPr>
                    <w:t>07</w:t>
                  </w:r>
                  <w:r>
                    <w:rPr>
                      <w:color w:val="000000" w:themeColor="text1"/>
                      <w:kern w:val="0"/>
                      <w:sz w:val="21"/>
                      <w:szCs w:val="21"/>
                      <w14:textFill>
                        <w14:solidFill>
                          <w14:schemeClr w14:val="tx1"/>
                        </w14:solidFill>
                      </w14:textFill>
                    </w:rPr>
                    <w:t>配套风机</w:t>
                  </w:r>
                </w:p>
              </w:tc>
              <w:tc>
                <w:tcPr>
                  <w:tcW w:w="529" w:type="pct"/>
                  <w:shd w:val="clear" w:color="auto" w:fill="auto"/>
                  <w:vAlign w:val="center"/>
                </w:tcPr>
                <w:p w14:paraId="12E0B773">
                  <w:pPr>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65</w:t>
                  </w:r>
                </w:p>
              </w:tc>
              <w:tc>
                <w:tcPr>
                  <w:tcW w:w="576" w:type="pct"/>
                  <w:vAlign w:val="center"/>
                </w:tcPr>
                <w:p w14:paraId="6A3A54D6">
                  <w:pPr>
                    <w:widowControl/>
                    <w:jc w:val="center"/>
                    <w:textAlignment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116</w:t>
                  </w:r>
                </w:p>
              </w:tc>
              <w:tc>
                <w:tcPr>
                  <w:tcW w:w="2145" w:type="dxa"/>
                  <w:vAlign w:val="center"/>
                </w:tcPr>
                <w:p w14:paraId="443CE55C">
                  <w:pPr>
                    <w:widowControl/>
                    <w:jc w:val="center"/>
                    <w:textAlignment w:val="center"/>
                    <w:rPr>
                      <w:color w:val="000000" w:themeColor="text1"/>
                      <w:kern w:val="0"/>
                      <w:sz w:val="21"/>
                      <w:szCs w:val="21"/>
                      <w14:textFill>
                        <w14:solidFill>
                          <w14:schemeClr w14:val="tx1"/>
                        </w14:solidFill>
                      </w14:textFill>
                    </w:rPr>
                  </w:pPr>
                  <w:r>
                    <w:rPr>
                      <w:color w:val="000000" w:themeColor="text1"/>
                      <w:kern w:val="0"/>
                      <w:sz w:val="21"/>
                      <w:szCs w:val="21"/>
                      <w:lang w:bidi="ar"/>
                      <w14:textFill>
                        <w14:solidFill>
                          <w14:schemeClr w14:val="tx1"/>
                        </w14:solidFill>
                      </w14:textFill>
                    </w:rPr>
                    <w:t>23.7</w:t>
                  </w:r>
                </w:p>
              </w:tc>
              <w:tc>
                <w:tcPr>
                  <w:tcW w:w="722" w:type="pct"/>
                  <w:vMerge w:val="continue"/>
                  <w:vAlign w:val="center"/>
                </w:tcPr>
                <w:p w14:paraId="1A301C13">
                  <w:pPr>
                    <w:widowControl/>
                    <w:jc w:val="center"/>
                    <w:textAlignment w:val="center"/>
                    <w:rPr>
                      <w:color w:val="000000" w:themeColor="text1"/>
                      <w:kern w:val="0"/>
                      <w:sz w:val="21"/>
                      <w:szCs w:val="21"/>
                      <w14:textFill>
                        <w14:solidFill>
                          <w14:schemeClr w14:val="tx1"/>
                        </w14:solidFill>
                      </w14:textFill>
                    </w:rPr>
                  </w:pPr>
                </w:p>
              </w:tc>
              <w:tc>
                <w:tcPr>
                  <w:tcW w:w="722" w:type="pct"/>
                  <w:vMerge w:val="continue"/>
                  <w:vAlign w:val="center"/>
                </w:tcPr>
                <w:p w14:paraId="7A4B27B9">
                  <w:pPr>
                    <w:jc w:val="center"/>
                    <w:rPr>
                      <w:bCs/>
                      <w:color w:val="000000" w:themeColor="text1"/>
                      <w:sz w:val="21"/>
                      <w:szCs w:val="21"/>
                      <w14:textFill>
                        <w14:solidFill>
                          <w14:schemeClr w14:val="tx1"/>
                        </w14:solidFill>
                      </w14:textFill>
                    </w:rPr>
                  </w:pPr>
                </w:p>
              </w:tc>
              <w:tc>
                <w:tcPr>
                  <w:tcW w:w="513" w:type="pct"/>
                  <w:vMerge w:val="continue"/>
                  <w:vAlign w:val="center"/>
                </w:tcPr>
                <w:p w14:paraId="0825DC02">
                  <w:pPr>
                    <w:jc w:val="center"/>
                    <w:rPr>
                      <w:bCs/>
                      <w:color w:val="000000" w:themeColor="text1"/>
                      <w:sz w:val="21"/>
                      <w:szCs w:val="21"/>
                      <w14:textFill>
                        <w14:solidFill>
                          <w14:schemeClr w14:val="tx1"/>
                        </w14:solidFill>
                      </w14:textFill>
                    </w:rPr>
                  </w:pPr>
                </w:p>
              </w:tc>
            </w:tr>
          </w:tbl>
          <w:p w14:paraId="58C66FA6">
            <w:pPr>
              <w:keepNext/>
              <w:keepLines/>
              <w:widowControl/>
              <w:adjustRightInd w:val="0"/>
              <w:snapToGrid w:val="0"/>
              <w:spacing w:line="360" w:lineRule="auto"/>
              <w:ind w:firstLine="480" w:firstLineChars="200"/>
              <w:outlineLvl w:val="9"/>
              <w:rPr>
                <w:color w:val="000000" w:themeColor="text1"/>
                <w:sz w:val="24"/>
                <w14:textFill>
                  <w14:solidFill>
                    <w14:schemeClr w14:val="tx1"/>
                  </w14:solidFill>
                </w14:textFill>
              </w:rPr>
            </w:pPr>
            <w:r>
              <w:rPr>
                <w:color w:val="000000" w:themeColor="text1"/>
                <w:sz w:val="24"/>
                <w14:textFill>
                  <w14:solidFill>
                    <w14:schemeClr w14:val="tx1"/>
                  </w14:solidFill>
                </w14:textFill>
              </w:rPr>
              <w:t>由上表预测结果可知，本项目营运期</w:t>
            </w:r>
            <w:r>
              <w:rPr>
                <w:rFonts w:hint="eastAsia"/>
                <w:color w:val="000000" w:themeColor="text1"/>
                <w:sz w:val="24"/>
                <w14:textFill>
                  <w14:solidFill>
                    <w14:schemeClr w14:val="tx1"/>
                  </w14:solidFill>
                </w14:textFill>
              </w:rPr>
              <w:t>（夜间不生产）</w:t>
            </w:r>
            <w:r>
              <w:rPr>
                <w:color w:val="000000" w:themeColor="text1"/>
                <w:sz w:val="24"/>
                <w14:textFill>
                  <w14:solidFill>
                    <w14:schemeClr w14:val="tx1"/>
                  </w14:solidFill>
                </w14:textFill>
              </w:rPr>
              <w:t>生产噪声对东、南、西、北厂界的贡献值可以满足《工业企业厂界环境噪声排放标准》（GB12348-2008）中2类标准要求。因此项目产生的噪声对周围环境的影响在可接受范围内。</w:t>
            </w:r>
          </w:p>
          <w:p w14:paraId="02CE62FE">
            <w:pPr>
              <w:tabs>
                <w:tab w:val="left" w:pos="1081"/>
              </w:tabs>
              <w:adjustRightInd w:val="0"/>
              <w:snapToGrid w:val="0"/>
              <w:spacing w:line="360" w:lineRule="auto"/>
              <w:ind w:firstLine="480" w:firstLineChars="200"/>
              <w:rPr>
                <w:color w:val="000000" w:themeColor="text1"/>
                <w:kern w:val="0"/>
                <w:sz w:val="24"/>
                <w:szCs w:val="21"/>
                <w14:textFill>
                  <w14:solidFill>
                    <w14:schemeClr w14:val="tx1"/>
                  </w14:solidFill>
                </w14:textFill>
              </w:rPr>
            </w:pPr>
            <w:r>
              <w:rPr>
                <w:rFonts w:hint="eastAsia"/>
                <w:color w:val="000000" w:themeColor="text1"/>
                <w:kern w:val="0"/>
                <w:sz w:val="24"/>
                <w:szCs w:val="21"/>
                <w14:textFill>
                  <w14:solidFill>
                    <w14:schemeClr w14:val="tx1"/>
                  </w14:solidFill>
                </w14:textFill>
              </w:rPr>
              <w:t>3.4声环境监测计划</w:t>
            </w:r>
          </w:p>
          <w:p w14:paraId="7FD34C0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"https://www.eiacloud.com/hpyzs/lawsRegulations/csSearchDetail?modelName=%E6%8E%92%E6%B1%A1%E5%90%8D%E5%BD%95&amp;id=75ad4eb16a27494ab18ae178ba0954cf" \t "https://www.eiacloud.com/hpyzs/category/_self" </w:instrText>
            </w:r>
            <w:r>
              <w:rPr>
                <w:color w:val="000000" w:themeColor="text1"/>
                <w14:textFill>
                  <w14:solidFill>
                    <w14:schemeClr w14:val="tx1"/>
                  </w14:solidFill>
                </w14:textFill>
              </w:rPr>
              <w:fldChar w:fldCharType="separate"/>
            </w:r>
            <w:r>
              <w:rPr>
                <w:rStyle w:val="29"/>
                <w:rFonts w:eastAsia="Helvetica"/>
                <w:color w:val="000000" w:themeColor="text1"/>
                <w:sz w:val="24"/>
                <w:u w:val="none"/>
                <w:shd w:val="clear" w:color="auto" w:fill="FFFFFF"/>
                <w14:textFill>
                  <w14:solidFill>
                    <w14:schemeClr w14:val="tx1"/>
                  </w14:solidFill>
                </w14:textFill>
              </w:rPr>
              <w:t>排污许可证申请与核发技术规范 酒、饮料制造工业</w:t>
            </w:r>
            <w:r>
              <w:rPr>
                <w:color w:val="000000" w:themeColor="text1"/>
                <w:sz w:val="24"/>
                <w14:textFill>
                  <w14:solidFill>
                    <w14:schemeClr w14:val="tx1"/>
                  </w14:solidFill>
                </w14:textFill>
              </w:rPr>
              <w:t>》</w:t>
            </w:r>
            <w:r>
              <w:rPr>
                <w:rStyle w:val="29"/>
                <w:color w:val="000000" w:themeColor="text1"/>
                <w:sz w:val="24"/>
                <w:u w:val="none"/>
                <w:shd w:val="clear" w:color="auto" w:fill="FFFFFF"/>
                <w14:textFill>
                  <w14:solidFill>
                    <w14:schemeClr w14:val="tx1"/>
                  </w14:solidFill>
                </w14:textFill>
              </w:rPr>
              <w:t>（</w:t>
            </w:r>
            <w:r>
              <w:rPr>
                <w:rStyle w:val="29"/>
                <w:rFonts w:eastAsia="Helvetica"/>
                <w:color w:val="000000" w:themeColor="text1"/>
                <w:sz w:val="24"/>
                <w:u w:val="none"/>
                <w:shd w:val="clear" w:color="auto" w:fill="FFFFFF"/>
                <w14:textFill>
                  <w14:solidFill>
                    <w14:schemeClr w14:val="tx1"/>
                  </w14:solidFill>
                </w14:textFill>
              </w:rPr>
              <w:t>HJ1028-2019</w:t>
            </w:r>
            <w:r>
              <w:rPr>
                <w:rStyle w:val="29"/>
                <w:rFonts w:eastAsia="Helvetica"/>
                <w:color w:val="000000" w:themeColor="text1"/>
                <w:sz w:val="24"/>
                <w:u w:val="none"/>
                <w:shd w:val="clear" w:color="auto" w:fill="FFFFFF"/>
                <w14:textFill>
                  <w14:solidFill>
                    <w14:schemeClr w14:val="tx1"/>
                  </w14:solidFill>
                </w14:textFill>
              </w:rPr>
              <w:fldChar w:fldCharType="end"/>
            </w:r>
            <w:r>
              <w:rPr>
                <w:rStyle w:val="29"/>
                <w:color w:val="000000" w:themeColor="text1"/>
                <w:sz w:val="24"/>
                <w:u w:val="none"/>
                <w:shd w:val="clear" w:color="auto" w:fill="FFFFFF"/>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"https://www.eiacloud.com/hpyzs/lawsRegulations/csSearchDetail?modelName=%E6%8E%92%E6%B1%A1%E5%90%8D%E5%BD%95&amp;id=f5cee331cb544f70bed9f7b8c91dc957" \t "https://www.eiacloud.com/hpyzs/category/_self" </w:instrText>
            </w:r>
            <w:r>
              <w:rPr>
                <w:color w:val="000000" w:themeColor="text1"/>
                <w14:textFill>
                  <w14:solidFill>
                    <w14:schemeClr w14:val="tx1"/>
                  </w14:solidFill>
                </w14:textFill>
              </w:rPr>
              <w:fldChar w:fldCharType="separate"/>
            </w:r>
            <w:r>
              <w:rPr>
                <w:rStyle w:val="29"/>
                <w:rFonts w:eastAsia="Helvetica"/>
                <w:color w:val="000000" w:themeColor="text1"/>
                <w:sz w:val="24"/>
                <w:u w:val="none"/>
                <w:shd w:val="clear" w:color="auto" w:fill="FFFFFF"/>
                <w14:textFill>
                  <w14:solidFill>
                    <w14:schemeClr w14:val="tx1"/>
                  </w14:solidFill>
                </w14:textFill>
              </w:rPr>
              <w:t>排污单位自行监测技术指南 酒、饮料制造</w:t>
            </w:r>
            <w:r>
              <w:rPr>
                <w:rStyle w:val="29"/>
                <w:color w:val="000000" w:themeColor="text1"/>
                <w:sz w:val="24"/>
                <w:u w:val="none"/>
                <w:shd w:val="clear" w:color="auto" w:fill="FFFFFF"/>
                <w14:textFill>
                  <w14:solidFill>
                    <w14:schemeClr w14:val="tx1"/>
                  </w14:solidFill>
                </w14:textFill>
              </w:rPr>
              <w:t>》（</w:t>
            </w:r>
            <w:r>
              <w:rPr>
                <w:rStyle w:val="29"/>
                <w:rFonts w:eastAsia="Helvetica"/>
                <w:color w:val="000000" w:themeColor="text1"/>
                <w:sz w:val="24"/>
                <w:u w:val="none"/>
                <w:shd w:val="clear" w:color="auto" w:fill="FFFFFF"/>
                <w14:textFill>
                  <w14:solidFill>
                    <w14:schemeClr w14:val="tx1"/>
                  </w14:solidFill>
                </w14:textFill>
              </w:rPr>
              <w:t>HJ1085-2020</w:t>
            </w:r>
            <w:r>
              <w:rPr>
                <w:rStyle w:val="29"/>
                <w:rFonts w:eastAsia="Helvetica"/>
                <w:color w:val="000000" w:themeColor="text1"/>
                <w:sz w:val="24"/>
                <w:u w:val="none"/>
                <w:shd w:val="clear" w:color="auto" w:fill="FFFFFF"/>
                <w14:textFill>
                  <w14:solidFill>
                    <w14:schemeClr w14:val="tx1"/>
                  </w14:solidFill>
                </w14:textFill>
              </w:rPr>
              <w:fldChar w:fldCharType="end"/>
            </w:r>
            <w:r>
              <w:rPr>
                <w:rStyle w:val="29"/>
                <w:color w:val="000000" w:themeColor="text1"/>
                <w:sz w:val="24"/>
                <w:u w:val="none"/>
                <w:shd w:val="clear" w:color="auto" w:fill="FFFFFF"/>
                <w14:textFill>
                  <w14:solidFill>
                    <w14:schemeClr w14:val="tx1"/>
                  </w14:solidFill>
                </w14:textFill>
              </w:rPr>
              <w:t>）</w:t>
            </w:r>
            <w:r>
              <w:rPr>
                <w:rStyle w:val="29"/>
                <w:rFonts w:hint="eastAsia"/>
                <w:color w:val="000000" w:themeColor="text1"/>
                <w:sz w:val="24"/>
                <w:u w:val="none"/>
                <w:shd w:val="clear" w:color="auto" w:fill="FFFFFF"/>
                <w14:textFill>
                  <w14:solidFill>
                    <w14:schemeClr w14:val="tx1"/>
                  </w14:solidFill>
                </w14:textFill>
              </w:rPr>
              <w:t>、</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排污许可证申请与核发技术规范 工业噪声</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（HJ1301-2023），项目运营期噪声环境监测的内容及频次详见下表。</w:t>
            </w:r>
          </w:p>
          <w:p w14:paraId="664AC9C3">
            <w:pPr>
              <w:adjustRightInd w:val="0"/>
              <w:snapToGrid w:val="0"/>
              <w:spacing w:line="360" w:lineRule="auto"/>
              <w:ind w:firstLine="361" w:firstLineChars="150"/>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21</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声环境监测计划一览表</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164"/>
              <w:gridCol w:w="2963"/>
              <w:gridCol w:w="1823"/>
              <w:gridCol w:w="1361"/>
              <w:gridCol w:w="1658"/>
              <w:gridCol w:w="4529"/>
            </w:tblGrid>
            <w:tr w14:paraId="00D76C7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vAlign w:val="center"/>
                </w:tcPr>
                <w:p w14:paraId="4F6FD35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097" w:type="pct"/>
                  <w:vAlign w:val="center"/>
                </w:tcPr>
                <w:p w14:paraId="797858E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监测点位</w:t>
                  </w:r>
                </w:p>
              </w:tc>
              <w:tc>
                <w:tcPr>
                  <w:tcW w:w="675" w:type="pct"/>
                  <w:vAlign w:val="center"/>
                </w:tcPr>
                <w:p w14:paraId="064764F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监测项目</w:t>
                  </w:r>
                </w:p>
              </w:tc>
              <w:tc>
                <w:tcPr>
                  <w:tcW w:w="504" w:type="pct"/>
                  <w:vAlign w:val="center"/>
                </w:tcPr>
                <w:p w14:paraId="528914D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频率</w:t>
                  </w:r>
                </w:p>
              </w:tc>
              <w:tc>
                <w:tcPr>
                  <w:tcW w:w="614" w:type="pct"/>
                  <w:tcBorders>
                    <w:bottom w:val="single" w:color="auto" w:sz="4" w:space="0"/>
                  </w:tcBorders>
                  <w:vAlign w:val="center"/>
                </w:tcPr>
                <w:p w14:paraId="7632D88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实施单位</w:t>
                  </w:r>
                </w:p>
              </w:tc>
              <w:tc>
                <w:tcPr>
                  <w:tcW w:w="1677" w:type="pct"/>
                  <w:tcBorders>
                    <w:bottom w:val="single" w:color="auto" w:sz="4" w:space="0"/>
                  </w:tcBorders>
                  <w:vAlign w:val="center"/>
                </w:tcPr>
                <w:p w14:paraId="6FDB14B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执行标准</w:t>
                  </w:r>
                </w:p>
              </w:tc>
            </w:tr>
            <w:tr w14:paraId="5D7167C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431" w:type="pct"/>
                  <w:vAlign w:val="center"/>
                </w:tcPr>
                <w:p w14:paraId="64826CEC">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w:t>
                  </w:r>
                </w:p>
              </w:tc>
              <w:tc>
                <w:tcPr>
                  <w:tcW w:w="1097" w:type="pct"/>
                  <w:vAlign w:val="center"/>
                </w:tcPr>
                <w:p w14:paraId="160BFAFC">
                  <w:pPr>
                    <w:jc w:val="center"/>
                    <w:rPr>
                      <w:rStyle w:val="30"/>
                      <w:color w:val="000000" w:themeColor="text1"/>
                      <w14:textFill>
                        <w14:solidFill>
                          <w14:schemeClr w14:val="tx1"/>
                        </w14:solidFill>
                      </w14:textFill>
                    </w:rPr>
                  </w:pPr>
                  <w:r>
                    <w:rPr>
                      <w:rStyle w:val="30"/>
                      <w:rFonts w:hint="eastAsia"/>
                      <w:color w:val="000000" w:themeColor="text1"/>
                      <w14:textFill>
                        <w14:solidFill>
                          <w14:schemeClr w14:val="tx1"/>
                        </w14:solidFill>
                      </w14:textFill>
                    </w:rPr>
                    <w:t>东、南、西、北四</w:t>
                  </w:r>
                  <w:r>
                    <w:rPr>
                      <w:rStyle w:val="30"/>
                      <w:color w:val="000000" w:themeColor="text1"/>
                      <w14:textFill>
                        <w14:solidFill>
                          <w14:schemeClr w14:val="tx1"/>
                        </w14:solidFill>
                      </w14:textFill>
                    </w:rPr>
                    <w:t>厂界各设一个监测点</w:t>
                  </w:r>
                </w:p>
              </w:tc>
              <w:tc>
                <w:tcPr>
                  <w:tcW w:w="675" w:type="pct"/>
                  <w:vAlign w:val="center"/>
                </w:tcPr>
                <w:p w14:paraId="5FD8052E">
                  <w:pPr>
                    <w:adjustRightIn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噪声</w:t>
                  </w:r>
                </w:p>
              </w:tc>
              <w:tc>
                <w:tcPr>
                  <w:tcW w:w="504" w:type="pct"/>
                  <w:vAlign w:val="center"/>
                </w:tcPr>
                <w:p w14:paraId="418F2774">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1次/季度</w:t>
                  </w:r>
                </w:p>
              </w:tc>
              <w:tc>
                <w:tcPr>
                  <w:tcW w:w="614" w:type="pct"/>
                  <w:vAlign w:val="center"/>
                </w:tcPr>
                <w:p w14:paraId="4373400F">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有资质的监测单位</w:t>
                  </w:r>
                </w:p>
              </w:tc>
              <w:tc>
                <w:tcPr>
                  <w:tcW w:w="1677" w:type="pct"/>
                  <w:vAlign w:val="center"/>
                </w:tcPr>
                <w:p w14:paraId="0757FD37">
                  <w:pPr>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《工业企业厂界环境噪声排放标准》（GB12348-2008）2类标准</w:t>
                  </w:r>
                </w:p>
              </w:tc>
            </w:tr>
          </w:tbl>
          <w:p w14:paraId="2017FBA4">
            <w:pPr>
              <w:rPr>
                <w:color w:val="000000" w:themeColor="text1"/>
                <w14:textFill>
                  <w14:solidFill>
                    <w14:schemeClr w14:val="tx1"/>
                  </w14:solidFill>
                </w14:textFill>
              </w:rPr>
            </w:pPr>
          </w:p>
        </w:tc>
      </w:tr>
    </w:tbl>
    <w:p w14:paraId="666F747F">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2"/>
        <w:gridCol w:w="9384"/>
      </w:tblGrid>
      <w:tr w14:paraId="65C85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7" w:type="pct"/>
          </w:tcPr>
          <w:p w14:paraId="46941E07">
            <w:pPr>
              <w:rPr>
                <w:color w:val="000000" w:themeColor="text1"/>
                <w14:textFill>
                  <w14:solidFill>
                    <w14:schemeClr w14:val="tx1"/>
                  </w14:solidFill>
                </w14:textFill>
              </w:rPr>
            </w:pPr>
          </w:p>
        </w:tc>
        <w:tc>
          <w:tcPr>
            <w:tcW w:w="4712" w:type="pct"/>
          </w:tcPr>
          <w:p w14:paraId="17E85B0C">
            <w:pPr>
              <w:adjustRightInd w:val="0"/>
              <w:snapToGrid w:val="0"/>
              <w:spacing w:line="360" w:lineRule="auto"/>
              <w:ind w:firstLine="482" w:firstLineChars="200"/>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4、固体废物</w:t>
            </w:r>
          </w:p>
          <w:p w14:paraId="4A00EAC4">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4.1固废产排情况</w:t>
            </w:r>
          </w:p>
          <w:p w14:paraId="2ADA479C">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本项目营运期固体废物主要为职工生活垃圾、化粪池污泥、</w:t>
            </w:r>
            <w:r>
              <w:rPr>
                <w:rFonts w:hint="eastAsia"/>
                <w:color w:val="000000" w:themeColor="text1"/>
                <w:sz w:val="24"/>
                <w14:textFill>
                  <w14:solidFill>
                    <w14:schemeClr w14:val="tx1"/>
                  </w14:solidFill>
                </w14:textFill>
              </w:rPr>
              <w:t>除尘器收集到的粉尘、白酒生产线丢糟糟、黄酒生产线酒糟、啤酒生产线废麦糟、废酵母、废啤酒花及热凝固物</w:t>
            </w:r>
            <w:r>
              <w:rPr>
                <w:rFonts w:hint="eastAsia"/>
                <w:bCs/>
                <w:color w:val="000000" w:themeColor="text1"/>
                <w:sz w:val="24"/>
                <w14:textFill>
                  <w14:solidFill>
                    <w14:schemeClr w14:val="tx1"/>
                  </w14:solidFill>
                </w14:textFill>
              </w:rPr>
              <w:t>、果酒生产线果酒糟、</w:t>
            </w:r>
            <w:r>
              <w:rPr>
                <w:rFonts w:hint="eastAsia"/>
                <w:color w:val="000000" w:themeColor="text1"/>
                <w:sz w:val="24"/>
                <w14:textFill>
                  <w14:solidFill>
                    <w14:schemeClr w14:val="tx1"/>
                  </w14:solidFill>
                </w14:textFill>
              </w:rPr>
              <w:t>果皮、果渣及果梗、植物饮料生产线过滤果渣、纯水制备废石英砂、</w:t>
            </w:r>
            <w:r>
              <w:rPr>
                <w:color w:val="000000" w:themeColor="text1"/>
                <w:sz w:val="24"/>
                <w14:textFill>
                  <w14:solidFill>
                    <w14:schemeClr w14:val="tx1"/>
                  </w14:solidFill>
                </w14:textFill>
              </w:rPr>
              <w:t>废滤芯、废活性炭、废反渗透膜</w:t>
            </w:r>
            <w:r>
              <w:rPr>
                <w:rFonts w:hint="eastAsia"/>
                <w:color w:val="000000" w:themeColor="text1"/>
                <w:sz w:val="24"/>
                <w14:textFill>
                  <w14:solidFill>
                    <w14:schemeClr w14:val="tx1"/>
                  </w14:solidFill>
                </w14:textFill>
              </w:rPr>
              <w:t>、废活性炭、废硅藻土、废酒瓶</w:t>
            </w:r>
            <w:r>
              <w:rPr>
                <w:color w:val="000000" w:themeColor="text1"/>
                <w:sz w:val="24"/>
                <w14:textFill>
                  <w14:solidFill>
                    <w14:schemeClr w14:val="tx1"/>
                  </w14:solidFill>
                </w14:textFill>
              </w:rPr>
              <w:t>、废包装材料</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污水处理站污泥以及废润滑油及废润滑油桶</w:t>
            </w:r>
            <w:r>
              <w:rPr>
                <w:rFonts w:hint="eastAsia"/>
                <w:color w:val="000000" w:themeColor="text1"/>
                <w:sz w:val="24"/>
                <w14:textFill>
                  <w14:solidFill>
                    <w14:schemeClr w14:val="tx1"/>
                  </w14:solidFill>
                </w14:textFill>
              </w:rPr>
              <w:t>、废活性炭以及废弃化学品（氢氧化钠、硝酸）包装材料</w:t>
            </w:r>
            <w:r>
              <w:rPr>
                <w:color w:val="000000" w:themeColor="text1"/>
                <w:sz w:val="24"/>
                <w14:textFill>
                  <w14:solidFill>
                    <w14:schemeClr w14:val="tx1"/>
                  </w14:solidFill>
                </w14:textFill>
              </w:rPr>
              <w:t>。</w:t>
            </w:r>
          </w:p>
          <w:p w14:paraId="31A9C666">
            <w:pPr>
              <w:adjustRightInd w:val="0"/>
              <w:snapToGrid w:val="0"/>
              <w:spacing w:line="360" w:lineRule="auto"/>
              <w:ind w:firstLine="480" w:firstLineChars="200"/>
              <w:rPr>
                <w:color w:val="000000" w:themeColor="text1"/>
                <w:sz w:val="24"/>
                <w:u w:val="single"/>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职工生活垃圾</w:t>
            </w:r>
          </w:p>
          <w:p w14:paraId="00DDD98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项目劳动定员</w:t>
            </w:r>
            <w:r>
              <w:rPr>
                <w:rFonts w:hint="eastAsia"/>
                <w:color w:val="000000" w:themeColor="text1"/>
                <w:sz w:val="24"/>
                <w14:textFill>
                  <w14:solidFill>
                    <w14:schemeClr w14:val="tx1"/>
                  </w14:solidFill>
                </w14:textFill>
              </w:rPr>
              <w:t>45</w:t>
            </w:r>
            <w:r>
              <w:rPr>
                <w:color w:val="000000" w:themeColor="text1"/>
                <w:sz w:val="24"/>
                <w14:textFill>
                  <w14:solidFill>
                    <w14:schemeClr w14:val="tx1"/>
                  </w14:solidFill>
                </w14:textFill>
              </w:rPr>
              <w:t>人，均不在厂区食宿，生活垃圾产生系数按0.5kg/人·d计算，年运行时间为</w:t>
            </w:r>
            <w:r>
              <w:rPr>
                <w:rFonts w:hint="eastAsia"/>
                <w:color w:val="000000" w:themeColor="text1"/>
                <w:sz w:val="24"/>
                <w14:textFill>
                  <w14:solidFill>
                    <w14:schemeClr w14:val="tx1"/>
                  </w14:solidFill>
                </w14:textFill>
              </w:rPr>
              <w:t>228</w:t>
            </w:r>
            <w:r>
              <w:rPr>
                <w:color w:val="000000" w:themeColor="text1"/>
                <w:sz w:val="24"/>
                <w14:textFill>
                  <w14:solidFill>
                    <w14:schemeClr w14:val="tx1"/>
                  </w14:solidFill>
                </w14:textFill>
              </w:rPr>
              <w:t>d，则生活垃圾产生量为</w:t>
            </w:r>
            <w:r>
              <w:rPr>
                <w:rFonts w:hint="eastAsia"/>
                <w:color w:val="000000" w:themeColor="text1"/>
                <w:sz w:val="24"/>
                <w14:textFill>
                  <w14:solidFill>
                    <w14:schemeClr w14:val="tx1"/>
                  </w14:solidFill>
                </w14:textFill>
              </w:rPr>
              <w:t>5.13</w:t>
            </w:r>
            <w:r>
              <w:rPr>
                <w:color w:val="000000" w:themeColor="text1"/>
                <w:sz w:val="24"/>
                <w14:textFill>
                  <w14:solidFill>
                    <w14:schemeClr w14:val="tx1"/>
                  </w14:solidFill>
                </w14:textFill>
              </w:rPr>
              <w:t>t/a，分类收集后交由环卫部门运至附近垃圾中转站处置。根据《固体废物分类与代码目录（2024版）》可知，职工生活垃圾的一般固体废物代码为</w:t>
            </w:r>
            <w:r>
              <w:rPr>
                <w:rFonts w:hint="eastAsia"/>
                <w:color w:val="000000" w:themeColor="text1"/>
                <w:sz w:val="24"/>
                <w14:textFill>
                  <w14:solidFill>
                    <w14:schemeClr w14:val="tx1"/>
                  </w14:solidFill>
                </w14:textFill>
              </w:rPr>
              <w:t>900-099-S64</w:t>
            </w:r>
            <w:r>
              <w:rPr>
                <w:color w:val="000000" w:themeColor="text1"/>
                <w:sz w:val="24"/>
                <w14:textFill>
                  <w14:solidFill>
                    <w14:schemeClr w14:val="tx1"/>
                  </w14:solidFill>
                </w14:textFill>
              </w:rPr>
              <w:t>。</w:t>
            </w:r>
          </w:p>
          <w:p w14:paraId="2B5F1755">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（2）化粪池污泥</w:t>
            </w:r>
          </w:p>
          <w:p w14:paraId="17646A30">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根据《建筑给水排水设计规范》（2009修订版）中表4.8.6，化粪池污泥产生量为0.3L/人·d，化粪池污泥比重约为1.2L/kg，则本项目化粪池污泥产生量约为</w:t>
            </w:r>
            <w:r>
              <w:rPr>
                <w:rFonts w:hint="eastAsia"/>
                <w:color w:val="000000" w:themeColor="text1"/>
                <w:sz w:val="24"/>
                <w14:textFill>
                  <w14:solidFill>
                    <w14:schemeClr w14:val="tx1"/>
                  </w14:solidFill>
                </w14:textFill>
              </w:rPr>
              <w:t>2.565</w:t>
            </w:r>
            <w:r>
              <w:rPr>
                <w:color w:val="000000" w:themeColor="text1"/>
                <w:sz w:val="24"/>
                <w14:textFill>
                  <w14:solidFill>
                    <w14:schemeClr w14:val="tx1"/>
                  </w14:solidFill>
                </w14:textFill>
              </w:rPr>
              <w:t>t/a，定期清掏交由环卫部门处理。根据《固体废物分类与代码目录（2024版）》可知，化粪池污泥的一般固体废物代码为</w:t>
            </w:r>
            <w:r>
              <w:rPr>
                <w:rFonts w:hint="eastAsia"/>
                <w:color w:val="000000" w:themeColor="text1"/>
                <w:sz w:val="24"/>
                <w14:textFill>
                  <w14:solidFill>
                    <w14:schemeClr w14:val="tx1"/>
                  </w14:solidFill>
                </w14:textFill>
              </w:rPr>
              <w:t>900-099-S07</w:t>
            </w:r>
            <w:r>
              <w:rPr>
                <w:color w:val="000000" w:themeColor="text1"/>
                <w:sz w:val="24"/>
                <w14:textFill>
                  <w14:solidFill>
                    <w14:schemeClr w14:val="tx1"/>
                  </w14:solidFill>
                </w14:textFill>
              </w:rPr>
              <w:t>。</w:t>
            </w:r>
          </w:p>
          <w:p w14:paraId="008EFD44">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一般固废</w:t>
            </w:r>
          </w:p>
          <w:p w14:paraId="414AB3DC">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①除尘器收集到的粉尘</w:t>
            </w:r>
          </w:p>
          <w:p w14:paraId="5344767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工程</w:t>
            </w:r>
            <w:r>
              <w:rPr>
                <w:color w:val="000000" w:themeColor="text1"/>
                <w:sz w:val="24"/>
                <w14:textFill>
                  <w14:solidFill>
                    <w14:schemeClr w14:val="tx1"/>
                  </w14:solidFill>
                </w14:textFill>
              </w:rPr>
              <w:t>分析</w:t>
            </w:r>
            <w:r>
              <w:rPr>
                <w:rFonts w:hint="eastAsia"/>
                <w:color w:val="000000" w:themeColor="text1"/>
                <w:sz w:val="24"/>
                <w14:textFill>
                  <w14:solidFill>
                    <w14:schemeClr w14:val="tx1"/>
                  </w14:solidFill>
                </w14:textFill>
              </w:rPr>
              <w:t>可知</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本项目原料投料、粉碎工序和袋泡茶生产过程</w:t>
            </w:r>
            <w:r>
              <w:rPr>
                <w:color w:val="000000" w:themeColor="text1"/>
                <w:sz w:val="24"/>
                <w14:textFill>
                  <w14:solidFill>
                    <w14:schemeClr w14:val="tx1"/>
                  </w14:solidFill>
                </w14:textFill>
              </w:rPr>
              <w:t>除尘器收集的粉尘量为</w:t>
            </w:r>
            <w:r>
              <w:rPr>
                <w:rFonts w:hint="eastAsia"/>
                <w:color w:val="000000" w:themeColor="text1"/>
                <w:sz w:val="24"/>
                <w14:textFill>
                  <w14:solidFill>
                    <w14:schemeClr w14:val="tx1"/>
                  </w14:solidFill>
                </w14:textFill>
              </w:rPr>
              <w:t>0.620</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热敷理疗产品上料过程</w:t>
            </w:r>
            <w:r>
              <w:rPr>
                <w:color w:val="000000" w:themeColor="text1"/>
                <w:sz w:val="24"/>
                <w14:textFill>
                  <w14:solidFill>
                    <w14:schemeClr w14:val="tx1"/>
                  </w14:solidFill>
                </w14:textFill>
              </w:rPr>
              <w:t>除尘器收集的粉尘量为</w:t>
            </w:r>
            <w:r>
              <w:rPr>
                <w:rFonts w:hint="eastAsia"/>
                <w:color w:val="000000" w:themeColor="text1"/>
                <w:sz w:val="24"/>
                <w14:textFill>
                  <w14:solidFill>
                    <w14:schemeClr w14:val="tx1"/>
                  </w14:solidFill>
                </w14:textFill>
              </w:rPr>
              <w:t>0.089</w:t>
            </w:r>
            <w:r>
              <w:rPr>
                <w:color w:val="000000" w:themeColor="text1"/>
                <w:sz w:val="24"/>
                <w14:textFill>
                  <w14:solidFill>
                    <w14:schemeClr w14:val="tx1"/>
                  </w14:solidFill>
                </w14:textFill>
              </w:rPr>
              <w:t>t/a，粉尘经收集后外售综合利用。根据《固体废物分类与代码目录（2024版）》可知，</w:t>
            </w:r>
            <w:r>
              <w:rPr>
                <w:rFonts w:hint="eastAsia"/>
                <w:color w:val="000000" w:themeColor="text1"/>
                <w:sz w:val="24"/>
                <w14:textFill>
                  <w14:solidFill>
                    <w14:schemeClr w14:val="tx1"/>
                  </w14:solidFill>
                </w14:textFill>
              </w:rPr>
              <w:t>原料投料、粉碎工序和袋泡茶生产过程除尘器收集到的粉尘</w:t>
            </w:r>
            <w:r>
              <w:rPr>
                <w:color w:val="000000" w:themeColor="text1"/>
                <w:sz w:val="24"/>
                <w14:textFill>
                  <w14:solidFill>
                    <w14:schemeClr w14:val="tx1"/>
                  </w14:solidFill>
                </w14:textFill>
              </w:rPr>
              <w:t>的一般固体废物代码为</w:t>
            </w:r>
            <w:r>
              <w:rPr>
                <w:rFonts w:hint="eastAsia"/>
                <w:color w:val="000000" w:themeColor="text1"/>
                <w:sz w:val="24"/>
                <w14:textFill>
                  <w14:solidFill>
                    <w14:schemeClr w14:val="tx1"/>
                  </w14:solidFill>
                </w14:textFill>
              </w:rPr>
              <w:t>900-099-S13；热敷理疗产品上料过程</w:t>
            </w:r>
            <w:r>
              <w:rPr>
                <w:color w:val="000000" w:themeColor="text1"/>
                <w:sz w:val="24"/>
                <w14:textFill>
                  <w14:solidFill>
                    <w14:schemeClr w14:val="tx1"/>
                  </w14:solidFill>
                </w14:textFill>
              </w:rPr>
              <w:t>除尘器收集的粉尘的一般固体废物代码为</w:t>
            </w:r>
            <w:r>
              <w:rPr>
                <w:rFonts w:hint="eastAsia"/>
                <w:color w:val="000000" w:themeColor="text1"/>
                <w:sz w:val="24"/>
                <w14:textFill>
                  <w14:solidFill>
                    <w14:schemeClr w14:val="tx1"/>
                  </w14:solidFill>
                </w14:textFill>
              </w:rPr>
              <w:t>900-099-S17</w:t>
            </w:r>
            <w:r>
              <w:rPr>
                <w:color w:val="000000" w:themeColor="text1"/>
                <w:sz w:val="24"/>
                <w14:textFill>
                  <w14:solidFill>
                    <w14:schemeClr w14:val="tx1"/>
                  </w14:solidFill>
                </w14:textFill>
              </w:rPr>
              <w:t>。</w:t>
            </w:r>
          </w:p>
          <w:p w14:paraId="6258C55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②废酒糟</w:t>
            </w:r>
          </w:p>
          <w:p w14:paraId="558FA00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根据物料平衡分析可知，本项目</w:t>
            </w:r>
            <w:r>
              <w:rPr>
                <w:rFonts w:hint="eastAsia"/>
                <w:color w:val="000000" w:themeColor="text1"/>
                <w:sz w:val="24"/>
                <w14:textFill>
                  <w14:solidFill>
                    <w14:schemeClr w14:val="tx1"/>
                  </w14:solidFill>
                </w14:textFill>
              </w:rPr>
              <w:t>白酒生产线</w:t>
            </w:r>
            <w:r>
              <w:rPr>
                <w:color w:val="000000" w:themeColor="text1"/>
                <w:sz w:val="24"/>
                <w14:textFill>
                  <w14:solidFill>
                    <w14:schemeClr w14:val="tx1"/>
                  </w14:solidFill>
                </w14:textFill>
              </w:rPr>
              <w:t>丢糟产生量为</w:t>
            </w:r>
            <w:r>
              <w:rPr>
                <w:rFonts w:hint="eastAsia"/>
                <w:color w:val="000000" w:themeColor="text1"/>
                <w:sz w:val="24"/>
                <w14:textFill>
                  <w14:solidFill>
                    <w14:schemeClr w14:val="tx1"/>
                  </w14:solidFill>
                </w14:textFill>
              </w:rPr>
              <w:t>460.170</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，黄酒生产线酒糟产生量为53.120</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，啤酒生产线废麦糟产生量为145.165</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，果酒生产线果酒糟产生量为63.488t/a；项目白酒生产线丢糟、黄酒生产线酒糟及果酒生产线果酒糟收集于酒糟区域，啤酒生产线废麦糟收集于封闭暂存罐内；</w:t>
            </w:r>
            <w:r>
              <w:rPr>
                <w:color w:val="000000" w:themeColor="text1"/>
                <w:sz w:val="24"/>
                <w14:textFill>
                  <w14:solidFill>
                    <w14:schemeClr w14:val="tx1"/>
                  </w14:solidFill>
                </w14:textFill>
              </w:rPr>
              <w:t>本环评要求酒糟区域设置收集沟，将酒糟渗滤液收集到污水收集池。酒糟转移过程，在车间装车后应对车辆轮胎进行清扫，避免轮胎粘附的丟糟沿路抛洒。转移车辆装车不能货箱高度，避免沿路抛洒。酒糟堆场及时清扫地面</w:t>
            </w:r>
            <w:r>
              <w:rPr>
                <w:rFonts w:hint="eastAsia"/>
                <w:color w:val="000000" w:themeColor="text1"/>
                <w:sz w:val="24"/>
                <w14:textFill>
                  <w14:solidFill>
                    <w14:schemeClr w14:val="tx1"/>
                  </w14:solidFill>
                </w14:textFill>
              </w:rPr>
              <w:t>。</w:t>
            </w:r>
          </w:p>
          <w:p w14:paraId="30086B07">
            <w:pPr>
              <w:tabs>
                <w:tab w:val="left" w:pos="1081"/>
              </w:tabs>
              <w:adjustRightInd w:val="0"/>
              <w:snapToGrid w:val="0"/>
              <w:spacing w:line="360" w:lineRule="auto"/>
              <w:ind w:firstLine="480" w:firstLineChars="200"/>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项目产生的酒糟为发酵后的产物，其中寄存了大量的死亡微生物菌体，内含丰富的蛋白质、维生素、氨基酸等成分，这些成分是畜牧饲养所必需的营养物质，本项目产生的酒糟外售给养畜农户用作饲料。酒糟运输由购买方负责，并及时清运，运输过程应尽量密闭或加盖篷布，防止散落和酒糟气味对沿途的影响。</w:t>
            </w:r>
            <w:r>
              <w:rPr>
                <w:color w:val="000000" w:themeColor="text1"/>
                <w:sz w:val="24"/>
                <w14:textFill>
                  <w14:solidFill>
                    <w14:schemeClr w14:val="tx1"/>
                  </w14:solidFill>
                </w14:textFill>
              </w:rPr>
              <w:t>根据《固体废物分类与代码目录（2024版）》可知，</w:t>
            </w:r>
            <w:r>
              <w:rPr>
                <w:rFonts w:hint="eastAsia"/>
                <w:color w:val="000000" w:themeColor="text1"/>
                <w:sz w:val="24"/>
                <w14:textFill>
                  <w14:solidFill>
                    <w14:schemeClr w14:val="tx1"/>
                  </w14:solidFill>
                </w14:textFill>
              </w:rPr>
              <w:t>废酒糟</w:t>
            </w:r>
            <w:r>
              <w:rPr>
                <w:color w:val="000000" w:themeColor="text1"/>
                <w:sz w:val="24"/>
                <w14:textFill>
                  <w14:solidFill>
                    <w14:schemeClr w14:val="tx1"/>
                  </w14:solidFill>
                </w14:textFill>
              </w:rPr>
              <w:t>的一般固体废物代码为151-00</w:t>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-S13</w:t>
            </w:r>
            <w:r>
              <w:rPr>
                <w:rFonts w:hint="eastAsia"/>
                <w:color w:val="000000" w:themeColor="text1"/>
                <w:sz w:val="24"/>
                <w14:textFill>
                  <w14:solidFill>
                    <w14:schemeClr w14:val="tx1"/>
                  </w14:solidFill>
                </w14:textFill>
              </w:rPr>
              <w:t>。</w:t>
            </w:r>
          </w:p>
          <w:p w14:paraId="719CA90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w:t>
            </w:r>
            <w:r>
              <w:rPr>
                <w:rFonts w:hint="eastAsia"/>
                <w:color w:val="000000" w:themeColor="text1"/>
                <w:sz w:val="24"/>
                <w14:textFill>
                  <w14:solidFill>
                    <w14:schemeClr w14:val="tx1"/>
                  </w14:solidFill>
                </w14:textFill>
              </w:rPr>
              <w:t>啤酒生产线废啤酒花、热凝固物</w:t>
            </w:r>
          </w:p>
          <w:p w14:paraId="0E7B538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糖化后煮沸、沉淀工序会产生废酒花、热凝固物，为谷物的残留物，根据建设单位提供的配方资料，麦芽糖化产生废酒花按4.5kg/t产品计，则废酒花产生的废酒花为0.9t/a。糖化产生的热凝固物在回旋沉淀过程中析出，产生量约为5kg/t，则废酒花产生的热凝固物为1.0t/a。综上废酒花（含热凝固物）产生量为1.9t/a。产品沉淀后的废酒花、热凝固物装入密闭塑料桶，由人工运输至一般固废间内的堆放场进行堆放，废酒花、热凝固物由专人托运可做到日产日清，因堆放时间过短，沉淀后的废酒花、热凝固物储存在密闭塑料桶中，无渗滤液外溢，密封塑料桶每日交由专人托运。根据《固体废物分类与代码目录（2024版）》可知，废啤酒花、热凝固物的一般固体废物代码为151-001-S13。该部分固体废物集中收集后作为饲料外售。</w:t>
            </w:r>
          </w:p>
          <w:p w14:paraId="0F5B369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④</w:t>
            </w:r>
            <w:r>
              <w:rPr>
                <w:rFonts w:hint="eastAsia"/>
                <w:color w:val="000000" w:themeColor="text1"/>
                <w:sz w:val="24"/>
                <w14:textFill>
                  <w14:solidFill>
                    <w14:schemeClr w14:val="tx1"/>
                  </w14:solidFill>
                </w14:textFill>
              </w:rPr>
              <w:t>啤酒生产线废酵母（含冷凝固物）</w:t>
            </w:r>
          </w:p>
          <w:p w14:paraId="2C34A58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发酵过程中酵母视情况进行循环利用，一般利用次数为2-3次，循环至酵母活性不足后外排，发酵过程中会产生少量冷凝固物，根据建设单位提供的配方资料，发酵过程外排的废酵母占产品总量的1.5%，则本项目废酵母（含冷凝固物）产生量为3.0t/a。外排后的废酵母（含冷凝固物）储存与密闭塑料桶中由人工运输至一般固废间内的堆放场进行堆放，废酵母（含冷凝固物）由专人托运可做到日产日清，因堆放时间过短，废酵母（含冷凝固物）储存在密闭塑料桶中，无渗滤液外溢，密封塑料桶每日交由专人托运。根据《固体废物分类与代码目录（2024版）》可知，废酵母（含冷凝固物）的一般固体废物代码为151-001-S13。该部分固体废物集中收集后作为饲料外售。</w:t>
            </w:r>
          </w:p>
          <w:p w14:paraId="15D6028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⑤</w:t>
            </w:r>
            <w:r>
              <w:rPr>
                <w:rFonts w:hint="eastAsia"/>
                <w:color w:val="000000" w:themeColor="text1"/>
                <w:sz w:val="24"/>
                <w14:textFill>
                  <w14:solidFill>
                    <w14:schemeClr w14:val="tx1"/>
                  </w14:solidFill>
                </w14:textFill>
              </w:rPr>
              <w:t>果酒生产线废果、果皮、果渣及果梗</w:t>
            </w:r>
          </w:p>
          <w:p w14:paraId="7E9BF76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鲜果挑选过程会有部分不符合要求的废果，产生量约占5%，及产生量</w:t>
            </w:r>
            <w:r>
              <w:rPr>
                <w:color w:val="000000" w:themeColor="text1"/>
                <w:sz w:val="24"/>
                <w14:textFill>
                  <w14:solidFill>
                    <w14:schemeClr w14:val="tx1"/>
                  </w14:solidFill>
                </w14:textFill>
              </w:rPr>
              <w:t>约为</w:t>
            </w:r>
            <w:r>
              <w:rPr>
                <w:rFonts w:hint="eastAsia"/>
                <w:color w:val="000000" w:themeColor="text1"/>
                <w:sz w:val="24"/>
                <w14:textFill>
                  <w14:solidFill>
                    <w14:schemeClr w14:val="tx1"/>
                  </w14:solidFill>
                </w14:textFill>
              </w:rPr>
              <w:t>19.129</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破碎榨汁后进行渣汁分离，会分离出果皮、果核等，果皮、果渣及果梗等产生量约90.863t/a。综上，本项目废果、果皮、果渣及果梗等产生量约109.992t/a，采用专用收集桶集中收集后外售制作饲料。</w:t>
            </w:r>
            <w:r>
              <w:rPr>
                <w:color w:val="000000" w:themeColor="text1"/>
                <w:sz w:val="24"/>
                <w14:textFill>
                  <w14:solidFill>
                    <w14:schemeClr w14:val="tx1"/>
                  </w14:solidFill>
                </w14:textFill>
              </w:rPr>
              <w:t>根据《固体废物分类与代码目录（2024版）》可知，</w:t>
            </w:r>
            <w:r>
              <w:rPr>
                <w:rFonts w:hint="eastAsia"/>
                <w:color w:val="000000" w:themeColor="text1"/>
                <w:sz w:val="24"/>
                <w14:textFill>
                  <w14:solidFill>
                    <w14:schemeClr w14:val="tx1"/>
                  </w14:solidFill>
                </w14:textFill>
              </w:rPr>
              <w:t>果皮、果渣及果梗</w:t>
            </w:r>
            <w:r>
              <w:rPr>
                <w:color w:val="000000" w:themeColor="text1"/>
                <w:sz w:val="24"/>
                <w14:textFill>
                  <w14:solidFill>
                    <w14:schemeClr w14:val="tx1"/>
                  </w14:solidFill>
                </w14:textFill>
              </w:rPr>
              <w:t>的一般固体废物代码为151-001-S13</w:t>
            </w:r>
            <w:r>
              <w:rPr>
                <w:rFonts w:hint="eastAsia"/>
                <w:color w:val="000000" w:themeColor="text1"/>
                <w:sz w:val="24"/>
                <w14:textFill>
                  <w14:solidFill>
                    <w14:schemeClr w14:val="tx1"/>
                  </w14:solidFill>
                </w14:textFill>
              </w:rPr>
              <w:t>。</w:t>
            </w:r>
          </w:p>
          <w:p w14:paraId="47F75848">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⑥</w:t>
            </w:r>
            <w:r>
              <w:rPr>
                <w:rFonts w:hint="eastAsia"/>
                <w:color w:val="000000" w:themeColor="text1"/>
                <w:sz w:val="24"/>
                <w14:textFill>
                  <w14:solidFill>
                    <w14:schemeClr w14:val="tx1"/>
                  </w14:solidFill>
                </w14:textFill>
              </w:rPr>
              <w:t>植物饮料生产线过滤残渣</w:t>
            </w:r>
          </w:p>
          <w:p w14:paraId="3592707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项目植物饮料在提取工序会产生</w:t>
            </w:r>
            <w:r>
              <w:rPr>
                <w:rFonts w:hint="eastAsia"/>
                <w:color w:val="000000" w:themeColor="text1"/>
                <w:sz w:val="24"/>
                <w14:textFill>
                  <w14:solidFill>
                    <w14:schemeClr w14:val="tx1"/>
                  </w14:solidFill>
                </w14:textFill>
              </w:rPr>
              <w:t>过滤残渣</w:t>
            </w:r>
            <w:r>
              <w:rPr>
                <w:rFonts w:hint="eastAsia"/>
                <w:color w:val="000000" w:themeColor="text1"/>
                <w:sz w:val="24"/>
                <w14:textFill>
                  <w14:solidFill>
                    <w14:schemeClr w14:val="tx1"/>
                  </w14:solidFill>
                </w14:textFill>
              </w:rPr>
              <w:t>，根据建设单位提供的资料，项目过滤果渣产生量为107.227t/a，过滤残渣</w:t>
            </w:r>
            <w:r>
              <w:rPr>
                <w:color w:val="000000" w:themeColor="text1"/>
                <w:kern w:val="0"/>
                <w:sz w:val="24"/>
                <w14:textFill>
                  <w14:solidFill>
                    <w14:schemeClr w14:val="tx1"/>
                  </w14:solidFill>
                </w14:textFill>
              </w:rPr>
              <w:t>经密闭桶装收集后暂存于一般固废暂存间内，日产日清，直接外售。</w:t>
            </w:r>
            <w:r>
              <w:rPr>
                <w:rFonts w:hint="eastAsia"/>
                <w:color w:val="000000" w:themeColor="text1"/>
                <w:sz w:val="24"/>
                <w14:textFill>
                  <w14:solidFill>
                    <w14:schemeClr w14:val="tx1"/>
                  </w14:solidFill>
                </w14:textFill>
              </w:rPr>
              <w:t>根据《固体废物分类与代码目录（2024版）》可知，过滤果渣的一般固体废物代码为152-001-S13。该部分固体废物集中收集后作为饲料外售。</w:t>
            </w:r>
          </w:p>
          <w:p w14:paraId="7ACF0B1D">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⑦</w:t>
            </w:r>
            <w:r>
              <w:rPr>
                <w:rFonts w:hint="eastAsia"/>
                <w:color w:val="000000" w:themeColor="text1"/>
                <w:kern w:val="0"/>
                <w:sz w:val="24"/>
                <w14:textFill>
                  <w14:solidFill>
                    <w14:schemeClr w14:val="tx1"/>
                  </w14:solidFill>
                </w14:textFill>
              </w:rPr>
              <w:t>医用手术衣</w:t>
            </w:r>
            <w:r>
              <w:rPr>
                <w:color w:val="000000" w:themeColor="text1"/>
                <w:kern w:val="0"/>
                <w:sz w:val="24"/>
                <w14:textFill>
                  <w14:solidFill>
                    <w14:schemeClr w14:val="tx1"/>
                  </w14:solidFill>
                </w14:textFill>
              </w:rPr>
              <w:t>废边角料</w:t>
            </w:r>
          </w:p>
          <w:p w14:paraId="488B2BC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主要为无纺布裁剪过程产生，参考同类项目，该过程废边角料产生量约为原料的1%，即</w:t>
            </w:r>
            <w:r>
              <w:rPr>
                <w:rFonts w:hint="eastAsia"/>
                <w:color w:val="000000" w:themeColor="text1"/>
                <w:kern w:val="0"/>
                <w:sz w:val="24"/>
                <w14:textFill>
                  <w14:solidFill>
                    <w14:schemeClr w14:val="tx1"/>
                  </w14:solidFill>
                </w14:textFill>
              </w:rPr>
              <w:t>5.0</w:t>
            </w:r>
            <w:r>
              <w:rPr>
                <w:color w:val="000000" w:themeColor="text1"/>
                <w:kern w:val="0"/>
                <w:sz w:val="24"/>
                <w14:textFill>
                  <w14:solidFill>
                    <w14:schemeClr w14:val="tx1"/>
                  </w14:solidFill>
                </w14:textFill>
              </w:rPr>
              <w:t>t/a，属于一般固体废物，厂区内统一收集，经一般固废暂存间暂存后外售。</w:t>
            </w:r>
            <w:r>
              <w:rPr>
                <w:color w:val="000000" w:themeColor="text1"/>
                <w:sz w:val="24"/>
                <w14:textFill>
                  <w14:solidFill>
                    <w14:schemeClr w14:val="tx1"/>
                  </w14:solidFill>
                </w14:textFill>
              </w:rPr>
              <w:t>根据《固体废物分类与代码目录（2024版）》可知，</w:t>
            </w:r>
            <w:r>
              <w:rPr>
                <w:color w:val="000000" w:themeColor="text1"/>
                <w:kern w:val="0"/>
                <w:sz w:val="24"/>
                <w14:textFill>
                  <w14:solidFill>
                    <w14:schemeClr w14:val="tx1"/>
                  </w14:solidFill>
                </w14:textFill>
              </w:rPr>
              <w:t>废边角料</w:t>
            </w:r>
            <w:r>
              <w:rPr>
                <w:color w:val="000000" w:themeColor="text1"/>
                <w:sz w:val="24"/>
                <w14:textFill>
                  <w14:solidFill>
                    <w14:schemeClr w14:val="tx1"/>
                  </w14:solidFill>
                </w14:textFill>
              </w:rPr>
              <w:t>的一般固体废物代码为</w:t>
            </w:r>
            <w:r>
              <w:rPr>
                <w:rFonts w:hint="eastAsia"/>
                <w:color w:val="000000" w:themeColor="text1"/>
                <w:sz w:val="24"/>
                <w14:textFill>
                  <w14:solidFill>
                    <w14:schemeClr w14:val="tx1"/>
                  </w14:solidFill>
                </w14:textFill>
              </w:rPr>
              <w:t>900-007-S17。</w:t>
            </w:r>
          </w:p>
          <w:p w14:paraId="63466AA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⑧</w:t>
            </w:r>
            <w:r>
              <w:rPr>
                <w:color w:val="000000" w:themeColor="text1"/>
                <w:sz w:val="24"/>
                <w14:textFill>
                  <w14:solidFill>
                    <w14:schemeClr w14:val="tx1"/>
                  </w14:solidFill>
                </w14:textFill>
              </w:rPr>
              <w:t>废包装材料</w:t>
            </w:r>
          </w:p>
          <w:p w14:paraId="2B288DB2">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本项目原料拆包及产品包装会产生废包装材料，产生量约为5.0</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，属于一般工业固废，集中收集后定期外售综合利用。</w:t>
            </w:r>
            <w:r>
              <w:rPr>
                <w:color w:val="000000" w:themeColor="text1"/>
                <w:sz w:val="24"/>
                <w14:textFill>
                  <w14:solidFill>
                    <w14:schemeClr w14:val="tx1"/>
                  </w14:solidFill>
                </w14:textFill>
              </w:rPr>
              <w:t>根据《固体废物分类与代码目录（2024版）》可知，废包装材料的一般固体废物代码为</w:t>
            </w:r>
            <w:r>
              <w:rPr>
                <w:rFonts w:hint="eastAsia"/>
                <w:color w:val="000000" w:themeColor="text1"/>
                <w:sz w:val="24"/>
                <w14:textFill>
                  <w14:solidFill>
                    <w14:schemeClr w14:val="tx1"/>
                  </w14:solidFill>
                </w14:textFill>
              </w:rPr>
              <w:t>900-003-S17。</w:t>
            </w:r>
          </w:p>
          <w:p w14:paraId="531348E9">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⑨</w:t>
            </w:r>
            <w:r>
              <w:rPr>
                <w:rFonts w:hint="eastAsia"/>
                <w:color w:val="000000" w:themeColor="text1"/>
                <w:sz w:val="24"/>
                <w14:textFill>
                  <w14:solidFill>
                    <w14:schemeClr w14:val="tx1"/>
                  </w14:solidFill>
                </w14:textFill>
              </w:rPr>
              <w:t>废石英砂、</w:t>
            </w:r>
            <w:r>
              <w:rPr>
                <w:color w:val="000000" w:themeColor="text1"/>
                <w:sz w:val="24"/>
                <w14:textFill>
                  <w14:solidFill>
                    <w14:schemeClr w14:val="tx1"/>
                  </w14:solidFill>
                </w14:textFill>
              </w:rPr>
              <w:t>废滤芯、废活性炭、废反渗透膜</w:t>
            </w:r>
          </w:p>
          <w:p w14:paraId="3536A137">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纯水制备系统</w:t>
            </w:r>
            <w:r>
              <w:rPr>
                <w:rFonts w:hint="eastAsia"/>
                <w:color w:val="000000" w:themeColor="text1"/>
                <w:sz w:val="24"/>
                <w14:textFill>
                  <w14:solidFill>
                    <w14:schemeClr w14:val="tx1"/>
                  </w14:solidFill>
                </w14:textFill>
              </w:rPr>
              <w:t>石英砂、</w:t>
            </w:r>
            <w:r>
              <w:rPr>
                <w:color w:val="000000" w:themeColor="text1"/>
                <w:sz w:val="24"/>
                <w14:textFill>
                  <w14:solidFill>
                    <w14:schemeClr w14:val="tx1"/>
                  </w14:solidFill>
                </w14:textFill>
              </w:rPr>
              <w:t>滤芯、活性炭、反渗透膜由厂家定期进行更换，每半年更换一次，更换出的</w:t>
            </w:r>
            <w:r>
              <w:rPr>
                <w:rFonts w:hint="eastAsia"/>
                <w:color w:val="000000" w:themeColor="text1"/>
                <w:sz w:val="24"/>
                <w14:textFill>
                  <w14:solidFill>
                    <w14:schemeClr w14:val="tx1"/>
                  </w14:solidFill>
                </w14:textFill>
              </w:rPr>
              <w:t>废石英砂、</w:t>
            </w:r>
            <w:r>
              <w:rPr>
                <w:color w:val="000000" w:themeColor="text1"/>
                <w:sz w:val="24"/>
                <w14:textFill>
                  <w14:solidFill>
                    <w14:schemeClr w14:val="tx1"/>
                  </w14:solidFill>
                </w14:textFill>
              </w:rPr>
              <w:t>废滤芯、废活性炭、废反渗透膜不在厂区内暂存，直接由厂家回收，</w:t>
            </w:r>
            <w:r>
              <w:rPr>
                <w:rFonts w:hint="eastAsia"/>
                <w:color w:val="000000" w:themeColor="text1"/>
                <w:sz w:val="24"/>
                <w14:textFill>
                  <w14:solidFill>
                    <w14:schemeClr w14:val="tx1"/>
                  </w14:solidFill>
                </w14:textFill>
              </w:rPr>
              <w:t>废石英砂</w:t>
            </w:r>
            <w:r>
              <w:rPr>
                <w:color w:val="000000" w:themeColor="text1"/>
                <w:sz w:val="24"/>
                <w14:textFill>
                  <w14:solidFill>
                    <w14:schemeClr w14:val="tx1"/>
                  </w14:solidFill>
                </w14:textFill>
              </w:rPr>
              <w:t>产生量约为0.5t/a、废滤芯产生量约为0.5t/a、废活性炭产生量约为0.5t/a、废反渗透膜产生量约为0.2t/a。根据《固体废物分类与代码目录（2024版）》可知，</w:t>
            </w:r>
            <w:r>
              <w:rPr>
                <w:rFonts w:hint="eastAsia"/>
                <w:color w:val="000000" w:themeColor="text1"/>
                <w:sz w:val="24"/>
                <w14:textFill>
                  <w14:solidFill>
                    <w14:schemeClr w14:val="tx1"/>
                  </w14:solidFill>
                </w14:textFill>
              </w:rPr>
              <w:t>废石英砂、</w:t>
            </w:r>
            <w:r>
              <w:rPr>
                <w:color w:val="000000" w:themeColor="text1"/>
                <w:sz w:val="24"/>
                <w14:textFill>
                  <w14:solidFill>
                    <w14:schemeClr w14:val="tx1"/>
                  </w14:solidFill>
                </w14:textFill>
              </w:rPr>
              <w:t>废滤芯</w:t>
            </w:r>
            <w:r>
              <w:rPr>
                <w:rFonts w:hint="eastAsia"/>
                <w:color w:val="000000" w:themeColor="text1"/>
                <w:sz w:val="24"/>
                <w14:textFill>
                  <w14:solidFill>
                    <w14:schemeClr w14:val="tx1"/>
                  </w14:solidFill>
                </w14:textFill>
              </w:rPr>
              <w:t>及</w:t>
            </w:r>
            <w:r>
              <w:rPr>
                <w:color w:val="000000" w:themeColor="text1"/>
                <w:sz w:val="24"/>
                <w14:textFill>
                  <w14:solidFill>
                    <w14:schemeClr w14:val="tx1"/>
                  </w14:solidFill>
                </w14:textFill>
              </w:rPr>
              <w:t>废反渗透膜的一般固体废物代码为</w:t>
            </w:r>
            <w:r>
              <w:rPr>
                <w:rFonts w:hint="eastAsia"/>
                <w:color w:val="000000" w:themeColor="text1"/>
                <w:sz w:val="24"/>
                <w14:textFill>
                  <w14:solidFill>
                    <w14:schemeClr w14:val="tx1"/>
                  </w14:solidFill>
                </w14:textFill>
              </w:rPr>
              <w:t>900-009-S59；废活性炭的一般固体废物代码为900-008-S59。</w:t>
            </w:r>
          </w:p>
          <w:p w14:paraId="1C24978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⑩</w:t>
            </w:r>
            <w:r>
              <w:rPr>
                <w:rFonts w:hint="eastAsia"/>
                <w:color w:val="000000" w:themeColor="text1"/>
                <w:sz w:val="24"/>
                <w14:textFill>
                  <w14:solidFill>
                    <w14:schemeClr w14:val="tx1"/>
                  </w14:solidFill>
                </w14:textFill>
              </w:rPr>
              <w:t>废硅藻土</w:t>
            </w:r>
          </w:p>
          <w:p w14:paraId="52A57E34">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sz w:val="24"/>
                <w14:textFill>
                  <w14:solidFill>
                    <w14:schemeClr w14:val="tx1"/>
                  </w14:solidFill>
                </w14:textFill>
              </w:rPr>
              <w:t>据建设单位提供的资料及类比同类企业，每过滤100t原酒产生40~80kg废硅藻土，本项目废硅藻土的产生量取</w:t>
            </w:r>
            <w:r>
              <w:rPr>
                <w:rFonts w:hint="eastAsia"/>
                <w:color w:val="000000" w:themeColor="text1"/>
                <w:sz w:val="24"/>
                <w14:textFill>
                  <w14:solidFill>
                    <w14:schemeClr w14:val="tx1"/>
                  </w14:solidFill>
                </w14:textFill>
              </w:rPr>
              <w:t>0.8</w:t>
            </w:r>
            <w:r>
              <w:rPr>
                <w:color w:val="000000" w:themeColor="text1"/>
                <w:sz w:val="24"/>
                <w14:textFill>
                  <w14:solidFill>
                    <w14:schemeClr w14:val="tx1"/>
                  </w14:solidFill>
                </w14:textFill>
              </w:rPr>
              <w:t>kg/t原酒；本项目年产浓香型原酒（6</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77.532</w:t>
            </w:r>
            <w:r>
              <w:rPr>
                <w:color w:val="000000" w:themeColor="text1"/>
                <w:sz w:val="24"/>
                <w14:textFill>
                  <w14:solidFill>
                    <w14:schemeClr w14:val="tx1"/>
                  </w14:solidFill>
                </w14:textFill>
              </w:rPr>
              <w:t>吨</w:t>
            </w:r>
            <w:r>
              <w:rPr>
                <w:rFonts w:hint="eastAsia"/>
                <w:color w:val="000000" w:themeColor="text1"/>
                <w:sz w:val="24"/>
                <w14:textFill>
                  <w14:solidFill>
                    <w14:schemeClr w14:val="tx1"/>
                  </w14:solidFill>
                </w14:textFill>
              </w:rPr>
              <w:t>、黄酒</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20</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159.302吨、啤酒200吨以及果酒200吨</w:t>
            </w:r>
            <w:r>
              <w:rPr>
                <w:color w:val="000000" w:themeColor="text1"/>
                <w:sz w:val="24"/>
                <w14:textFill>
                  <w14:solidFill>
                    <w14:schemeClr w14:val="tx1"/>
                  </w14:solidFill>
                </w14:textFill>
              </w:rPr>
              <w:t>，则本项目</w:t>
            </w:r>
            <w:r>
              <w:rPr>
                <w:rFonts w:hint="eastAsia"/>
                <w:color w:val="000000" w:themeColor="text1"/>
                <w:sz w:val="24"/>
                <w14:textFill>
                  <w14:solidFill>
                    <w14:schemeClr w14:val="tx1"/>
                  </w14:solidFill>
                </w14:textFill>
              </w:rPr>
              <w:t>白酒生产线</w:t>
            </w:r>
            <w:r>
              <w:rPr>
                <w:color w:val="000000" w:themeColor="text1"/>
                <w:sz w:val="24"/>
                <w14:textFill>
                  <w14:solidFill>
                    <w14:schemeClr w14:val="tx1"/>
                  </w14:solidFill>
                </w14:textFill>
              </w:rPr>
              <w:t>废硅藻土产生量</w:t>
            </w:r>
            <w:r>
              <w:rPr>
                <w:rFonts w:hint="eastAsia"/>
                <w:color w:val="000000" w:themeColor="text1"/>
                <w:sz w:val="24"/>
                <w14:textFill>
                  <w14:solidFill>
                    <w14:schemeClr w14:val="tx1"/>
                  </w14:solidFill>
                </w14:textFill>
              </w:rPr>
              <w:t>0.062</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黄酒生产线硅藻土产生量为0.127t，啤酒生产线硅藻土产生量为0.160t，因此，项目全厂硅藻土产生量为0.349t/a</w:t>
            </w:r>
            <w:r>
              <w:rPr>
                <w:color w:val="000000" w:themeColor="text1"/>
                <w:sz w:val="24"/>
                <w14:textFill>
                  <w14:solidFill>
                    <w14:schemeClr w14:val="tx1"/>
                  </w14:solidFill>
                </w14:textFill>
              </w:rPr>
              <w:t>属于一般工业固废，</w:t>
            </w:r>
            <w:r>
              <w:rPr>
                <w:rFonts w:hint="eastAsia"/>
                <w:color w:val="000000" w:themeColor="text1"/>
                <w:sz w:val="24"/>
                <w14:textFill>
                  <w14:solidFill>
                    <w14:schemeClr w14:val="tx1"/>
                  </w14:solidFill>
                </w14:textFill>
              </w:rPr>
              <w:t>集中</w:t>
            </w:r>
            <w:r>
              <w:rPr>
                <w:color w:val="000000" w:themeColor="text1"/>
                <w:sz w:val="24"/>
                <w14:textFill>
                  <w14:solidFill>
                    <w14:schemeClr w14:val="tx1"/>
                  </w14:solidFill>
                </w14:textFill>
              </w:rPr>
              <w:t>收集</w:t>
            </w:r>
            <w:r>
              <w:rPr>
                <w:rFonts w:hint="eastAsia"/>
                <w:color w:val="000000" w:themeColor="text1"/>
                <w:sz w:val="24"/>
                <w14:textFill>
                  <w14:solidFill>
                    <w14:schemeClr w14:val="tx1"/>
                  </w14:solidFill>
                </w14:textFill>
              </w:rPr>
              <w:t>后</w:t>
            </w:r>
            <w:r>
              <w:rPr>
                <w:color w:val="000000" w:themeColor="text1"/>
                <w:sz w:val="24"/>
                <w14:textFill>
                  <w14:solidFill>
                    <w14:schemeClr w14:val="tx1"/>
                  </w14:solidFill>
                </w14:textFill>
              </w:rPr>
              <w:t>定期外售综合利用。根据《固体废物分类与代码目录（2024版）》可知，</w:t>
            </w:r>
            <w:r>
              <w:rPr>
                <w:rFonts w:hint="eastAsia"/>
                <w:color w:val="000000" w:themeColor="text1"/>
                <w:sz w:val="24"/>
                <w14:textFill>
                  <w14:solidFill>
                    <w14:schemeClr w14:val="tx1"/>
                  </w14:solidFill>
                </w14:textFill>
              </w:rPr>
              <w:t>废硅藻土</w:t>
            </w:r>
            <w:r>
              <w:rPr>
                <w:color w:val="000000" w:themeColor="text1"/>
                <w:sz w:val="24"/>
                <w14:textFill>
                  <w14:solidFill>
                    <w14:schemeClr w14:val="tx1"/>
                  </w14:solidFill>
                </w14:textFill>
              </w:rPr>
              <w:t>的一般固体废物代码为151-001-S13</w:t>
            </w:r>
            <w:r>
              <w:rPr>
                <w:rFonts w:hint="eastAsia"/>
                <w:color w:val="000000" w:themeColor="text1"/>
                <w:sz w:val="24"/>
                <w14:textFill>
                  <w14:solidFill>
                    <w14:schemeClr w14:val="tx1"/>
                  </w14:solidFill>
                </w14:textFill>
              </w:rPr>
              <w:t>。</w:t>
            </w:r>
          </w:p>
          <w:p w14:paraId="203983F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kern w:val="0"/>
                <w:sz w:val="24"/>
                <w14:textFill>
                  <w14:solidFill>
                    <w14:schemeClr w14:val="tx1"/>
                  </w14:solidFill>
                </w14:textFill>
              </w:rPr>
              <w:fldChar w:fldCharType="begin"/>
            </w:r>
            <w:r>
              <w:rPr>
                <w:rFonts w:hint="eastAsia"/>
                <w:color w:val="000000" w:themeColor="text1"/>
                <w:kern w:val="0"/>
                <w:sz w:val="24"/>
                <w14:textFill>
                  <w14:solidFill>
                    <w14:schemeClr w14:val="tx1"/>
                  </w14:solidFill>
                </w14:textFill>
              </w:rPr>
              <w:instrText xml:space="preserve"> EQ \o\ac(○,</w:instrText>
            </w:r>
            <w:r>
              <w:rPr>
                <w:rFonts w:hint="eastAsia"/>
                <w:color w:val="000000" w:themeColor="text1"/>
                <w:kern w:val="0"/>
                <w:position w:val="3"/>
                <w:sz w:val="16"/>
                <w14:textFill>
                  <w14:solidFill>
                    <w14:schemeClr w14:val="tx1"/>
                  </w14:solidFill>
                </w14:textFill>
              </w:rPr>
              <w:instrText xml:space="preserve">11</w:instrText>
            </w:r>
            <w:r>
              <w:rPr>
                <w:rFonts w:hint="eastAsia"/>
                <w:color w:val="000000" w:themeColor="text1"/>
                <w:kern w:val="0"/>
                <w:sz w:val="24"/>
                <w14:textFill>
                  <w14:solidFill>
                    <w14:schemeClr w14:val="tx1"/>
                  </w14:solidFill>
                </w14:textFill>
              </w:rPr>
              <w:instrText xml:space="preserve">)</w:instrText>
            </w:r>
            <w:r>
              <w:rPr>
                <w:rFonts w:hint="eastAsia"/>
                <w:color w:val="000000" w:themeColor="text1"/>
                <w:kern w:val="0"/>
                <w:sz w:val="24"/>
                <w14:textFill>
                  <w14:solidFill>
                    <w14:schemeClr w14:val="tx1"/>
                  </w14:solidFill>
                </w14:textFill>
              </w:rPr>
              <w:fldChar w:fldCharType="end"/>
            </w:r>
            <w:r>
              <w:rPr>
                <w:rFonts w:hint="eastAsia"/>
                <w:color w:val="000000" w:themeColor="text1"/>
                <w:sz w:val="24"/>
                <w14:textFill>
                  <w14:solidFill>
                    <w14:schemeClr w14:val="tx1"/>
                  </w14:solidFill>
                </w14:textFill>
              </w:rPr>
              <w:t>废酒瓶</w:t>
            </w:r>
          </w:p>
          <w:p w14:paraId="754D059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项目在酒瓶清洗、灌装等过程中时产生的废酒瓶等，约</w:t>
            </w:r>
            <w:r>
              <w:rPr>
                <w:color w:val="000000" w:themeColor="text1"/>
                <w:sz w:val="24"/>
                <w14:textFill>
                  <w14:solidFill>
                    <w14:schemeClr w14:val="tx1"/>
                  </w14:solidFill>
                </w14:textFill>
              </w:rPr>
              <w:t>0.</w:t>
            </w:r>
            <w:r>
              <w:rPr>
                <w:rFonts w:hint="eastAsia"/>
                <w:color w:val="000000" w:themeColor="text1"/>
                <w:sz w:val="24"/>
                <w14:textFill>
                  <w14:solidFill>
                    <w14:schemeClr w14:val="tx1"/>
                  </w14:solidFill>
                </w14:textFill>
              </w:rPr>
              <w:t>7</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，集中收集后定期外售综合利用。</w:t>
            </w:r>
            <w:r>
              <w:rPr>
                <w:color w:val="000000" w:themeColor="text1"/>
                <w:sz w:val="24"/>
                <w14:textFill>
                  <w14:solidFill>
                    <w14:schemeClr w14:val="tx1"/>
                  </w14:solidFill>
                </w14:textFill>
              </w:rPr>
              <w:t>根据《固体废物分类与代码目录（2024版）》可知，</w:t>
            </w:r>
            <w:r>
              <w:rPr>
                <w:rFonts w:hint="eastAsia"/>
                <w:color w:val="000000" w:themeColor="text1"/>
                <w:sz w:val="24"/>
                <w14:textFill>
                  <w14:solidFill>
                    <w14:schemeClr w14:val="tx1"/>
                  </w14:solidFill>
                </w14:textFill>
              </w:rPr>
              <w:t>废酒瓶</w:t>
            </w:r>
            <w:r>
              <w:rPr>
                <w:color w:val="000000" w:themeColor="text1"/>
                <w:sz w:val="24"/>
                <w14:textFill>
                  <w14:solidFill>
                    <w14:schemeClr w14:val="tx1"/>
                  </w14:solidFill>
                </w14:textFill>
              </w:rPr>
              <w:t>的一般固体废物代码为</w:t>
            </w:r>
            <w:r>
              <w:rPr>
                <w:rFonts w:hint="eastAsia"/>
                <w:color w:val="000000" w:themeColor="text1"/>
                <w:sz w:val="24"/>
                <w14:textFill>
                  <w14:solidFill>
                    <w14:schemeClr w14:val="tx1"/>
                  </w14:solidFill>
                </w14:textFill>
              </w:rPr>
              <w:t>900-004-S62。</w:t>
            </w:r>
          </w:p>
          <w:p w14:paraId="3D8378A0">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kern w:val="0"/>
                <w:sz w:val="24"/>
                <w14:textFill>
                  <w14:solidFill>
                    <w14:schemeClr w14:val="tx1"/>
                  </w14:solidFill>
                </w14:textFill>
              </w:rPr>
              <w:fldChar w:fldCharType="begin"/>
            </w:r>
            <w:r>
              <w:rPr>
                <w:rFonts w:hint="eastAsia"/>
                <w:color w:val="000000" w:themeColor="text1"/>
                <w:kern w:val="0"/>
                <w:sz w:val="24"/>
                <w14:textFill>
                  <w14:solidFill>
                    <w14:schemeClr w14:val="tx1"/>
                  </w14:solidFill>
                </w14:textFill>
              </w:rPr>
              <w:instrText xml:space="preserve"> EQ \o\ac(○,</w:instrText>
            </w:r>
            <w:r>
              <w:rPr>
                <w:rFonts w:hint="eastAsia"/>
                <w:color w:val="000000" w:themeColor="text1"/>
                <w:kern w:val="0"/>
                <w:position w:val="3"/>
                <w:sz w:val="16"/>
                <w14:textFill>
                  <w14:solidFill>
                    <w14:schemeClr w14:val="tx1"/>
                  </w14:solidFill>
                </w14:textFill>
              </w:rPr>
              <w:instrText xml:space="preserve">12</w:instrText>
            </w:r>
            <w:r>
              <w:rPr>
                <w:rFonts w:hint="eastAsia"/>
                <w:color w:val="000000" w:themeColor="text1"/>
                <w:kern w:val="0"/>
                <w:sz w:val="24"/>
                <w14:textFill>
                  <w14:solidFill>
                    <w14:schemeClr w14:val="tx1"/>
                  </w14:solidFill>
                </w14:textFill>
              </w:rPr>
              <w:instrText xml:space="preserve">)</w:instrText>
            </w:r>
            <w:r>
              <w:rPr>
                <w:rFonts w:hint="eastAsia"/>
                <w:color w:val="000000" w:themeColor="text1"/>
                <w:kern w:val="0"/>
                <w:sz w:val="24"/>
                <w14:textFill>
                  <w14:solidFill>
                    <w14:schemeClr w14:val="tx1"/>
                  </w14:solidFill>
                </w14:textFill>
              </w:rPr>
              <w:fldChar w:fldCharType="end"/>
            </w:r>
            <w:r>
              <w:rPr>
                <w:color w:val="000000" w:themeColor="text1"/>
                <w:sz w:val="24"/>
                <w14:textFill>
                  <w14:solidFill>
                    <w14:schemeClr w14:val="tx1"/>
                  </w14:solidFill>
                </w14:textFill>
              </w:rPr>
              <w:t>污水处理站污泥</w:t>
            </w:r>
          </w:p>
          <w:p w14:paraId="46F5403C">
            <w:pPr>
              <w:widowControl/>
              <w:adjustRightInd w:val="0"/>
              <w:snapToGrid w:val="0"/>
              <w:spacing w:line="360" w:lineRule="auto"/>
              <w:ind w:firstLine="480" w:firstLineChars="200"/>
              <w:rPr>
                <w:color w:val="000000" w:themeColor="text1"/>
                <w14:textFill>
                  <w14:solidFill>
                    <w14:schemeClr w14:val="tx1"/>
                  </w14:solidFill>
                </w14:textFill>
              </w:rPr>
            </w:pPr>
            <w:r>
              <w:rPr>
                <w:color w:val="000000" w:themeColor="text1"/>
                <w:sz w:val="24"/>
                <w14:textFill>
                  <w14:solidFill>
                    <w14:schemeClr w14:val="tx1"/>
                  </w14:solidFill>
                </w14:textFill>
              </w:rPr>
              <w:t>项目污水处理站采用“调节池+水解酸化池+生物接触氧化+二沉池”工艺处理废水，处理过程会产生少量的污泥。</w:t>
            </w:r>
            <w:r>
              <w:rPr>
                <w:rFonts w:hint="eastAsia"/>
                <w:color w:val="000000" w:themeColor="text1"/>
                <w:sz w:val="24"/>
                <w14:textFill>
                  <w14:solidFill>
                    <w14:schemeClr w14:val="tx1"/>
                  </w14:solidFill>
                </w14:textFill>
              </w:rPr>
              <w:t>本项目</w:t>
            </w:r>
            <w:r>
              <w:rPr>
                <w:color w:val="000000" w:themeColor="text1"/>
                <w:sz w:val="24"/>
                <w14:textFill>
                  <w14:solidFill>
                    <w14:schemeClr w14:val="tx1"/>
                  </w14:solidFill>
                </w14:textFill>
              </w:rPr>
              <w:t>污水处理站污泥产生量约为</w:t>
            </w:r>
            <w:r>
              <w:rPr>
                <w:rFonts w:hint="eastAsia"/>
                <w:color w:val="000000" w:themeColor="text1"/>
                <w:sz w:val="24"/>
                <w14:textFill>
                  <w14:solidFill>
                    <w14:schemeClr w14:val="tx1"/>
                  </w14:solidFill>
                </w14:textFill>
              </w:rPr>
              <w:t>1.767</w:t>
            </w:r>
            <w:r>
              <w:rPr>
                <w:color w:val="000000" w:themeColor="text1"/>
                <w:sz w:val="24"/>
                <w14:textFill>
                  <w14:solidFill>
                    <w14:schemeClr w14:val="tx1"/>
                  </w14:solidFill>
                </w14:textFill>
              </w:rPr>
              <w:t>t/a（按不含水记），</w:t>
            </w:r>
            <w:r>
              <w:rPr>
                <w:rFonts w:hint="eastAsia"/>
                <w:color w:val="000000" w:themeColor="text1"/>
                <w:sz w:val="24"/>
                <w14:textFill>
                  <w14:solidFill>
                    <w14:schemeClr w14:val="tx1"/>
                  </w14:solidFill>
                </w14:textFill>
              </w:rPr>
              <w:t>污泥</w:t>
            </w:r>
            <w:r>
              <w:rPr>
                <w:color w:val="000000" w:themeColor="text1"/>
                <w:sz w:val="24"/>
                <w14:textFill>
                  <w14:solidFill>
                    <w14:schemeClr w14:val="tx1"/>
                  </w14:solidFill>
                </w14:textFill>
              </w:rPr>
              <w:t>含水率约60%，则</w:t>
            </w:r>
            <w:r>
              <w:rPr>
                <w:rFonts w:hint="eastAsia"/>
                <w:color w:val="000000" w:themeColor="text1"/>
                <w:sz w:val="24"/>
                <w14:textFill>
                  <w14:solidFill>
                    <w14:schemeClr w14:val="tx1"/>
                  </w14:solidFill>
                </w14:textFill>
              </w:rPr>
              <w:t>污泥</w:t>
            </w:r>
            <w:r>
              <w:rPr>
                <w:color w:val="000000" w:themeColor="text1"/>
                <w:sz w:val="24"/>
                <w14:textFill>
                  <w14:solidFill>
                    <w14:schemeClr w14:val="tx1"/>
                  </w14:solidFill>
                </w14:textFill>
              </w:rPr>
              <w:t>总产生量约</w:t>
            </w:r>
            <w:r>
              <w:rPr>
                <w:rFonts w:hint="eastAsia"/>
                <w:color w:val="000000" w:themeColor="text1"/>
                <w:sz w:val="24"/>
                <w14:textFill>
                  <w14:solidFill>
                    <w14:schemeClr w14:val="tx1"/>
                  </w14:solidFill>
                </w14:textFill>
              </w:rPr>
              <w:t>4.418</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主要成分为有机质及腐殖质，定期收集后收集后交由环卫部门处理。根据《固体废物分类与代码目录（2024版）》可知，污水处理站污泥的一般固体废物代码为</w:t>
            </w:r>
            <w:r>
              <w:rPr>
                <w:rFonts w:hint="eastAsia"/>
                <w:color w:val="000000" w:themeColor="text1"/>
                <w:sz w:val="24"/>
                <w14:textFill>
                  <w14:solidFill>
                    <w14:schemeClr w14:val="tx1"/>
                  </w14:solidFill>
                </w14:textFill>
              </w:rPr>
              <w:t>150-001-S07。</w:t>
            </w:r>
          </w:p>
        </w:tc>
      </w:tr>
    </w:tbl>
    <w:p w14:paraId="085BCB86">
      <w:pPr>
        <w:rPr>
          <w:color w:val="000000" w:themeColor="text1"/>
          <w14:textFill>
            <w14:solidFill>
              <w14:schemeClr w14:val="tx1"/>
            </w14:solidFill>
          </w14:textFill>
        </w:rPr>
      </w:pPr>
    </w:p>
    <w:p w14:paraId="17886A52">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6"/>
        <w:tblW w:w="487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3"/>
        <w:gridCol w:w="13361"/>
      </w:tblGrid>
      <w:tr w14:paraId="5A2EF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4" w:type="pct"/>
            <w:vAlign w:val="center"/>
          </w:tcPr>
          <w:p w14:paraId="36A99B13">
            <w:pPr>
              <w:rPr>
                <w:color w:val="000000" w:themeColor="text1"/>
                <w:szCs w:val="21"/>
                <w14:textFill>
                  <w14:solidFill>
                    <w14:schemeClr w14:val="tx1"/>
                  </w14:solidFill>
                </w14:textFill>
              </w:rPr>
            </w:pPr>
          </w:p>
        </w:tc>
        <w:tc>
          <w:tcPr>
            <w:tcW w:w="4835" w:type="pct"/>
            <w:vAlign w:val="center"/>
          </w:tcPr>
          <w:p w14:paraId="580B5BD0">
            <w:pPr>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22  </w:t>
            </w:r>
            <w:r>
              <w:rPr>
                <w:b/>
                <w:bCs/>
                <w:color w:val="000000" w:themeColor="text1"/>
                <w:sz w:val="24"/>
                <w14:textFill>
                  <w14:solidFill>
                    <w14:schemeClr w14:val="tx1"/>
                  </w14:solidFill>
                </w14:textFill>
              </w:rPr>
              <w:t>本项目固体废物产生量及处理措施一览表</w:t>
            </w:r>
          </w:p>
          <w:tbl>
            <w:tblPr>
              <w:tblStyle w:val="25"/>
              <w:tblW w:w="4982"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911"/>
              <w:gridCol w:w="1544"/>
              <w:gridCol w:w="879"/>
              <w:gridCol w:w="882"/>
              <w:gridCol w:w="1104"/>
              <w:gridCol w:w="1313"/>
              <w:gridCol w:w="1782"/>
              <w:gridCol w:w="1198"/>
              <w:gridCol w:w="1910"/>
              <w:gridCol w:w="1559"/>
            </w:tblGrid>
            <w:tr w14:paraId="29476D7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6FD7A869">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固废名称</w:t>
                  </w:r>
                </w:p>
              </w:tc>
              <w:tc>
                <w:tcPr>
                  <w:tcW w:w="589" w:type="pct"/>
                  <w:vAlign w:val="center"/>
                </w:tcPr>
                <w:p w14:paraId="3CCDB7D2">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产生点位</w:t>
                  </w:r>
                </w:p>
              </w:tc>
              <w:tc>
                <w:tcPr>
                  <w:tcW w:w="336" w:type="pct"/>
                  <w:vAlign w:val="center"/>
                </w:tcPr>
                <w:p w14:paraId="09F273E7">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主要成分</w:t>
                  </w:r>
                </w:p>
              </w:tc>
              <w:tc>
                <w:tcPr>
                  <w:tcW w:w="337" w:type="pct"/>
                  <w:vAlign w:val="center"/>
                </w:tcPr>
                <w:p w14:paraId="3E1F1B5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物理性质</w:t>
                  </w:r>
                </w:p>
              </w:tc>
              <w:tc>
                <w:tcPr>
                  <w:tcW w:w="422" w:type="pct"/>
                  <w:vAlign w:val="center"/>
                </w:tcPr>
                <w:p w14:paraId="0B51696D">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固废种类</w:t>
                  </w:r>
                </w:p>
              </w:tc>
              <w:tc>
                <w:tcPr>
                  <w:tcW w:w="501" w:type="pct"/>
                  <w:vAlign w:val="center"/>
                </w:tcPr>
                <w:p w14:paraId="03C3B21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产生量（t/a）</w:t>
                  </w:r>
                </w:p>
              </w:tc>
              <w:tc>
                <w:tcPr>
                  <w:tcW w:w="680" w:type="pct"/>
                  <w:vAlign w:val="center"/>
                </w:tcPr>
                <w:p w14:paraId="08B5F34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利用处置方式和去向</w:t>
                  </w:r>
                </w:p>
              </w:tc>
              <w:tc>
                <w:tcPr>
                  <w:tcW w:w="458" w:type="pct"/>
                  <w:vAlign w:val="center"/>
                </w:tcPr>
                <w:p w14:paraId="2350B88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利用或处置量（t/a）</w:t>
                  </w:r>
                </w:p>
              </w:tc>
              <w:tc>
                <w:tcPr>
                  <w:tcW w:w="729" w:type="pct"/>
                  <w:vAlign w:val="center"/>
                </w:tcPr>
                <w:p w14:paraId="67C69D9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环境管理要求</w:t>
                  </w:r>
                </w:p>
              </w:tc>
              <w:tc>
                <w:tcPr>
                  <w:tcW w:w="595" w:type="pct"/>
                  <w:vAlign w:val="center"/>
                </w:tcPr>
                <w:p w14:paraId="5E5D46B3">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代码</w:t>
                  </w:r>
                </w:p>
              </w:tc>
            </w:tr>
            <w:tr w14:paraId="2E18B1B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6F3F6CA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职工生活垃圾</w:t>
                  </w:r>
                </w:p>
              </w:tc>
              <w:tc>
                <w:tcPr>
                  <w:tcW w:w="589" w:type="pct"/>
                  <w:vAlign w:val="center"/>
                </w:tcPr>
                <w:p w14:paraId="5CD93D85">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职工生活</w:t>
                  </w:r>
                </w:p>
              </w:tc>
              <w:tc>
                <w:tcPr>
                  <w:tcW w:w="336" w:type="pct"/>
                  <w:vAlign w:val="center"/>
                </w:tcPr>
                <w:p w14:paraId="46DC5175">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生活垃圾</w:t>
                  </w:r>
                </w:p>
              </w:tc>
              <w:tc>
                <w:tcPr>
                  <w:tcW w:w="337" w:type="pct"/>
                  <w:vAlign w:val="center"/>
                </w:tcPr>
                <w:p w14:paraId="7FC7B339">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固态</w:t>
                  </w:r>
                </w:p>
              </w:tc>
              <w:tc>
                <w:tcPr>
                  <w:tcW w:w="422" w:type="pct"/>
                  <w:vAlign w:val="center"/>
                </w:tcPr>
                <w:p w14:paraId="4E9CEAD5">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70194E5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5.13</w:t>
                  </w:r>
                </w:p>
              </w:tc>
              <w:tc>
                <w:tcPr>
                  <w:tcW w:w="680" w:type="pct"/>
                  <w:vAlign w:val="center"/>
                </w:tcPr>
                <w:p w14:paraId="119DF6B8">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分类收集后交由环卫部门运至垃圾中转站处理</w:t>
                  </w:r>
                </w:p>
              </w:tc>
              <w:tc>
                <w:tcPr>
                  <w:tcW w:w="458" w:type="pct"/>
                  <w:vAlign w:val="center"/>
                </w:tcPr>
                <w:p w14:paraId="293477E5">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5.13</w:t>
                  </w:r>
                </w:p>
              </w:tc>
              <w:tc>
                <w:tcPr>
                  <w:tcW w:w="729" w:type="pct"/>
                  <w:vMerge w:val="restart"/>
                  <w:vAlign w:val="center"/>
                </w:tcPr>
                <w:p w14:paraId="2C9FBF9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执行《一般工业固体废物贮存和填埋污染控制标准》（GB18599-2020）</w:t>
                  </w:r>
                </w:p>
              </w:tc>
              <w:tc>
                <w:tcPr>
                  <w:tcW w:w="595" w:type="pct"/>
                  <w:shd w:val="clear" w:color="auto" w:fill="auto"/>
                  <w:vAlign w:val="center"/>
                </w:tcPr>
                <w:p w14:paraId="0890CAC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900-099-S64</w:t>
                  </w:r>
                </w:p>
              </w:tc>
            </w:tr>
            <w:tr w14:paraId="067E0F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shd w:val="clear" w:color="auto" w:fill="auto"/>
                  <w:vAlign w:val="center"/>
                </w:tcPr>
                <w:p w14:paraId="11C55DF9">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化粪池污泥</w:t>
                  </w:r>
                </w:p>
              </w:tc>
              <w:tc>
                <w:tcPr>
                  <w:tcW w:w="589" w:type="pct"/>
                  <w:shd w:val="clear" w:color="auto" w:fill="auto"/>
                  <w:vAlign w:val="center"/>
                </w:tcPr>
                <w:p w14:paraId="6D7A763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化粪池</w:t>
                  </w:r>
                </w:p>
              </w:tc>
              <w:tc>
                <w:tcPr>
                  <w:tcW w:w="336" w:type="pct"/>
                  <w:shd w:val="clear" w:color="auto" w:fill="auto"/>
                  <w:vAlign w:val="center"/>
                </w:tcPr>
                <w:p w14:paraId="68F907A3">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污泥</w:t>
                  </w:r>
                </w:p>
              </w:tc>
              <w:tc>
                <w:tcPr>
                  <w:tcW w:w="337" w:type="pct"/>
                  <w:shd w:val="clear" w:color="auto" w:fill="auto"/>
                  <w:vAlign w:val="center"/>
                </w:tcPr>
                <w:p w14:paraId="5756A02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半固态</w:t>
                  </w:r>
                </w:p>
              </w:tc>
              <w:tc>
                <w:tcPr>
                  <w:tcW w:w="422" w:type="pct"/>
                  <w:shd w:val="clear" w:color="auto" w:fill="auto"/>
                  <w:vAlign w:val="center"/>
                </w:tcPr>
                <w:p w14:paraId="7BC35FE2">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shd w:val="clear" w:color="auto" w:fill="auto"/>
                  <w:vAlign w:val="center"/>
                </w:tcPr>
                <w:p w14:paraId="71BBDF4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2.565</w:t>
                  </w:r>
                </w:p>
              </w:tc>
              <w:tc>
                <w:tcPr>
                  <w:tcW w:w="680" w:type="pct"/>
                  <w:shd w:val="clear" w:color="auto" w:fill="auto"/>
                  <w:vAlign w:val="center"/>
                </w:tcPr>
                <w:p w14:paraId="33E54D6D">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定期清掏后交由环卫部门处理</w:t>
                  </w:r>
                </w:p>
              </w:tc>
              <w:tc>
                <w:tcPr>
                  <w:tcW w:w="458" w:type="pct"/>
                  <w:shd w:val="clear" w:color="auto" w:fill="auto"/>
                  <w:vAlign w:val="center"/>
                </w:tcPr>
                <w:p w14:paraId="65278BBC">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2.565</w:t>
                  </w:r>
                </w:p>
              </w:tc>
              <w:tc>
                <w:tcPr>
                  <w:tcW w:w="729" w:type="pct"/>
                  <w:vMerge w:val="continue"/>
                  <w:vAlign w:val="center"/>
                </w:tcPr>
                <w:p w14:paraId="70199730">
                  <w:pPr>
                    <w:jc w:val="center"/>
                    <w:rPr>
                      <w:bCs/>
                      <w:color w:val="000000" w:themeColor="text1"/>
                      <w:kern w:val="0"/>
                      <w:szCs w:val="21"/>
                      <w14:textFill>
                        <w14:solidFill>
                          <w14:schemeClr w14:val="tx1"/>
                        </w14:solidFill>
                      </w14:textFill>
                    </w:rPr>
                  </w:pPr>
                </w:p>
              </w:tc>
              <w:tc>
                <w:tcPr>
                  <w:tcW w:w="595" w:type="pct"/>
                  <w:shd w:val="clear" w:color="auto" w:fill="auto"/>
                  <w:vAlign w:val="center"/>
                </w:tcPr>
                <w:p w14:paraId="3DA2DD8C">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900-099-S07</w:t>
                  </w:r>
                </w:p>
              </w:tc>
            </w:tr>
            <w:tr w14:paraId="36CFEB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Merge w:val="restart"/>
                  <w:vAlign w:val="center"/>
                </w:tcPr>
                <w:p w14:paraId="5A70E83D">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除尘器收集到的粉尘</w:t>
                  </w:r>
                </w:p>
              </w:tc>
              <w:tc>
                <w:tcPr>
                  <w:tcW w:w="589" w:type="pct"/>
                  <w:vAlign w:val="center"/>
                </w:tcPr>
                <w:p w14:paraId="37E8D20E">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原料投料、粉碎工序和袋泡茶生产过程</w:t>
                  </w:r>
                </w:p>
              </w:tc>
              <w:tc>
                <w:tcPr>
                  <w:tcW w:w="336" w:type="pct"/>
                  <w:vMerge w:val="restart"/>
                  <w:vAlign w:val="center"/>
                </w:tcPr>
                <w:p w14:paraId="044F7C4D">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除尘器收集到的粉尘</w:t>
                  </w:r>
                </w:p>
              </w:tc>
              <w:tc>
                <w:tcPr>
                  <w:tcW w:w="337" w:type="pct"/>
                  <w:vMerge w:val="restart"/>
                  <w:vAlign w:val="center"/>
                </w:tcPr>
                <w:p w14:paraId="4925D0C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固态</w:t>
                  </w:r>
                </w:p>
              </w:tc>
              <w:tc>
                <w:tcPr>
                  <w:tcW w:w="422" w:type="pct"/>
                  <w:vMerge w:val="restart"/>
                  <w:vAlign w:val="center"/>
                </w:tcPr>
                <w:p w14:paraId="6988822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51B8C85C">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0.620</w:t>
                  </w:r>
                </w:p>
              </w:tc>
              <w:tc>
                <w:tcPr>
                  <w:tcW w:w="680" w:type="pct"/>
                  <w:vAlign w:val="center"/>
                </w:tcPr>
                <w:p w14:paraId="749B2D4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收集后外售综合利用</w:t>
                  </w:r>
                </w:p>
              </w:tc>
              <w:tc>
                <w:tcPr>
                  <w:tcW w:w="458" w:type="pct"/>
                  <w:vAlign w:val="center"/>
                </w:tcPr>
                <w:p w14:paraId="4868373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0.620</w:t>
                  </w:r>
                </w:p>
              </w:tc>
              <w:tc>
                <w:tcPr>
                  <w:tcW w:w="729" w:type="pct"/>
                  <w:vMerge w:val="continue"/>
                  <w:vAlign w:val="center"/>
                </w:tcPr>
                <w:p w14:paraId="5F9C87E1">
                  <w:pPr>
                    <w:jc w:val="center"/>
                    <w:rPr>
                      <w:bCs/>
                      <w:color w:val="000000" w:themeColor="text1"/>
                      <w:kern w:val="0"/>
                      <w:szCs w:val="21"/>
                      <w14:textFill>
                        <w14:solidFill>
                          <w14:schemeClr w14:val="tx1"/>
                        </w14:solidFill>
                      </w14:textFill>
                    </w:rPr>
                  </w:pPr>
                </w:p>
              </w:tc>
              <w:tc>
                <w:tcPr>
                  <w:tcW w:w="595" w:type="pct"/>
                  <w:vAlign w:val="center"/>
                </w:tcPr>
                <w:p w14:paraId="223D46C3">
                  <w:pPr>
                    <w:jc w:val="center"/>
                    <w:rPr>
                      <w:bCs/>
                      <w:color w:val="000000" w:themeColor="text1"/>
                      <w:kern w:val="0"/>
                      <w:szCs w:val="21"/>
                      <w14:textFill>
                        <w14:solidFill>
                          <w14:schemeClr w14:val="tx1"/>
                        </w14:solidFill>
                      </w14:textFill>
                    </w:rPr>
                  </w:pPr>
                  <w:r>
                    <w:rPr>
                      <w:rFonts w:hint="eastAsia"/>
                      <w:color w:val="000000" w:themeColor="text1"/>
                      <w:sz w:val="24"/>
                      <w14:textFill>
                        <w14:solidFill>
                          <w14:schemeClr w14:val="tx1"/>
                        </w14:solidFill>
                      </w14:textFill>
                    </w:rPr>
                    <w:t>900-099-S13</w:t>
                  </w:r>
                </w:p>
              </w:tc>
            </w:tr>
            <w:tr w14:paraId="4DDD4F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Merge w:val="continue"/>
                  <w:vAlign w:val="center"/>
                </w:tcPr>
                <w:p w14:paraId="74E8F054">
                  <w:pPr>
                    <w:jc w:val="center"/>
                    <w:rPr>
                      <w:bCs/>
                      <w:color w:val="000000" w:themeColor="text1"/>
                      <w:kern w:val="0"/>
                      <w:szCs w:val="21"/>
                      <w14:textFill>
                        <w14:solidFill>
                          <w14:schemeClr w14:val="tx1"/>
                        </w14:solidFill>
                      </w14:textFill>
                    </w:rPr>
                  </w:pPr>
                </w:p>
              </w:tc>
              <w:tc>
                <w:tcPr>
                  <w:tcW w:w="589" w:type="pct"/>
                  <w:vAlign w:val="center"/>
                </w:tcPr>
                <w:p w14:paraId="5858637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热敷理疗产品上料过程</w:t>
                  </w:r>
                </w:p>
              </w:tc>
              <w:tc>
                <w:tcPr>
                  <w:tcW w:w="336" w:type="pct"/>
                  <w:vMerge w:val="continue"/>
                  <w:vAlign w:val="center"/>
                </w:tcPr>
                <w:p w14:paraId="3D4682ED">
                  <w:pPr>
                    <w:jc w:val="center"/>
                    <w:rPr>
                      <w:bCs/>
                      <w:color w:val="000000" w:themeColor="text1"/>
                      <w:kern w:val="0"/>
                      <w:szCs w:val="21"/>
                      <w14:textFill>
                        <w14:solidFill>
                          <w14:schemeClr w14:val="tx1"/>
                        </w14:solidFill>
                      </w14:textFill>
                    </w:rPr>
                  </w:pPr>
                </w:p>
              </w:tc>
              <w:tc>
                <w:tcPr>
                  <w:tcW w:w="337" w:type="pct"/>
                  <w:vMerge w:val="continue"/>
                  <w:vAlign w:val="center"/>
                </w:tcPr>
                <w:p w14:paraId="58499372">
                  <w:pPr>
                    <w:jc w:val="center"/>
                    <w:rPr>
                      <w:bCs/>
                      <w:color w:val="000000" w:themeColor="text1"/>
                      <w:kern w:val="0"/>
                      <w:szCs w:val="21"/>
                      <w14:textFill>
                        <w14:solidFill>
                          <w14:schemeClr w14:val="tx1"/>
                        </w14:solidFill>
                      </w14:textFill>
                    </w:rPr>
                  </w:pPr>
                </w:p>
              </w:tc>
              <w:tc>
                <w:tcPr>
                  <w:tcW w:w="422" w:type="pct"/>
                  <w:vMerge w:val="continue"/>
                  <w:vAlign w:val="center"/>
                </w:tcPr>
                <w:p w14:paraId="01F9436F">
                  <w:pPr>
                    <w:jc w:val="center"/>
                    <w:rPr>
                      <w:bCs/>
                      <w:color w:val="000000" w:themeColor="text1"/>
                      <w:kern w:val="0"/>
                      <w:szCs w:val="21"/>
                      <w14:textFill>
                        <w14:solidFill>
                          <w14:schemeClr w14:val="tx1"/>
                        </w14:solidFill>
                      </w14:textFill>
                    </w:rPr>
                  </w:pPr>
                </w:p>
              </w:tc>
              <w:tc>
                <w:tcPr>
                  <w:tcW w:w="501" w:type="pct"/>
                  <w:vAlign w:val="center"/>
                </w:tcPr>
                <w:p w14:paraId="49289AF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0.089</w:t>
                  </w:r>
                </w:p>
              </w:tc>
              <w:tc>
                <w:tcPr>
                  <w:tcW w:w="680" w:type="pct"/>
                  <w:vAlign w:val="center"/>
                </w:tcPr>
                <w:p w14:paraId="022DB974">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收集后外售综合利用</w:t>
                  </w:r>
                </w:p>
              </w:tc>
              <w:tc>
                <w:tcPr>
                  <w:tcW w:w="458" w:type="pct"/>
                  <w:vAlign w:val="center"/>
                </w:tcPr>
                <w:p w14:paraId="44B23044">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0.089</w:t>
                  </w:r>
                </w:p>
              </w:tc>
              <w:tc>
                <w:tcPr>
                  <w:tcW w:w="729" w:type="pct"/>
                  <w:vMerge w:val="continue"/>
                  <w:vAlign w:val="center"/>
                </w:tcPr>
                <w:p w14:paraId="561B0C4B">
                  <w:pPr>
                    <w:jc w:val="center"/>
                    <w:rPr>
                      <w:bCs/>
                      <w:color w:val="000000" w:themeColor="text1"/>
                      <w:kern w:val="0"/>
                      <w:szCs w:val="21"/>
                      <w14:textFill>
                        <w14:solidFill>
                          <w14:schemeClr w14:val="tx1"/>
                        </w14:solidFill>
                      </w14:textFill>
                    </w:rPr>
                  </w:pPr>
                </w:p>
              </w:tc>
              <w:tc>
                <w:tcPr>
                  <w:tcW w:w="595" w:type="pct"/>
                  <w:shd w:val="clear" w:color="auto" w:fill="auto"/>
                  <w:vAlign w:val="center"/>
                </w:tcPr>
                <w:p w14:paraId="03302193">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900-099-S17</w:t>
                  </w:r>
                </w:p>
              </w:tc>
            </w:tr>
            <w:tr w14:paraId="672A00C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41F21963">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废酒糟</w:t>
                  </w:r>
                </w:p>
              </w:tc>
              <w:tc>
                <w:tcPr>
                  <w:tcW w:w="589" w:type="pct"/>
                  <w:vAlign w:val="center"/>
                </w:tcPr>
                <w:p w14:paraId="43C8D663">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蒸馏、压滤以及过滤等工序</w:t>
                  </w:r>
                </w:p>
              </w:tc>
              <w:tc>
                <w:tcPr>
                  <w:tcW w:w="336" w:type="pct"/>
                  <w:vAlign w:val="center"/>
                </w:tcPr>
                <w:p w14:paraId="1192030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废酒糟</w:t>
                  </w:r>
                </w:p>
              </w:tc>
              <w:tc>
                <w:tcPr>
                  <w:tcW w:w="337" w:type="pct"/>
                  <w:vAlign w:val="center"/>
                </w:tcPr>
                <w:p w14:paraId="78246B4E">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半</w:t>
                  </w:r>
                  <w:r>
                    <w:rPr>
                      <w:bCs/>
                      <w:color w:val="000000" w:themeColor="text1"/>
                      <w:kern w:val="0"/>
                      <w:szCs w:val="21"/>
                      <w14:textFill>
                        <w14:solidFill>
                          <w14:schemeClr w14:val="tx1"/>
                        </w14:solidFill>
                      </w14:textFill>
                    </w:rPr>
                    <w:t>固态</w:t>
                  </w:r>
                </w:p>
              </w:tc>
              <w:tc>
                <w:tcPr>
                  <w:tcW w:w="422" w:type="pct"/>
                  <w:vAlign w:val="center"/>
                </w:tcPr>
                <w:p w14:paraId="79B21278">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4D7EB9B3">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721.943</w:t>
                  </w:r>
                </w:p>
              </w:tc>
              <w:tc>
                <w:tcPr>
                  <w:tcW w:w="680" w:type="pct"/>
                  <w:vAlign w:val="center"/>
                </w:tcPr>
                <w:p w14:paraId="6D87A9F3">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外售给养畜农户用作饲料</w:t>
                  </w:r>
                </w:p>
              </w:tc>
              <w:tc>
                <w:tcPr>
                  <w:tcW w:w="458" w:type="pct"/>
                  <w:vAlign w:val="center"/>
                </w:tcPr>
                <w:p w14:paraId="7E2BA4A4">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721.943</w:t>
                  </w:r>
                </w:p>
              </w:tc>
              <w:tc>
                <w:tcPr>
                  <w:tcW w:w="729" w:type="pct"/>
                  <w:vMerge w:val="continue"/>
                  <w:vAlign w:val="center"/>
                </w:tcPr>
                <w:p w14:paraId="1B980FF1">
                  <w:pPr>
                    <w:jc w:val="center"/>
                    <w:rPr>
                      <w:bCs/>
                      <w:color w:val="000000" w:themeColor="text1"/>
                      <w:kern w:val="0"/>
                      <w:szCs w:val="21"/>
                      <w14:textFill>
                        <w14:solidFill>
                          <w14:schemeClr w14:val="tx1"/>
                        </w14:solidFill>
                      </w14:textFill>
                    </w:rPr>
                  </w:pPr>
                </w:p>
              </w:tc>
              <w:tc>
                <w:tcPr>
                  <w:tcW w:w="595" w:type="pct"/>
                  <w:vAlign w:val="center"/>
                </w:tcPr>
                <w:p w14:paraId="4831F78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151-002-S13</w:t>
                  </w:r>
                </w:p>
              </w:tc>
            </w:tr>
            <w:tr w14:paraId="27E2E8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377F8B13">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废啤酒花、热凝固物</w:t>
                  </w:r>
                </w:p>
              </w:tc>
              <w:tc>
                <w:tcPr>
                  <w:tcW w:w="589" w:type="pct"/>
                  <w:vAlign w:val="center"/>
                </w:tcPr>
                <w:p w14:paraId="4ACD9C07">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煮沸、沉淀工序</w:t>
                  </w:r>
                </w:p>
              </w:tc>
              <w:tc>
                <w:tcPr>
                  <w:tcW w:w="336" w:type="pct"/>
                  <w:vAlign w:val="center"/>
                </w:tcPr>
                <w:p w14:paraId="04BE6117">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废啤酒花、热凝固物</w:t>
                  </w:r>
                </w:p>
              </w:tc>
              <w:tc>
                <w:tcPr>
                  <w:tcW w:w="337" w:type="pct"/>
                  <w:shd w:val="clear" w:color="auto" w:fill="auto"/>
                  <w:vAlign w:val="center"/>
                </w:tcPr>
                <w:p w14:paraId="0A099860">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半</w:t>
                  </w:r>
                  <w:r>
                    <w:rPr>
                      <w:bCs/>
                      <w:color w:val="000000" w:themeColor="text1"/>
                      <w:kern w:val="0"/>
                      <w:szCs w:val="21"/>
                      <w14:textFill>
                        <w14:solidFill>
                          <w14:schemeClr w14:val="tx1"/>
                        </w14:solidFill>
                      </w14:textFill>
                    </w:rPr>
                    <w:t>固态</w:t>
                  </w:r>
                </w:p>
              </w:tc>
              <w:tc>
                <w:tcPr>
                  <w:tcW w:w="422" w:type="pct"/>
                  <w:shd w:val="clear" w:color="auto" w:fill="auto"/>
                  <w:vAlign w:val="center"/>
                </w:tcPr>
                <w:p w14:paraId="53D481FA">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37FC369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1.9</w:t>
                  </w:r>
                </w:p>
              </w:tc>
              <w:tc>
                <w:tcPr>
                  <w:tcW w:w="680" w:type="pct"/>
                  <w:vAlign w:val="center"/>
                </w:tcPr>
                <w:p w14:paraId="523C746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458" w:type="pct"/>
                  <w:vAlign w:val="center"/>
                </w:tcPr>
                <w:p w14:paraId="5589BD43">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1.9</w:t>
                  </w:r>
                </w:p>
              </w:tc>
              <w:tc>
                <w:tcPr>
                  <w:tcW w:w="729" w:type="pct"/>
                  <w:vMerge w:val="continue"/>
                  <w:vAlign w:val="center"/>
                </w:tcPr>
                <w:p w14:paraId="36052FA7">
                  <w:pPr>
                    <w:jc w:val="center"/>
                    <w:rPr>
                      <w:bCs/>
                      <w:color w:val="000000" w:themeColor="text1"/>
                      <w:kern w:val="0"/>
                      <w:szCs w:val="21"/>
                      <w14:textFill>
                        <w14:solidFill>
                          <w14:schemeClr w14:val="tx1"/>
                        </w14:solidFill>
                      </w14:textFill>
                    </w:rPr>
                  </w:pPr>
                </w:p>
              </w:tc>
              <w:tc>
                <w:tcPr>
                  <w:tcW w:w="595" w:type="pct"/>
                  <w:vAlign w:val="center"/>
                </w:tcPr>
                <w:p w14:paraId="343142E0">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151-001-S13</w:t>
                  </w:r>
                </w:p>
              </w:tc>
            </w:tr>
            <w:tr w14:paraId="2691FA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40A9D45E">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废酵母（含冷凝固物）</w:t>
                  </w:r>
                </w:p>
              </w:tc>
              <w:tc>
                <w:tcPr>
                  <w:tcW w:w="589" w:type="pct"/>
                  <w:vAlign w:val="center"/>
                </w:tcPr>
                <w:p w14:paraId="47F29C4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发酵工序</w:t>
                  </w:r>
                </w:p>
              </w:tc>
              <w:tc>
                <w:tcPr>
                  <w:tcW w:w="336" w:type="pct"/>
                  <w:vAlign w:val="center"/>
                </w:tcPr>
                <w:p w14:paraId="6268EED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废酵母（含冷凝固物）</w:t>
                  </w:r>
                </w:p>
              </w:tc>
              <w:tc>
                <w:tcPr>
                  <w:tcW w:w="337" w:type="pct"/>
                  <w:shd w:val="clear" w:color="auto" w:fill="auto"/>
                  <w:vAlign w:val="center"/>
                </w:tcPr>
                <w:p w14:paraId="69CCFB4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半</w:t>
                  </w:r>
                  <w:r>
                    <w:rPr>
                      <w:bCs/>
                      <w:color w:val="000000" w:themeColor="text1"/>
                      <w:kern w:val="0"/>
                      <w:szCs w:val="21"/>
                      <w14:textFill>
                        <w14:solidFill>
                          <w14:schemeClr w14:val="tx1"/>
                        </w14:solidFill>
                      </w14:textFill>
                    </w:rPr>
                    <w:t>固态</w:t>
                  </w:r>
                </w:p>
              </w:tc>
              <w:tc>
                <w:tcPr>
                  <w:tcW w:w="422" w:type="pct"/>
                  <w:shd w:val="clear" w:color="auto" w:fill="auto"/>
                  <w:vAlign w:val="center"/>
                </w:tcPr>
                <w:p w14:paraId="032FA93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649565D9">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3.0</w:t>
                  </w:r>
                </w:p>
              </w:tc>
              <w:tc>
                <w:tcPr>
                  <w:tcW w:w="680" w:type="pct"/>
                  <w:vAlign w:val="center"/>
                </w:tcPr>
                <w:p w14:paraId="680D49B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458" w:type="pct"/>
                  <w:vAlign w:val="center"/>
                </w:tcPr>
                <w:p w14:paraId="665736F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3.0</w:t>
                  </w:r>
                </w:p>
              </w:tc>
              <w:tc>
                <w:tcPr>
                  <w:tcW w:w="729" w:type="pct"/>
                  <w:vMerge w:val="continue"/>
                  <w:vAlign w:val="center"/>
                </w:tcPr>
                <w:p w14:paraId="0436FEAE">
                  <w:pPr>
                    <w:jc w:val="center"/>
                    <w:rPr>
                      <w:bCs/>
                      <w:color w:val="000000" w:themeColor="text1"/>
                      <w:kern w:val="0"/>
                      <w:szCs w:val="21"/>
                      <w14:textFill>
                        <w14:solidFill>
                          <w14:schemeClr w14:val="tx1"/>
                        </w14:solidFill>
                      </w14:textFill>
                    </w:rPr>
                  </w:pPr>
                </w:p>
              </w:tc>
              <w:tc>
                <w:tcPr>
                  <w:tcW w:w="595" w:type="pct"/>
                  <w:vAlign w:val="center"/>
                </w:tcPr>
                <w:p w14:paraId="03BDEEBD">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151-001-S13</w:t>
                  </w:r>
                </w:p>
              </w:tc>
            </w:tr>
            <w:tr w14:paraId="3F955AF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1C85DFD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废果、果皮、果渣及果梗</w:t>
                  </w:r>
                </w:p>
              </w:tc>
              <w:tc>
                <w:tcPr>
                  <w:tcW w:w="589" w:type="pct"/>
                  <w:vAlign w:val="center"/>
                </w:tcPr>
                <w:p w14:paraId="0F09C79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压榨及过滤工序</w:t>
                  </w:r>
                </w:p>
              </w:tc>
              <w:tc>
                <w:tcPr>
                  <w:tcW w:w="336" w:type="pct"/>
                  <w:vAlign w:val="center"/>
                </w:tcPr>
                <w:p w14:paraId="6BE067E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废果、果皮、果渣及果梗</w:t>
                  </w:r>
                </w:p>
              </w:tc>
              <w:tc>
                <w:tcPr>
                  <w:tcW w:w="337" w:type="pct"/>
                  <w:shd w:val="clear" w:color="auto" w:fill="auto"/>
                  <w:vAlign w:val="center"/>
                </w:tcPr>
                <w:p w14:paraId="1D9A361C">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固态</w:t>
                  </w:r>
                </w:p>
              </w:tc>
              <w:tc>
                <w:tcPr>
                  <w:tcW w:w="422" w:type="pct"/>
                  <w:shd w:val="clear" w:color="auto" w:fill="auto"/>
                  <w:vAlign w:val="center"/>
                </w:tcPr>
                <w:p w14:paraId="3B7383FC">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00AC1254">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109.992</w:t>
                  </w:r>
                </w:p>
              </w:tc>
              <w:tc>
                <w:tcPr>
                  <w:tcW w:w="680" w:type="pct"/>
                  <w:vAlign w:val="center"/>
                </w:tcPr>
                <w:p w14:paraId="6E7CB83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458" w:type="pct"/>
                  <w:vAlign w:val="center"/>
                </w:tcPr>
                <w:p w14:paraId="11EFECD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109.992</w:t>
                  </w:r>
                </w:p>
              </w:tc>
              <w:tc>
                <w:tcPr>
                  <w:tcW w:w="729" w:type="pct"/>
                  <w:vMerge w:val="continue"/>
                  <w:vAlign w:val="center"/>
                </w:tcPr>
                <w:p w14:paraId="4BE16761">
                  <w:pPr>
                    <w:jc w:val="center"/>
                    <w:rPr>
                      <w:bCs/>
                      <w:color w:val="000000" w:themeColor="text1"/>
                      <w:kern w:val="0"/>
                      <w:szCs w:val="21"/>
                      <w14:textFill>
                        <w14:solidFill>
                          <w14:schemeClr w14:val="tx1"/>
                        </w14:solidFill>
                      </w14:textFill>
                    </w:rPr>
                  </w:pPr>
                </w:p>
              </w:tc>
              <w:tc>
                <w:tcPr>
                  <w:tcW w:w="595" w:type="pct"/>
                  <w:vAlign w:val="center"/>
                </w:tcPr>
                <w:p w14:paraId="2FB7431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151-001-S13</w:t>
                  </w:r>
                </w:p>
              </w:tc>
            </w:tr>
            <w:tr w14:paraId="4D7B67D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0CE5AFF7">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过滤残渣</w:t>
                  </w:r>
                </w:p>
              </w:tc>
              <w:tc>
                <w:tcPr>
                  <w:tcW w:w="589" w:type="pct"/>
                  <w:vAlign w:val="center"/>
                </w:tcPr>
                <w:p w14:paraId="53560269">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提取工序</w:t>
                  </w:r>
                </w:p>
              </w:tc>
              <w:tc>
                <w:tcPr>
                  <w:tcW w:w="336" w:type="pct"/>
                  <w:shd w:val="clear" w:color="auto" w:fill="auto"/>
                  <w:vAlign w:val="center"/>
                </w:tcPr>
                <w:p w14:paraId="58BFF28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过滤残渣</w:t>
                  </w:r>
                </w:p>
              </w:tc>
              <w:tc>
                <w:tcPr>
                  <w:tcW w:w="337" w:type="pct"/>
                  <w:shd w:val="clear" w:color="auto" w:fill="auto"/>
                  <w:vAlign w:val="center"/>
                </w:tcPr>
                <w:p w14:paraId="53548B43">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半</w:t>
                  </w:r>
                  <w:r>
                    <w:rPr>
                      <w:bCs/>
                      <w:color w:val="000000" w:themeColor="text1"/>
                      <w:kern w:val="0"/>
                      <w:szCs w:val="21"/>
                      <w14:textFill>
                        <w14:solidFill>
                          <w14:schemeClr w14:val="tx1"/>
                        </w14:solidFill>
                      </w14:textFill>
                    </w:rPr>
                    <w:t>固态</w:t>
                  </w:r>
                </w:p>
              </w:tc>
              <w:tc>
                <w:tcPr>
                  <w:tcW w:w="422" w:type="pct"/>
                  <w:shd w:val="clear" w:color="auto" w:fill="auto"/>
                  <w:vAlign w:val="center"/>
                </w:tcPr>
                <w:p w14:paraId="6216F342">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0BB179BE">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107.227</w:t>
                  </w:r>
                </w:p>
              </w:tc>
              <w:tc>
                <w:tcPr>
                  <w:tcW w:w="680" w:type="pct"/>
                  <w:vAlign w:val="center"/>
                </w:tcPr>
                <w:p w14:paraId="2C4B391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458" w:type="pct"/>
                  <w:vAlign w:val="center"/>
                </w:tcPr>
                <w:p w14:paraId="51B2D6D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107.227</w:t>
                  </w:r>
                </w:p>
              </w:tc>
              <w:tc>
                <w:tcPr>
                  <w:tcW w:w="729" w:type="pct"/>
                  <w:vMerge w:val="continue"/>
                  <w:vAlign w:val="center"/>
                </w:tcPr>
                <w:p w14:paraId="7955A1C6">
                  <w:pPr>
                    <w:jc w:val="center"/>
                    <w:rPr>
                      <w:bCs/>
                      <w:color w:val="000000" w:themeColor="text1"/>
                      <w:kern w:val="0"/>
                      <w:szCs w:val="21"/>
                      <w14:textFill>
                        <w14:solidFill>
                          <w14:schemeClr w14:val="tx1"/>
                        </w14:solidFill>
                      </w14:textFill>
                    </w:rPr>
                  </w:pPr>
                </w:p>
              </w:tc>
              <w:tc>
                <w:tcPr>
                  <w:tcW w:w="595" w:type="pct"/>
                  <w:vAlign w:val="center"/>
                </w:tcPr>
                <w:p w14:paraId="30C4057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152-001-S13</w:t>
                  </w:r>
                </w:p>
              </w:tc>
            </w:tr>
            <w:tr w14:paraId="22E5156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394021F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废边角料</w:t>
                  </w:r>
                </w:p>
              </w:tc>
              <w:tc>
                <w:tcPr>
                  <w:tcW w:w="589" w:type="pct"/>
                  <w:vAlign w:val="center"/>
                </w:tcPr>
                <w:p w14:paraId="57C1E41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剪切工序</w:t>
                  </w:r>
                </w:p>
              </w:tc>
              <w:tc>
                <w:tcPr>
                  <w:tcW w:w="336" w:type="pct"/>
                  <w:vAlign w:val="center"/>
                </w:tcPr>
                <w:p w14:paraId="4BE9B49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废边角料</w:t>
                  </w:r>
                </w:p>
              </w:tc>
              <w:tc>
                <w:tcPr>
                  <w:tcW w:w="337" w:type="pct"/>
                  <w:shd w:val="clear" w:color="auto" w:fill="auto"/>
                  <w:vAlign w:val="center"/>
                </w:tcPr>
                <w:p w14:paraId="11039984">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固态</w:t>
                  </w:r>
                </w:p>
              </w:tc>
              <w:tc>
                <w:tcPr>
                  <w:tcW w:w="422" w:type="pct"/>
                  <w:shd w:val="clear" w:color="auto" w:fill="auto"/>
                  <w:vAlign w:val="center"/>
                </w:tcPr>
                <w:p w14:paraId="5E35AF9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1F895B29">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5.0</w:t>
                  </w:r>
                </w:p>
              </w:tc>
              <w:tc>
                <w:tcPr>
                  <w:tcW w:w="680" w:type="pct"/>
                  <w:vAlign w:val="center"/>
                </w:tcPr>
                <w:p w14:paraId="1245F892">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458" w:type="pct"/>
                  <w:vAlign w:val="center"/>
                </w:tcPr>
                <w:p w14:paraId="2DB00A9E">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5.0</w:t>
                  </w:r>
                </w:p>
              </w:tc>
              <w:tc>
                <w:tcPr>
                  <w:tcW w:w="729" w:type="pct"/>
                  <w:vMerge w:val="continue"/>
                  <w:vAlign w:val="center"/>
                </w:tcPr>
                <w:p w14:paraId="632E3C7A">
                  <w:pPr>
                    <w:jc w:val="center"/>
                    <w:rPr>
                      <w:bCs/>
                      <w:color w:val="000000" w:themeColor="text1"/>
                      <w:kern w:val="0"/>
                      <w:szCs w:val="21"/>
                      <w14:textFill>
                        <w14:solidFill>
                          <w14:schemeClr w14:val="tx1"/>
                        </w14:solidFill>
                      </w14:textFill>
                    </w:rPr>
                  </w:pPr>
                </w:p>
              </w:tc>
              <w:tc>
                <w:tcPr>
                  <w:tcW w:w="595" w:type="pct"/>
                  <w:vAlign w:val="center"/>
                </w:tcPr>
                <w:p w14:paraId="0BBB83B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900-007-S17</w:t>
                  </w:r>
                </w:p>
              </w:tc>
            </w:tr>
            <w:tr w14:paraId="78CDDC1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021AB423">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废包装材料</w:t>
                  </w:r>
                </w:p>
              </w:tc>
              <w:tc>
                <w:tcPr>
                  <w:tcW w:w="589" w:type="pct"/>
                  <w:vAlign w:val="center"/>
                </w:tcPr>
                <w:p w14:paraId="118F131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原料拆包及产品包装</w:t>
                  </w:r>
                </w:p>
              </w:tc>
              <w:tc>
                <w:tcPr>
                  <w:tcW w:w="336" w:type="pct"/>
                  <w:vAlign w:val="center"/>
                </w:tcPr>
                <w:p w14:paraId="3B8D951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废包装材料</w:t>
                  </w:r>
                </w:p>
              </w:tc>
              <w:tc>
                <w:tcPr>
                  <w:tcW w:w="337" w:type="pct"/>
                  <w:shd w:val="clear" w:color="auto" w:fill="auto"/>
                  <w:vAlign w:val="center"/>
                </w:tcPr>
                <w:p w14:paraId="5970194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固态</w:t>
                  </w:r>
                </w:p>
              </w:tc>
              <w:tc>
                <w:tcPr>
                  <w:tcW w:w="422" w:type="pct"/>
                  <w:shd w:val="clear" w:color="auto" w:fill="auto"/>
                  <w:vAlign w:val="center"/>
                </w:tcPr>
                <w:p w14:paraId="29FFB3A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7BB29A68">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680" w:type="pct"/>
                  <w:vAlign w:val="center"/>
                </w:tcPr>
                <w:p w14:paraId="0B24EA1E">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458" w:type="pct"/>
                  <w:vAlign w:val="center"/>
                </w:tcPr>
                <w:p w14:paraId="3A0653C5">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729" w:type="pct"/>
                  <w:vMerge w:val="continue"/>
                  <w:vAlign w:val="center"/>
                </w:tcPr>
                <w:p w14:paraId="5314B99D">
                  <w:pPr>
                    <w:jc w:val="center"/>
                    <w:rPr>
                      <w:bCs/>
                      <w:color w:val="000000" w:themeColor="text1"/>
                      <w:kern w:val="0"/>
                      <w:szCs w:val="21"/>
                      <w14:textFill>
                        <w14:solidFill>
                          <w14:schemeClr w14:val="tx1"/>
                        </w14:solidFill>
                      </w14:textFill>
                    </w:rPr>
                  </w:pPr>
                </w:p>
              </w:tc>
              <w:tc>
                <w:tcPr>
                  <w:tcW w:w="595" w:type="pct"/>
                  <w:vAlign w:val="center"/>
                </w:tcPr>
                <w:p w14:paraId="4AB1F17D">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900-003-S17</w:t>
                  </w:r>
                </w:p>
              </w:tc>
            </w:tr>
            <w:tr w14:paraId="2EFDF72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3AD3199F">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废石英砂</w:t>
                  </w:r>
                </w:p>
              </w:tc>
              <w:tc>
                <w:tcPr>
                  <w:tcW w:w="589" w:type="pct"/>
                  <w:vAlign w:val="center"/>
                </w:tcPr>
                <w:p w14:paraId="1F819E34">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336" w:type="pct"/>
                  <w:vAlign w:val="center"/>
                </w:tcPr>
                <w:p w14:paraId="5BDEEF16">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废石英砂</w:t>
                  </w:r>
                </w:p>
              </w:tc>
              <w:tc>
                <w:tcPr>
                  <w:tcW w:w="337" w:type="pct"/>
                  <w:shd w:val="clear" w:color="auto" w:fill="auto"/>
                  <w:vAlign w:val="center"/>
                </w:tcPr>
                <w:p w14:paraId="2AD736F2">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固态</w:t>
                  </w:r>
                </w:p>
              </w:tc>
              <w:tc>
                <w:tcPr>
                  <w:tcW w:w="422" w:type="pct"/>
                  <w:shd w:val="clear" w:color="auto" w:fill="auto"/>
                  <w:vAlign w:val="center"/>
                </w:tcPr>
                <w:p w14:paraId="7E51A31C">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7AF1B76A">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680" w:type="pct"/>
                  <w:vAlign w:val="center"/>
                </w:tcPr>
                <w:p w14:paraId="0B9F99C4">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458" w:type="pct"/>
                  <w:vAlign w:val="center"/>
                </w:tcPr>
                <w:p w14:paraId="533D6B25">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729" w:type="pct"/>
                  <w:vMerge w:val="continue"/>
                  <w:vAlign w:val="center"/>
                </w:tcPr>
                <w:p w14:paraId="5666D67B">
                  <w:pPr>
                    <w:jc w:val="center"/>
                    <w:rPr>
                      <w:bCs/>
                      <w:color w:val="000000" w:themeColor="text1"/>
                      <w:kern w:val="0"/>
                      <w:szCs w:val="21"/>
                      <w14:textFill>
                        <w14:solidFill>
                          <w14:schemeClr w14:val="tx1"/>
                        </w14:solidFill>
                      </w14:textFill>
                    </w:rPr>
                  </w:pPr>
                </w:p>
              </w:tc>
              <w:tc>
                <w:tcPr>
                  <w:tcW w:w="595" w:type="pct"/>
                  <w:vAlign w:val="center"/>
                </w:tcPr>
                <w:p w14:paraId="6156887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900-009-S59</w:t>
                  </w:r>
                </w:p>
              </w:tc>
            </w:tr>
            <w:tr w14:paraId="564A3C7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418BDCE6">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废滤芯</w:t>
                  </w:r>
                </w:p>
              </w:tc>
              <w:tc>
                <w:tcPr>
                  <w:tcW w:w="589" w:type="pct"/>
                  <w:vAlign w:val="center"/>
                </w:tcPr>
                <w:p w14:paraId="5400F91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336" w:type="pct"/>
                  <w:vAlign w:val="center"/>
                </w:tcPr>
                <w:p w14:paraId="64D95AC1">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废滤芯</w:t>
                  </w:r>
                </w:p>
              </w:tc>
              <w:tc>
                <w:tcPr>
                  <w:tcW w:w="337" w:type="pct"/>
                  <w:shd w:val="clear" w:color="auto" w:fill="auto"/>
                  <w:vAlign w:val="center"/>
                </w:tcPr>
                <w:p w14:paraId="6ED343DE">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固态</w:t>
                  </w:r>
                </w:p>
              </w:tc>
              <w:tc>
                <w:tcPr>
                  <w:tcW w:w="422" w:type="pct"/>
                  <w:shd w:val="clear" w:color="auto" w:fill="auto"/>
                  <w:vAlign w:val="center"/>
                </w:tcPr>
                <w:p w14:paraId="6B0A7FF9">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3317C586">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680" w:type="pct"/>
                  <w:vAlign w:val="center"/>
                </w:tcPr>
                <w:p w14:paraId="0CFB3718">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458" w:type="pct"/>
                  <w:vAlign w:val="center"/>
                </w:tcPr>
                <w:p w14:paraId="75C62627">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729" w:type="pct"/>
                  <w:vMerge w:val="continue"/>
                  <w:vAlign w:val="center"/>
                </w:tcPr>
                <w:p w14:paraId="266FB877">
                  <w:pPr>
                    <w:jc w:val="center"/>
                    <w:rPr>
                      <w:bCs/>
                      <w:color w:val="000000" w:themeColor="text1"/>
                      <w:kern w:val="0"/>
                      <w:szCs w:val="21"/>
                      <w14:textFill>
                        <w14:solidFill>
                          <w14:schemeClr w14:val="tx1"/>
                        </w14:solidFill>
                      </w14:textFill>
                    </w:rPr>
                  </w:pPr>
                </w:p>
              </w:tc>
              <w:tc>
                <w:tcPr>
                  <w:tcW w:w="595" w:type="pct"/>
                  <w:vAlign w:val="center"/>
                </w:tcPr>
                <w:p w14:paraId="363352F5">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900-009-S59</w:t>
                  </w:r>
                </w:p>
              </w:tc>
            </w:tr>
            <w:tr w14:paraId="0A361F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4B64B69F">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废活性炭</w:t>
                  </w:r>
                </w:p>
              </w:tc>
              <w:tc>
                <w:tcPr>
                  <w:tcW w:w="589" w:type="pct"/>
                  <w:vAlign w:val="center"/>
                </w:tcPr>
                <w:p w14:paraId="2C7E7D4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336" w:type="pct"/>
                  <w:vAlign w:val="center"/>
                </w:tcPr>
                <w:p w14:paraId="1FEA90AD">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废活性炭</w:t>
                  </w:r>
                </w:p>
              </w:tc>
              <w:tc>
                <w:tcPr>
                  <w:tcW w:w="337" w:type="pct"/>
                  <w:shd w:val="clear" w:color="auto" w:fill="auto"/>
                  <w:vAlign w:val="center"/>
                </w:tcPr>
                <w:p w14:paraId="40B92B6C">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固态</w:t>
                  </w:r>
                </w:p>
              </w:tc>
              <w:tc>
                <w:tcPr>
                  <w:tcW w:w="422" w:type="pct"/>
                  <w:shd w:val="clear" w:color="auto" w:fill="auto"/>
                  <w:vAlign w:val="center"/>
                </w:tcPr>
                <w:p w14:paraId="47B8533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1504807A">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680" w:type="pct"/>
                  <w:vAlign w:val="center"/>
                </w:tcPr>
                <w:p w14:paraId="73B65502">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458" w:type="pct"/>
                  <w:vAlign w:val="center"/>
                </w:tcPr>
                <w:p w14:paraId="26E9C566">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729" w:type="pct"/>
                  <w:vMerge w:val="continue"/>
                  <w:vAlign w:val="center"/>
                </w:tcPr>
                <w:p w14:paraId="00D81EC9">
                  <w:pPr>
                    <w:jc w:val="center"/>
                    <w:rPr>
                      <w:bCs/>
                      <w:color w:val="000000" w:themeColor="text1"/>
                      <w:kern w:val="0"/>
                      <w:szCs w:val="21"/>
                      <w14:textFill>
                        <w14:solidFill>
                          <w14:schemeClr w14:val="tx1"/>
                        </w14:solidFill>
                      </w14:textFill>
                    </w:rPr>
                  </w:pPr>
                </w:p>
              </w:tc>
              <w:tc>
                <w:tcPr>
                  <w:tcW w:w="595" w:type="pct"/>
                  <w:vAlign w:val="center"/>
                </w:tcPr>
                <w:p w14:paraId="6725532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900-008-S59</w:t>
                  </w:r>
                </w:p>
              </w:tc>
            </w:tr>
            <w:tr w14:paraId="791DFEF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13848C7E">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废反渗透膜</w:t>
                  </w:r>
                </w:p>
              </w:tc>
              <w:tc>
                <w:tcPr>
                  <w:tcW w:w="589" w:type="pct"/>
                  <w:vAlign w:val="center"/>
                </w:tcPr>
                <w:p w14:paraId="5596C9C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336" w:type="pct"/>
                  <w:vAlign w:val="center"/>
                </w:tcPr>
                <w:p w14:paraId="6BBE3C1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废反渗透膜</w:t>
                  </w:r>
                </w:p>
              </w:tc>
              <w:tc>
                <w:tcPr>
                  <w:tcW w:w="337" w:type="pct"/>
                  <w:shd w:val="clear" w:color="auto" w:fill="auto"/>
                  <w:vAlign w:val="center"/>
                </w:tcPr>
                <w:p w14:paraId="36D1A377">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固态</w:t>
                  </w:r>
                </w:p>
              </w:tc>
              <w:tc>
                <w:tcPr>
                  <w:tcW w:w="422" w:type="pct"/>
                  <w:shd w:val="clear" w:color="auto" w:fill="auto"/>
                  <w:vAlign w:val="center"/>
                </w:tcPr>
                <w:p w14:paraId="534D19EC">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71ACC1C7">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0.</w:t>
                  </w:r>
                  <w:r>
                    <w:rPr>
                      <w:rFonts w:hint="eastAsia"/>
                      <w:bCs/>
                      <w:color w:val="000000" w:themeColor="text1"/>
                      <w:kern w:val="0"/>
                      <w:szCs w:val="21"/>
                      <w14:textFill>
                        <w14:solidFill>
                          <w14:schemeClr w14:val="tx1"/>
                        </w14:solidFill>
                      </w14:textFill>
                    </w:rPr>
                    <w:t>2</w:t>
                  </w:r>
                </w:p>
              </w:tc>
              <w:tc>
                <w:tcPr>
                  <w:tcW w:w="680" w:type="pct"/>
                  <w:vAlign w:val="center"/>
                </w:tcPr>
                <w:p w14:paraId="189DCDEC">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458" w:type="pct"/>
                  <w:vAlign w:val="center"/>
                </w:tcPr>
                <w:p w14:paraId="5DB524F8">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0.</w:t>
                  </w:r>
                  <w:r>
                    <w:rPr>
                      <w:rFonts w:hint="eastAsia"/>
                      <w:bCs/>
                      <w:color w:val="000000" w:themeColor="text1"/>
                      <w:kern w:val="0"/>
                      <w:szCs w:val="21"/>
                      <w14:textFill>
                        <w14:solidFill>
                          <w14:schemeClr w14:val="tx1"/>
                        </w14:solidFill>
                      </w14:textFill>
                    </w:rPr>
                    <w:t>2</w:t>
                  </w:r>
                </w:p>
              </w:tc>
              <w:tc>
                <w:tcPr>
                  <w:tcW w:w="729" w:type="pct"/>
                  <w:vMerge w:val="continue"/>
                  <w:vAlign w:val="center"/>
                </w:tcPr>
                <w:p w14:paraId="4EC5E301">
                  <w:pPr>
                    <w:jc w:val="center"/>
                    <w:rPr>
                      <w:bCs/>
                      <w:color w:val="000000" w:themeColor="text1"/>
                      <w:kern w:val="0"/>
                      <w:szCs w:val="21"/>
                      <w14:textFill>
                        <w14:solidFill>
                          <w14:schemeClr w14:val="tx1"/>
                        </w14:solidFill>
                      </w14:textFill>
                    </w:rPr>
                  </w:pPr>
                </w:p>
              </w:tc>
              <w:tc>
                <w:tcPr>
                  <w:tcW w:w="595" w:type="pct"/>
                  <w:vAlign w:val="center"/>
                </w:tcPr>
                <w:p w14:paraId="72BF218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900-009-S59</w:t>
                  </w:r>
                </w:p>
              </w:tc>
            </w:tr>
            <w:tr w14:paraId="3C535B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26BF3A5E">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废硅藻土</w:t>
                  </w:r>
                </w:p>
              </w:tc>
              <w:tc>
                <w:tcPr>
                  <w:tcW w:w="589" w:type="pct"/>
                  <w:vAlign w:val="center"/>
                </w:tcPr>
                <w:p w14:paraId="300B905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过滤工序</w:t>
                  </w:r>
                </w:p>
              </w:tc>
              <w:tc>
                <w:tcPr>
                  <w:tcW w:w="336" w:type="pct"/>
                  <w:vAlign w:val="center"/>
                </w:tcPr>
                <w:p w14:paraId="03F191AE">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废硅藻土</w:t>
                  </w:r>
                </w:p>
              </w:tc>
              <w:tc>
                <w:tcPr>
                  <w:tcW w:w="337" w:type="pct"/>
                  <w:shd w:val="clear" w:color="auto" w:fill="auto"/>
                  <w:vAlign w:val="center"/>
                </w:tcPr>
                <w:p w14:paraId="6A01ECA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半</w:t>
                  </w:r>
                  <w:r>
                    <w:rPr>
                      <w:bCs/>
                      <w:color w:val="000000" w:themeColor="text1"/>
                      <w:kern w:val="0"/>
                      <w:szCs w:val="21"/>
                      <w14:textFill>
                        <w14:solidFill>
                          <w14:schemeClr w14:val="tx1"/>
                        </w14:solidFill>
                      </w14:textFill>
                    </w:rPr>
                    <w:t>固态</w:t>
                  </w:r>
                </w:p>
              </w:tc>
              <w:tc>
                <w:tcPr>
                  <w:tcW w:w="422" w:type="pct"/>
                  <w:shd w:val="clear" w:color="auto" w:fill="auto"/>
                  <w:vAlign w:val="center"/>
                </w:tcPr>
                <w:p w14:paraId="7CE36517">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56DC19A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0.349</w:t>
                  </w:r>
                </w:p>
              </w:tc>
              <w:tc>
                <w:tcPr>
                  <w:tcW w:w="680" w:type="pct"/>
                  <w:vAlign w:val="center"/>
                </w:tcPr>
                <w:p w14:paraId="57D77CDA">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458" w:type="pct"/>
                  <w:vAlign w:val="center"/>
                </w:tcPr>
                <w:p w14:paraId="36E5A117">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0.349</w:t>
                  </w:r>
                </w:p>
              </w:tc>
              <w:tc>
                <w:tcPr>
                  <w:tcW w:w="729" w:type="pct"/>
                  <w:vMerge w:val="continue"/>
                  <w:vAlign w:val="center"/>
                </w:tcPr>
                <w:p w14:paraId="514C7CC9">
                  <w:pPr>
                    <w:jc w:val="center"/>
                    <w:rPr>
                      <w:bCs/>
                      <w:color w:val="000000" w:themeColor="text1"/>
                      <w:kern w:val="0"/>
                      <w:szCs w:val="21"/>
                      <w14:textFill>
                        <w14:solidFill>
                          <w14:schemeClr w14:val="tx1"/>
                        </w14:solidFill>
                      </w14:textFill>
                    </w:rPr>
                  </w:pPr>
                </w:p>
              </w:tc>
              <w:tc>
                <w:tcPr>
                  <w:tcW w:w="595" w:type="pct"/>
                  <w:vAlign w:val="center"/>
                </w:tcPr>
                <w:p w14:paraId="08301424">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151-001-S13</w:t>
                  </w:r>
                </w:p>
              </w:tc>
            </w:tr>
            <w:tr w14:paraId="73CAB2E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2D302023">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废酒瓶</w:t>
                  </w:r>
                </w:p>
              </w:tc>
              <w:tc>
                <w:tcPr>
                  <w:tcW w:w="589" w:type="pct"/>
                  <w:vAlign w:val="center"/>
                </w:tcPr>
                <w:p w14:paraId="17CE618D">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灌装工序</w:t>
                  </w:r>
                </w:p>
              </w:tc>
              <w:tc>
                <w:tcPr>
                  <w:tcW w:w="336" w:type="pct"/>
                  <w:vAlign w:val="center"/>
                </w:tcPr>
                <w:p w14:paraId="4B29067D">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废酒瓶</w:t>
                  </w:r>
                </w:p>
              </w:tc>
              <w:tc>
                <w:tcPr>
                  <w:tcW w:w="337" w:type="pct"/>
                  <w:shd w:val="clear" w:color="auto" w:fill="auto"/>
                  <w:vAlign w:val="center"/>
                </w:tcPr>
                <w:p w14:paraId="085535E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固态</w:t>
                  </w:r>
                </w:p>
              </w:tc>
              <w:tc>
                <w:tcPr>
                  <w:tcW w:w="422" w:type="pct"/>
                  <w:shd w:val="clear" w:color="auto" w:fill="auto"/>
                  <w:vAlign w:val="center"/>
                </w:tcPr>
                <w:p w14:paraId="4B6E6AFD">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35177A2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0.7</w:t>
                  </w:r>
                </w:p>
              </w:tc>
              <w:tc>
                <w:tcPr>
                  <w:tcW w:w="680" w:type="pct"/>
                  <w:vAlign w:val="center"/>
                </w:tcPr>
                <w:p w14:paraId="7AC1EA3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458" w:type="pct"/>
                  <w:vAlign w:val="center"/>
                </w:tcPr>
                <w:p w14:paraId="3A2A680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0.7</w:t>
                  </w:r>
                </w:p>
              </w:tc>
              <w:tc>
                <w:tcPr>
                  <w:tcW w:w="729" w:type="pct"/>
                  <w:vMerge w:val="continue"/>
                  <w:vAlign w:val="center"/>
                </w:tcPr>
                <w:p w14:paraId="117ACFE3">
                  <w:pPr>
                    <w:jc w:val="center"/>
                    <w:rPr>
                      <w:bCs/>
                      <w:color w:val="000000" w:themeColor="text1"/>
                      <w:kern w:val="0"/>
                      <w:szCs w:val="21"/>
                      <w14:textFill>
                        <w14:solidFill>
                          <w14:schemeClr w14:val="tx1"/>
                        </w14:solidFill>
                      </w14:textFill>
                    </w:rPr>
                  </w:pPr>
                </w:p>
              </w:tc>
              <w:tc>
                <w:tcPr>
                  <w:tcW w:w="595" w:type="pct"/>
                  <w:vAlign w:val="center"/>
                </w:tcPr>
                <w:p w14:paraId="71BC8690">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900-004-S62</w:t>
                  </w:r>
                </w:p>
              </w:tc>
            </w:tr>
            <w:tr w14:paraId="797619A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348" w:type="pct"/>
                  <w:vAlign w:val="center"/>
                </w:tcPr>
                <w:p w14:paraId="288B2358">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污水处理站污泥</w:t>
                  </w:r>
                </w:p>
              </w:tc>
              <w:tc>
                <w:tcPr>
                  <w:tcW w:w="589" w:type="pct"/>
                  <w:vAlign w:val="center"/>
                </w:tcPr>
                <w:p w14:paraId="064A18A4">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生产废水治理设施</w:t>
                  </w:r>
                </w:p>
              </w:tc>
              <w:tc>
                <w:tcPr>
                  <w:tcW w:w="336" w:type="pct"/>
                  <w:vAlign w:val="center"/>
                </w:tcPr>
                <w:p w14:paraId="50C4B2C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污泥</w:t>
                  </w:r>
                </w:p>
              </w:tc>
              <w:tc>
                <w:tcPr>
                  <w:tcW w:w="337" w:type="pct"/>
                  <w:vAlign w:val="center"/>
                </w:tcPr>
                <w:p w14:paraId="0002081A">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半固态</w:t>
                  </w:r>
                </w:p>
              </w:tc>
              <w:tc>
                <w:tcPr>
                  <w:tcW w:w="422" w:type="pct"/>
                  <w:vAlign w:val="center"/>
                </w:tcPr>
                <w:p w14:paraId="3A61C5C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一般工业固废</w:t>
                  </w:r>
                </w:p>
              </w:tc>
              <w:tc>
                <w:tcPr>
                  <w:tcW w:w="501" w:type="pct"/>
                  <w:vAlign w:val="center"/>
                </w:tcPr>
                <w:p w14:paraId="7B0C98A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4.418</w:t>
                  </w:r>
                </w:p>
              </w:tc>
              <w:tc>
                <w:tcPr>
                  <w:tcW w:w="680" w:type="pct"/>
                  <w:vAlign w:val="center"/>
                </w:tcPr>
                <w:p w14:paraId="13AACFEE">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定期清掏交由环卫部门处理</w:t>
                  </w:r>
                </w:p>
              </w:tc>
              <w:tc>
                <w:tcPr>
                  <w:tcW w:w="458" w:type="pct"/>
                  <w:vAlign w:val="center"/>
                </w:tcPr>
                <w:p w14:paraId="19E0CA7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4.418</w:t>
                  </w:r>
                </w:p>
              </w:tc>
              <w:tc>
                <w:tcPr>
                  <w:tcW w:w="729" w:type="pct"/>
                  <w:vMerge w:val="continue"/>
                  <w:vAlign w:val="center"/>
                </w:tcPr>
                <w:p w14:paraId="1A3EDB67">
                  <w:pPr>
                    <w:jc w:val="center"/>
                    <w:rPr>
                      <w:bCs/>
                      <w:color w:val="000000" w:themeColor="text1"/>
                      <w:kern w:val="0"/>
                      <w:szCs w:val="21"/>
                      <w14:textFill>
                        <w14:solidFill>
                          <w14:schemeClr w14:val="tx1"/>
                        </w14:solidFill>
                      </w14:textFill>
                    </w:rPr>
                  </w:pPr>
                </w:p>
              </w:tc>
              <w:tc>
                <w:tcPr>
                  <w:tcW w:w="595" w:type="pct"/>
                  <w:vAlign w:val="center"/>
                </w:tcPr>
                <w:p w14:paraId="0F020FC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150-001-S07</w:t>
                  </w:r>
                </w:p>
              </w:tc>
            </w:tr>
          </w:tbl>
          <w:p w14:paraId="39FEFB5D">
            <w:pPr>
              <w:rPr>
                <w:color w:val="000000" w:themeColor="text1"/>
                <w:szCs w:val="21"/>
                <w14:textFill>
                  <w14:solidFill>
                    <w14:schemeClr w14:val="tx1"/>
                  </w14:solidFill>
                </w14:textFill>
              </w:rPr>
            </w:pPr>
          </w:p>
        </w:tc>
      </w:tr>
    </w:tbl>
    <w:p w14:paraId="2A6EC205">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67"/>
        <w:gridCol w:w="9389"/>
      </w:tblGrid>
      <w:tr w14:paraId="64CF2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87" w:type="pct"/>
          </w:tcPr>
          <w:p w14:paraId="44921863">
            <w:pPr>
              <w:rPr>
                <w:color w:val="000000" w:themeColor="text1"/>
                <w14:textFill>
                  <w14:solidFill>
                    <w14:schemeClr w14:val="tx1"/>
                  </w14:solidFill>
                </w14:textFill>
              </w:rPr>
            </w:pPr>
          </w:p>
        </w:tc>
        <w:tc>
          <w:tcPr>
            <w:tcW w:w="4712" w:type="pct"/>
          </w:tcPr>
          <w:p w14:paraId="7B2476E5">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4.1.2危险废物</w:t>
            </w:r>
          </w:p>
          <w:p w14:paraId="25B2F99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（1）废润滑油及废润滑油桶</w:t>
            </w:r>
          </w:p>
          <w:p w14:paraId="037AA010">
            <w:pPr>
              <w:tabs>
                <w:tab w:val="left" w:pos="0"/>
              </w:tabs>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项目营运期设备运转以润滑油作为润滑剂，设备维护过程会产生废润滑油，废润滑油产生量约0.</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t/a；润滑油使用过程会产生废润滑油桶，润滑油年用量为</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t/a，包装规格50kg/桶，则废润滑油桶产生量为</w:t>
            </w:r>
            <w:r>
              <w:rPr>
                <w:rFonts w:hint="eastAsia"/>
                <w:color w:val="000000" w:themeColor="text1"/>
                <w:sz w:val="24"/>
                <w14:textFill>
                  <w14:solidFill>
                    <w14:schemeClr w14:val="tx1"/>
                  </w14:solidFill>
                </w14:textFill>
              </w:rPr>
              <w:t>10</w:t>
            </w:r>
            <w:r>
              <w:rPr>
                <w:color w:val="000000" w:themeColor="text1"/>
                <w:sz w:val="24"/>
                <w14:textFill>
                  <w14:solidFill>
                    <w14:schemeClr w14:val="tx1"/>
                  </w14:solidFill>
                </w14:textFill>
              </w:rPr>
              <w:t>0个/a，每个按1kg计，约0.</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t/a。经对比《国家危险废物名录》（202</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年本），经对比《国家危险废物名录》（202</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年本），废润滑油属于危险废物</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HW08废矿物油与含矿物油废物</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中</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900-217-08使用工业齿轮油进行机械设备润滑过程中产生的废润滑油</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；废润滑油桶属于危险废物</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HW08废矿物油与含矿物油废物</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中</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900-249-08其他生产、销售、使用过程中产生的废矿物油及沾染矿物油的废弃包装物</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，分类集中收集于危废暂存间（面积</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0m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，采取</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六防</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措施），定期交由有危废处理资质单位进行处置。</w:t>
            </w:r>
          </w:p>
          <w:p w14:paraId="4119AA0D">
            <w:pPr>
              <w:tabs>
                <w:tab w:val="left" w:pos="0"/>
              </w:tabs>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（2）废活性炭</w:t>
            </w:r>
          </w:p>
          <w:p w14:paraId="5A95C63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本项目有机废气采用“二级活性炭吸附装置”处理，</w:t>
            </w:r>
            <w:r>
              <w:rPr>
                <w:rFonts w:hint="eastAsia"/>
                <w:color w:val="000000" w:themeColor="text1"/>
                <w:sz w:val="24"/>
                <w14:textFill>
                  <w14:solidFill>
                    <w14:schemeClr w14:val="tx1"/>
                  </w14:solidFill>
                </w14:textFill>
              </w:rPr>
              <w:t>污水处理站恶臭废气采用UV光氧+活性炭吸附装置进行处理，</w:t>
            </w:r>
            <w:r>
              <w:rPr>
                <w:color w:val="000000" w:themeColor="text1"/>
                <w:sz w:val="24"/>
                <w14:textFill>
                  <w14:solidFill>
                    <w14:schemeClr w14:val="tx1"/>
                  </w14:solidFill>
                </w14:textFill>
              </w:rPr>
              <w:t>处理过程中要定期更换活性炭。根据《简明通风设计手册》中介绍，活性炭的比重为0.45g/cm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；参照《河南省重污染天气重点行业应急减排措施制定技术指南（2024年修订版）》表6-1 塑料制品企业绩效分级指标中“采用颗粒状活性炭的，柱状活性炭直径≤5mm、碘值≥800mg/g，且填充量与每小时处理废气量体积之比满足1：7000的要求；使用蜂窝状活性炭的，碘值≥650mg/g、比表面积应不低于750m²/g，且填充量与每小时处理废气量体积之比满足1：5000的要求</w:t>
            </w:r>
            <w:r>
              <w:rPr>
                <w:rFonts w:hint="eastAsia"/>
                <w:color w:val="000000" w:themeColor="text1"/>
                <w:sz w:val="24"/>
                <w14:textFill>
                  <w14:solidFill>
                    <w14:schemeClr w14:val="tx1"/>
                  </w14:solidFill>
                </w14:textFill>
              </w:rPr>
              <w:t>”，本项目使用的活性炭为蜂窝状活性炭，且活性炭的碘值</w:t>
            </w:r>
            <w:r>
              <w:rPr>
                <w:color w:val="000000" w:themeColor="text1"/>
                <w:sz w:val="24"/>
                <w14:textFill>
                  <w14:solidFill>
                    <w14:schemeClr w14:val="tx1"/>
                  </w14:solidFill>
                </w14:textFill>
              </w:rPr>
              <w:t>≥650mg/g、比表面积应不低于750m²/g</w:t>
            </w:r>
            <w:r>
              <w:rPr>
                <w:rFonts w:hint="eastAsia"/>
                <w:color w:val="000000" w:themeColor="text1"/>
                <w:sz w:val="24"/>
                <w14:textFill>
                  <w14:solidFill>
                    <w14:schemeClr w14:val="tx1"/>
                  </w14:solidFill>
                </w14:textFill>
              </w:rPr>
              <w:t>。</w:t>
            </w:r>
          </w:p>
          <w:p w14:paraId="63170B84">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根据工程分析，非甲烷总烃去除总量0.009t/a；氨气去除量为0.0046t/a，硫化氢去除量为0.00018t/a；本项目废气处理设施总风量为2000m</w:t>
            </w:r>
            <w:r>
              <w:rPr>
                <w:rFonts w:hint="eastAsia"/>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/h，则</w:t>
            </w:r>
            <w:r>
              <w:rPr>
                <w:color w:val="000000" w:themeColor="text1"/>
                <w:sz w:val="24"/>
                <w14:textFill>
                  <w14:solidFill>
                    <w14:schemeClr w14:val="tx1"/>
                  </w14:solidFill>
                </w14:textFill>
              </w:rPr>
              <w:t>活性炭填充量至少为</w:t>
            </w:r>
            <w:r>
              <w:rPr>
                <w:rFonts w:hint="eastAsia"/>
                <w:color w:val="000000" w:themeColor="text1"/>
                <w:sz w:val="24"/>
                <w14:textFill>
                  <w14:solidFill>
                    <w14:schemeClr w14:val="tx1"/>
                  </w14:solidFill>
                </w14:textFill>
              </w:rPr>
              <w:t>0.4</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。另根据规定，活性炭更换周期不超过三个月，则本项目活性炭使用量为</w:t>
            </w:r>
            <w:r>
              <w:rPr>
                <w:rFonts w:hint="eastAsia"/>
                <w:color w:val="000000" w:themeColor="text1"/>
                <w:sz w:val="24"/>
                <w14:textFill>
                  <w14:solidFill>
                    <w14:schemeClr w14:val="tx1"/>
                  </w14:solidFill>
                </w14:textFill>
              </w:rPr>
              <w:t>0.18</w:t>
            </w:r>
            <w:r>
              <w:rPr>
                <w:color w:val="000000" w:themeColor="text1"/>
                <w:sz w:val="24"/>
                <w14:textFill>
                  <w14:solidFill>
                    <w14:schemeClr w14:val="tx1"/>
                  </w14:solidFill>
                </w14:textFill>
              </w:rPr>
              <w:t>t/a。废活性炭是被吸附有机气体的量和活性炭本身的用量之和，本项目净化系统活性炭捕集的有机废气量约为</w:t>
            </w:r>
            <w:r>
              <w:rPr>
                <w:rFonts w:hint="eastAsia"/>
                <w:color w:val="000000" w:themeColor="text1"/>
                <w:sz w:val="24"/>
                <w14:textFill>
                  <w14:solidFill>
                    <w14:schemeClr w14:val="tx1"/>
                  </w14:solidFill>
                </w14:textFill>
              </w:rPr>
              <w:t>0.009</w:t>
            </w:r>
            <w:r>
              <w:rPr>
                <w:color w:val="000000" w:themeColor="text1"/>
                <w:sz w:val="24"/>
                <w14:textFill>
                  <w14:solidFill>
                    <w14:schemeClr w14:val="tx1"/>
                  </w14:solidFill>
                </w14:textFill>
              </w:rPr>
              <w:t>t/a，</w:t>
            </w:r>
            <w:r>
              <w:rPr>
                <w:rFonts w:hint="eastAsia"/>
                <w:color w:val="000000" w:themeColor="text1"/>
                <w:sz w:val="24"/>
                <w14:textFill>
                  <w14:solidFill>
                    <w14:schemeClr w14:val="tx1"/>
                  </w14:solidFill>
                </w14:textFill>
              </w:rPr>
              <w:t>氨气量为0.0046t/a，硫化氢量为0.00018t/a；</w:t>
            </w:r>
            <w:r>
              <w:rPr>
                <w:color w:val="000000" w:themeColor="text1"/>
                <w:sz w:val="24"/>
                <w14:textFill>
                  <w14:solidFill>
                    <w14:schemeClr w14:val="tx1"/>
                  </w14:solidFill>
                </w14:textFill>
              </w:rPr>
              <w:t>则本项目废活性炭产生量为</w:t>
            </w:r>
            <w:r>
              <w:rPr>
                <w:rFonts w:hint="eastAsia"/>
                <w:color w:val="000000" w:themeColor="text1"/>
                <w:sz w:val="24"/>
                <w14:textFill>
                  <w14:solidFill>
                    <w14:schemeClr w14:val="tx1"/>
                  </w14:solidFill>
                </w14:textFill>
              </w:rPr>
              <w:t>0.19378</w:t>
            </w:r>
            <w:r>
              <w:rPr>
                <w:color w:val="000000" w:themeColor="text1"/>
                <w:sz w:val="24"/>
                <w14:textFill>
                  <w14:solidFill>
                    <w14:schemeClr w14:val="tx1"/>
                  </w14:solidFill>
                </w14:textFill>
              </w:rPr>
              <w:t>t/a。</w:t>
            </w:r>
          </w:p>
          <w:p w14:paraId="3AFEEEDD">
            <w:pPr>
              <w:widowControl/>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根据《国家危险废物名录》（202</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年版），废活性炭属于危险废物（危废类别HW49，危废代码900-039-49），废活性炭收集后暂存于危废暂存间（面积</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0m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，六防措施），定期交给有资质的单位处理；由于活性炭到后期效率降低，在活性炭吸附饱和前要提前进行更换，每次更换要做好台账记录，方便查询。</w:t>
            </w:r>
          </w:p>
          <w:p w14:paraId="194AF579">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（3）废包装材料</w:t>
            </w:r>
          </w:p>
          <w:p w14:paraId="1B57E0F8">
            <w:pPr>
              <w:widowControl/>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本项目</w:t>
            </w:r>
            <w:r>
              <w:rPr>
                <w:color w:val="000000" w:themeColor="text1"/>
                <w:sz w:val="24"/>
                <w14:textFill>
                  <w14:solidFill>
                    <w14:schemeClr w14:val="tx1"/>
                  </w14:solidFill>
                </w14:textFill>
              </w:rPr>
              <w:t>废弃化学品（氢氧化钠</w:t>
            </w:r>
            <w:r>
              <w:rPr>
                <w:rFonts w:hint="eastAsia"/>
                <w:color w:val="000000" w:themeColor="text1"/>
                <w:sz w:val="24"/>
                <w14:textFill>
                  <w14:solidFill>
                    <w14:schemeClr w14:val="tx1"/>
                  </w14:solidFill>
                </w14:textFill>
              </w:rPr>
              <w:t>、硝酸</w:t>
            </w:r>
            <w:r>
              <w:rPr>
                <w:color w:val="000000" w:themeColor="text1"/>
                <w:sz w:val="24"/>
                <w14:textFill>
                  <w14:solidFill>
                    <w14:schemeClr w14:val="tx1"/>
                  </w14:solidFill>
                </w14:textFill>
              </w:rPr>
              <w:t>）包装材料，产生量约为0.05t/a。按照《国家危险废物名录》（202</w:t>
            </w:r>
            <w:r>
              <w:rPr>
                <w:rFonts w:hint="eastAsia"/>
                <w:color w:val="000000" w:themeColor="text1"/>
                <w:sz w:val="24"/>
                <w14:textFill>
                  <w14:solidFill>
                    <w14:schemeClr w14:val="tx1"/>
                  </w14:solidFill>
                </w14:textFill>
              </w:rPr>
              <w:t>5</w:t>
            </w:r>
            <w:r>
              <w:rPr>
                <w:color w:val="000000" w:themeColor="text1"/>
                <w:sz w:val="24"/>
                <w14:textFill>
                  <w14:solidFill>
                    <w14:schemeClr w14:val="tx1"/>
                  </w14:solidFill>
                </w14:textFill>
              </w:rPr>
              <w:t>年版），废化学品包装材料属于危险废物，其危险废物类别为HW49其他废物，废物代码为900-041-49，分类集中收集于危废暂存间（面积10m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，采取“六防”措施），定期交由有危废处理资质单位进行处置。</w:t>
            </w:r>
          </w:p>
          <w:p w14:paraId="26B39F9C">
            <w:pPr>
              <w:widowControl/>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23  </w:t>
            </w:r>
            <w:r>
              <w:rPr>
                <w:b/>
                <w:bCs/>
                <w:color w:val="000000" w:themeColor="text1"/>
                <w:sz w:val="24"/>
                <w14:textFill>
                  <w14:solidFill>
                    <w14:schemeClr w14:val="tx1"/>
                  </w14:solidFill>
                </w14:textFill>
              </w:rPr>
              <w:t>项目危险废物产生及处置情况一览表</w:t>
            </w:r>
          </w:p>
          <w:tbl>
            <w:tblPr>
              <w:tblStyle w:val="25"/>
              <w:tblW w:w="4994"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525"/>
              <w:gridCol w:w="1121"/>
              <w:gridCol w:w="872"/>
              <w:gridCol w:w="1265"/>
              <w:gridCol w:w="786"/>
              <w:gridCol w:w="608"/>
              <w:gridCol w:w="520"/>
              <w:gridCol w:w="507"/>
              <w:gridCol w:w="507"/>
              <w:gridCol w:w="773"/>
              <w:gridCol w:w="634"/>
              <w:gridCol w:w="1029"/>
            </w:tblGrid>
            <w:tr w14:paraId="5759B56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7" w:type="pct"/>
                  <w:vAlign w:val="center"/>
                </w:tcPr>
                <w:p w14:paraId="23580E73">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序号</w:t>
                  </w:r>
                </w:p>
              </w:tc>
              <w:tc>
                <w:tcPr>
                  <w:tcW w:w="612" w:type="pct"/>
                  <w:vAlign w:val="center"/>
                </w:tcPr>
                <w:p w14:paraId="734320C3">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危险废物名称</w:t>
                  </w:r>
                </w:p>
              </w:tc>
              <w:tc>
                <w:tcPr>
                  <w:tcW w:w="476" w:type="pct"/>
                  <w:vAlign w:val="center"/>
                </w:tcPr>
                <w:p w14:paraId="0DAF23AD">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危险废物类别</w:t>
                  </w:r>
                </w:p>
              </w:tc>
              <w:tc>
                <w:tcPr>
                  <w:tcW w:w="691" w:type="pct"/>
                  <w:vAlign w:val="center"/>
                </w:tcPr>
                <w:p w14:paraId="65B2EE2E">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危险废物</w:t>
                  </w:r>
                </w:p>
                <w:p w14:paraId="7FAE9E6D">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代码</w:t>
                  </w:r>
                </w:p>
              </w:tc>
              <w:tc>
                <w:tcPr>
                  <w:tcW w:w="429" w:type="pct"/>
                  <w:vAlign w:val="center"/>
                </w:tcPr>
                <w:p w14:paraId="62C8C6DC">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产生量（t/a）</w:t>
                  </w:r>
                </w:p>
              </w:tc>
              <w:tc>
                <w:tcPr>
                  <w:tcW w:w="332" w:type="pct"/>
                  <w:vAlign w:val="center"/>
                </w:tcPr>
                <w:p w14:paraId="0D2F8F81">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产生环节</w:t>
                  </w:r>
                </w:p>
              </w:tc>
              <w:tc>
                <w:tcPr>
                  <w:tcW w:w="284" w:type="pct"/>
                  <w:vAlign w:val="center"/>
                </w:tcPr>
                <w:p w14:paraId="7F7C6074">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形态</w:t>
                  </w:r>
                </w:p>
              </w:tc>
              <w:tc>
                <w:tcPr>
                  <w:tcW w:w="277" w:type="pct"/>
                  <w:vAlign w:val="center"/>
                </w:tcPr>
                <w:p w14:paraId="0830ED0C">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主要成分</w:t>
                  </w:r>
                </w:p>
              </w:tc>
              <w:tc>
                <w:tcPr>
                  <w:tcW w:w="277" w:type="pct"/>
                  <w:vAlign w:val="center"/>
                </w:tcPr>
                <w:p w14:paraId="4991DDEF">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有害成分</w:t>
                  </w:r>
                </w:p>
              </w:tc>
              <w:tc>
                <w:tcPr>
                  <w:tcW w:w="422" w:type="pct"/>
                  <w:vAlign w:val="center"/>
                </w:tcPr>
                <w:p w14:paraId="7E5C3DA3">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产废</w:t>
                  </w:r>
                </w:p>
                <w:p w14:paraId="24849140">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周期</w:t>
                  </w:r>
                </w:p>
              </w:tc>
              <w:tc>
                <w:tcPr>
                  <w:tcW w:w="346" w:type="pct"/>
                  <w:vAlign w:val="center"/>
                </w:tcPr>
                <w:p w14:paraId="2706AE7C">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危险特性</w:t>
                  </w:r>
                </w:p>
              </w:tc>
              <w:tc>
                <w:tcPr>
                  <w:tcW w:w="562" w:type="pct"/>
                  <w:vAlign w:val="center"/>
                </w:tcPr>
                <w:p w14:paraId="6C3958C8">
                  <w:pPr>
                    <w:pStyle w:val="51"/>
                    <w:snapToGrid w:val="0"/>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污染防治措施</w:t>
                  </w:r>
                </w:p>
              </w:tc>
            </w:tr>
            <w:tr w14:paraId="35F594D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7" w:type="pct"/>
                  <w:vAlign w:val="center"/>
                </w:tcPr>
                <w:p w14:paraId="0CACFD5F">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1</w:t>
                  </w:r>
                </w:p>
              </w:tc>
              <w:tc>
                <w:tcPr>
                  <w:tcW w:w="612" w:type="pct"/>
                  <w:vAlign w:val="center"/>
                </w:tcPr>
                <w:p w14:paraId="63C8CB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废润滑油</w:t>
                  </w:r>
                </w:p>
              </w:tc>
              <w:tc>
                <w:tcPr>
                  <w:tcW w:w="476" w:type="pct"/>
                  <w:vAlign w:val="center"/>
                </w:tcPr>
                <w:p w14:paraId="1BAD78D9">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HW08</w:t>
                  </w:r>
                </w:p>
              </w:tc>
              <w:tc>
                <w:tcPr>
                  <w:tcW w:w="691" w:type="pct"/>
                  <w:vAlign w:val="center"/>
                </w:tcPr>
                <w:p w14:paraId="7EF596E3">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900-217-08</w:t>
                  </w:r>
                </w:p>
              </w:tc>
              <w:tc>
                <w:tcPr>
                  <w:tcW w:w="429" w:type="pct"/>
                  <w:vAlign w:val="center"/>
                </w:tcPr>
                <w:p w14:paraId="4EE82809">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w:t>
                  </w:r>
                  <w:r>
                    <w:rPr>
                      <w:rFonts w:hint="eastAsia" w:ascii="Times New Roman" w:hAnsi="Times New Roman"/>
                      <w:color w:val="000000" w:themeColor="text1"/>
                      <w:sz w:val="21"/>
                      <w:szCs w:val="21"/>
                      <w14:textFill>
                        <w14:solidFill>
                          <w14:schemeClr w14:val="tx1"/>
                        </w14:solidFill>
                      </w14:textFill>
                    </w:rPr>
                    <w:t>5</w:t>
                  </w:r>
                </w:p>
              </w:tc>
              <w:tc>
                <w:tcPr>
                  <w:tcW w:w="332" w:type="pct"/>
                  <w:vMerge w:val="restart"/>
                  <w:vAlign w:val="center"/>
                </w:tcPr>
                <w:p w14:paraId="7643E8AC">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设备维护</w:t>
                  </w:r>
                </w:p>
              </w:tc>
              <w:tc>
                <w:tcPr>
                  <w:tcW w:w="284" w:type="pct"/>
                  <w:vAlign w:val="center"/>
                </w:tcPr>
                <w:p w14:paraId="3F423C71">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液态</w:t>
                  </w:r>
                </w:p>
              </w:tc>
              <w:tc>
                <w:tcPr>
                  <w:tcW w:w="277" w:type="pct"/>
                  <w:vAlign w:val="center"/>
                </w:tcPr>
                <w:p w14:paraId="343F1AC8">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矿物油</w:t>
                  </w:r>
                </w:p>
              </w:tc>
              <w:tc>
                <w:tcPr>
                  <w:tcW w:w="277" w:type="pct"/>
                  <w:vAlign w:val="center"/>
                </w:tcPr>
                <w:p w14:paraId="50D47888">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矿物油</w:t>
                  </w:r>
                </w:p>
              </w:tc>
              <w:tc>
                <w:tcPr>
                  <w:tcW w:w="422" w:type="pct"/>
                  <w:vAlign w:val="center"/>
                </w:tcPr>
                <w:p w14:paraId="548C874F">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每</w:t>
                  </w:r>
                  <w:r>
                    <w:rPr>
                      <w:rFonts w:hint="eastAsia"/>
                      <w:color w:val="000000" w:themeColor="text1"/>
                      <w:szCs w:val="21"/>
                      <w14:textFill>
                        <w14:solidFill>
                          <w14:schemeClr w14:val="tx1"/>
                        </w14:solidFill>
                      </w14:textFill>
                    </w:rPr>
                    <w:t>年</w:t>
                  </w:r>
                </w:p>
              </w:tc>
              <w:tc>
                <w:tcPr>
                  <w:tcW w:w="346" w:type="pct"/>
                  <w:vAlign w:val="center"/>
                </w:tcPr>
                <w:p w14:paraId="5BC02BFE">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 xml:space="preserve">T，I </w:t>
                  </w:r>
                </w:p>
              </w:tc>
              <w:tc>
                <w:tcPr>
                  <w:tcW w:w="562" w:type="pct"/>
                  <w:vMerge w:val="restart"/>
                  <w:vAlign w:val="center"/>
                </w:tcPr>
                <w:p w14:paraId="5CDE574F">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分类集中收集于危废暂存间（面积10m</w:t>
                  </w:r>
                  <w:r>
                    <w:rPr>
                      <w:rFonts w:ascii="Times New Roman" w:hAnsi="Times New Roman"/>
                      <w:color w:val="000000" w:themeColor="text1"/>
                      <w:sz w:val="21"/>
                      <w:szCs w:val="21"/>
                      <w:vertAlign w:val="superscript"/>
                      <w14:textFill>
                        <w14:solidFill>
                          <w14:schemeClr w14:val="tx1"/>
                        </w14:solidFill>
                      </w14:textFill>
                    </w:rPr>
                    <w:t>2</w:t>
                  </w:r>
                  <w:r>
                    <w:rPr>
                      <w:rFonts w:ascii="Times New Roman" w:hAnsi="Times New Roman"/>
                      <w:color w:val="000000" w:themeColor="text1"/>
                      <w:sz w:val="21"/>
                      <w:szCs w:val="21"/>
                      <w14:textFill>
                        <w14:solidFill>
                          <w14:schemeClr w14:val="tx1"/>
                        </w14:solidFill>
                      </w14:textFill>
                    </w:rPr>
                    <w:t>，采取“六防”措施），定期交由有危废处理资质单位进行处置。</w:t>
                  </w:r>
                </w:p>
                <w:p w14:paraId="6EA627C5">
                  <w:pPr>
                    <w:pStyle w:val="51"/>
                    <w:snapToGrid w:val="0"/>
                    <w:rPr>
                      <w:rFonts w:ascii="Times New Roman" w:hAnsi="Times New Roman"/>
                      <w:color w:val="000000" w:themeColor="text1"/>
                      <w:sz w:val="21"/>
                      <w:szCs w:val="21"/>
                      <w14:textFill>
                        <w14:solidFill>
                          <w14:schemeClr w14:val="tx1"/>
                        </w14:solidFill>
                      </w14:textFill>
                    </w:rPr>
                  </w:pPr>
                </w:p>
              </w:tc>
            </w:tr>
            <w:tr w14:paraId="61E03B9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7" w:type="pct"/>
                  <w:vAlign w:val="center"/>
                </w:tcPr>
                <w:p w14:paraId="2E84EC57">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2</w:t>
                  </w:r>
                </w:p>
              </w:tc>
              <w:tc>
                <w:tcPr>
                  <w:tcW w:w="612" w:type="pct"/>
                  <w:vAlign w:val="center"/>
                </w:tcPr>
                <w:p w14:paraId="4C5DAF4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废润滑油桶</w:t>
                  </w:r>
                </w:p>
              </w:tc>
              <w:tc>
                <w:tcPr>
                  <w:tcW w:w="476" w:type="pct"/>
                  <w:vAlign w:val="center"/>
                </w:tcPr>
                <w:p w14:paraId="0CAFF93A">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HW</w:t>
                  </w:r>
                  <w:r>
                    <w:rPr>
                      <w:rFonts w:hint="eastAsia" w:ascii="Times New Roman" w:hAnsi="Times New Roman"/>
                      <w:color w:val="000000" w:themeColor="text1"/>
                      <w:sz w:val="21"/>
                      <w:szCs w:val="21"/>
                      <w14:textFill>
                        <w14:solidFill>
                          <w14:schemeClr w14:val="tx1"/>
                        </w14:solidFill>
                      </w14:textFill>
                    </w:rPr>
                    <w:t>08</w:t>
                  </w:r>
                </w:p>
              </w:tc>
              <w:tc>
                <w:tcPr>
                  <w:tcW w:w="691" w:type="pct"/>
                  <w:vAlign w:val="center"/>
                </w:tcPr>
                <w:p w14:paraId="1B3267F5">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900-249-08</w:t>
                  </w:r>
                </w:p>
              </w:tc>
              <w:tc>
                <w:tcPr>
                  <w:tcW w:w="429" w:type="pct"/>
                  <w:vAlign w:val="center"/>
                </w:tcPr>
                <w:p w14:paraId="436E5F0D">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w:t>
                  </w:r>
                  <w:r>
                    <w:rPr>
                      <w:rFonts w:hint="eastAsia" w:ascii="Times New Roman" w:hAnsi="Times New Roman"/>
                      <w:color w:val="000000" w:themeColor="text1"/>
                      <w:sz w:val="21"/>
                      <w:szCs w:val="21"/>
                      <w14:textFill>
                        <w14:solidFill>
                          <w14:schemeClr w14:val="tx1"/>
                        </w14:solidFill>
                      </w14:textFill>
                    </w:rPr>
                    <w:t>1</w:t>
                  </w:r>
                </w:p>
              </w:tc>
              <w:tc>
                <w:tcPr>
                  <w:tcW w:w="332" w:type="pct"/>
                  <w:vMerge w:val="continue"/>
                  <w:vAlign w:val="center"/>
                </w:tcPr>
                <w:p w14:paraId="32569395">
                  <w:pPr>
                    <w:pStyle w:val="51"/>
                    <w:snapToGrid w:val="0"/>
                    <w:rPr>
                      <w:rFonts w:ascii="Times New Roman" w:hAnsi="Times New Roman"/>
                      <w:color w:val="000000" w:themeColor="text1"/>
                      <w:sz w:val="21"/>
                      <w:szCs w:val="21"/>
                      <w14:textFill>
                        <w14:solidFill>
                          <w14:schemeClr w14:val="tx1"/>
                        </w14:solidFill>
                      </w14:textFill>
                    </w:rPr>
                  </w:pPr>
                </w:p>
              </w:tc>
              <w:tc>
                <w:tcPr>
                  <w:tcW w:w="284" w:type="pct"/>
                  <w:vAlign w:val="center"/>
                </w:tcPr>
                <w:p w14:paraId="16F8F605">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固体</w:t>
                  </w:r>
                </w:p>
              </w:tc>
              <w:tc>
                <w:tcPr>
                  <w:tcW w:w="277" w:type="pct"/>
                  <w:vAlign w:val="center"/>
                </w:tcPr>
                <w:p w14:paraId="410BE3B9">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有机物</w:t>
                  </w:r>
                </w:p>
              </w:tc>
              <w:tc>
                <w:tcPr>
                  <w:tcW w:w="277" w:type="pct"/>
                  <w:vAlign w:val="center"/>
                </w:tcPr>
                <w:p w14:paraId="194CE74B">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有机物</w:t>
                  </w:r>
                </w:p>
              </w:tc>
              <w:tc>
                <w:tcPr>
                  <w:tcW w:w="422" w:type="pct"/>
                  <w:vAlign w:val="center"/>
                </w:tcPr>
                <w:p w14:paraId="15AA8BF4">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每</w:t>
                  </w:r>
                  <w:r>
                    <w:rPr>
                      <w:rFonts w:hint="eastAsia"/>
                      <w:color w:val="000000" w:themeColor="text1"/>
                      <w:szCs w:val="21"/>
                      <w14:textFill>
                        <w14:solidFill>
                          <w14:schemeClr w14:val="tx1"/>
                        </w14:solidFill>
                      </w14:textFill>
                    </w:rPr>
                    <w:t>年</w:t>
                  </w:r>
                </w:p>
              </w:tc>
              <w:tc>
                <w:tcPr>
                  <w:tcW w:w="346" w:type="pct"/>
                  <w:vAlign w:val="center"/>
                </w:tcPr>
                <w:p w14:paraId="29E109F0">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w:t>
                  </w:r>
                  <w:r>
                    <w:rPr>
                      <w:rFonts w:hint="eastAsia" w:ascii="Times New Roman" w:hAnsi="Times New Roman"/>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I</w:t>
                  </w:r>
                </w:p>
              </w:tc>
              <w:tc>
                <w:tcPr>
                  <w:tcW w:w="562" w:type="pct"/>
                  <w:vMerge w:val="continue"/>
                  <w:vAlign w:val="center"/>
                </w:tcPr>
                <w:p w14:paraId="2BC3F7B2">
                  <w:pPr>
                    <w:pStyle w:val="51"/>
                    <w:snapToGrid w:val="0"/>
                    <w:rPr>
                      <w:rFonts w:ascii="Times New Roman" w:hAnsi="Times New Roman"/>
                      <w:color w:val="000000" w:themeColor="text1"/>
                      <w:sz w:val="21"/>
                      <w:szCs w:val="21"/>
                      <w14:textFill>
                        <w14:solidFill>
                          <w14:schemeClr w14:val="tx1"/>
                        </w14:solidFill>
                      </w14:textFill>
                    </w:rPr>
                  </w:pPr>
                </w:p>
              </w:tc>
            </w:tr>
            <w:tr w14:paraId="62CC963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7" w:type="pct"/>
                  <w:vAlign w:val="center"/>
                </w:tcPr>
                <w:p w14:paraId="6A17D3AF">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3</w:t>
                  </w:r>
                </w:p>
              </w:tc>
              <w:tc>
                <w:tcPr>
                  <w:tcW w:w="612" w:type="pct"/>
                  <w:shd w:val="clear" w:color="auto" w:fill="auto"/>
                  <w:vAlign w:val="center"/>
                </w:tcPr>
                <w:p w14:paraId="4587DE52">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废活性炭</w:t>
                  </w:r>
                </w:p>
              </w:tc>
              <w:tc>
                <w:tcPr>
                  <w:tcW w:w="476" w:type="pct"/>
                  <w:shd w:val="clear" w:color="auto" w:fill="auto"/>
                  <w:vAlign w:val="center"/>
                </w:tcPr>
                <w:p w14:paraId="5EFC3AAB">
                  <w:pPr>
                    <w:pStyle w:val="55"/>
                    <w:ind w:firstLine="0"/>
                    <w:jc w:val="center"/>
                    <w:rPr>
                      <w:color w:val="000000" w:themeColor="text1"/>
                      <w14:textFill>
                        <w14:solidFill>
                          <w14:schemeClr w14:val="tx1"/>
                        </w14:solidFill>
                      </w14:textFill>
                    </w:rPr>
                  </w:pPr>
                  <w:r>
                    <w:rPr>
                      <w:color w:val="000000" w:themeColor="text1"/>
                      <w14:textFill>
                        <w14:solidFill>
                          <w14:schemeClr w14:val="tx1"/>
                        </w14:solidFill>
                      </w14:textFill>
                    </w:rPr>
                    <w:t>HW49</w:t>
                  </w:r>
                </w:p>
              </w:tc>
              <w:tc>
                <w:tcPr>
                  <w:tcW w:w="691" w:type="pct"/>
                  <w:shd w:val="clear" w:color="auto" w:fill="auto"/>
                  <w:vAlign w:val="center"/>
                </w:tcPr>
                <w:p w14:paraId="1498E60A">
                  <w:pPr>
                    <w:pStyle w:val="55"/>
                    <w:ind w:firstLine="0"/>
                    <w:jc w:val="center"/>
                    <w:rPr>
                      <w:color w:val="000000" w:themeColor="text1"/>
                      <w14:textFill>
                        <w14:solidFill>
                          <w14:schemeClr w14:val="tx1"/>
                        </w14:solidFill>
                      </w14:textFill>
                    </w:rPr>
                  </w:pPr>
                  <w:r>
                    <w:rPr>
                      <w:color w:val="000000" w:themeColor="text1"/>
                      <w14:textFill>
                        <w14:solidFill>
                          <w14:schemeClr w14:val="tx1"/>
                        </w14:solidFill>
                      </w14:textFill>
                    </w:rPr>
                    <w:t>900-039-49</w:t>
                  </w:r>
                </w:p>
              </w:tc>
              <w:tc>
                <w:tcPr>
                  <w:tcW w:w="429" w:type="pct"/>
                  <w:shd w:val="clear" w:color="auto" w:fill="auto"/>
                  <w:vAlign w:val="center"/>
                </w:tcPr>
                <w:p w14:paraId="4C6E01E4">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0.19378</w:t>
                  </w:r>
                </w:p>
              </w:tc>
              <w:tc>
                <w:tcPr>
                  <w:tcW w:w="332" w:type="pct"/>
                  <w:shd w:val="clear" w:color="auto" w:fill="auto"/>
                  <w:vAlign w:val="center"/>
                </w:tcPr>
                <w:p w14:paraId="0B0EBE4D">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有机废气处理</w:t>
                  </w:r>
                </w:p>
              </w:tc>
              <w:tc>
                <w:tcPr>
                  <w:tcW w:w="284" w:type="pct"/>
                  <w:shd w:val="clear" w:color="auto" w:fill="auto"/>
                  <w:vAlign w:val="center"/>
                </w:tcPr>
                <w:p w14:paraId="7B01EC0C">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固体</w:t>
                  </w:r>
                </w:p>
              </w:tc>
              <w:tc>
                <w:tcPr>
                  <w:tcW w:w="277" w:type="pct"/>
                  <w:shd w:val="clear" w:color="auto" w:fill="auto"/>
                  <w:vAlign w:val="center"/>
                </w:tcPr>
                <w:p w14:paraId="26BDC201">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有机物</w:t>
                  </w:r>
                </w:p>
              </w:tc>
              <w:tc>
                <w:tcPr>
                  <w:tcW w:w="277" w:type="pct"/>
                  <w:shd w:val="clear" w:color="auto" w:fill="auto"/>
                  <w:vAlign w:val="center"/>
                </w:tcPr>
                <w:p w14:paraId="6AF2EDC4">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有机物</w:t>
                  </w:r>
                </w:p>
              </w:tc>
              <w:tc>
                <w:tcPr>
                  <w:tcW w:w="422" w:type="pct"/>
                  <w:shd w:val="clear" w:color="auto" w:fill="auto"/>
                  <w:vAlign w:val="center"/>
                </w:tcPr>
                <w:p w14:paraId="25353682">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每</w:t>
                  </w:r>
                  <w:r>
                    <w:rPr>
                      <w:rFonts w:hint="eastAsia" w:ascii="Times New Roman" w:hAnsi="Times New Roman"/>
                      <w:color w:val="000000" w:themeColor="text1"/>
                      <w:sz w:val="21"/>
                      <w:szCs w:val="21"/>
                      <w14:textFill>
                        <w14:solidFill>
                          <w14:schemeClr w14:val="tx1"/>
                        </w14:solidFill>
                      </w14:textFill>
                    </w:rPr>
                    <w:t>年</w:t>
                  </w:r>
                </w:p>
              </w:tc>
              <w:tc>
                <w:tcPr>
                  <w:tcW w:w="346" w:type="pct"/>
                  <w:shd w:val="clear" w:color="auto" w:fill="auto"/>
                  <w:vAlign w:val="center"/>
                </w:tcPr>
                <w:p w14:paraId="135BA8FD">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w:t>
                  </w:r>
                </w:p>
              </w:tc>
              <w:tc>
                <w:tcPr>
                  <w:tcW w:w="562" w:type="pct"/>
                  <w:vMerge w:val="continue"/>
                  <w:vAlign w:val="center"/>
                </w:tcPr>
                <w:p w14:paraId="4329C555">
                  <w:pPr>
                    <w:pStyle w:val="51"/>
                    <w:snapToGrid w:val="0"/>
                    <w:rPr>
                      <w:rFonts w:ascii="Times New Roman" w:hAnsi="Times New Roman"/>
                      <w:color w:val="000000" w:themeColor="text1"/>
                      <w:sz w:val="21"/>
                      <w:szCs w:val="21"/>
                      <w14:textFill>
                        <w14:solidFill>
                          <w14:schemeClr w14:val="tx1"/>
                        </w14:solidFill>
                      </w14:textFill>
                    </w:rPr>
                  </w:pPr>
                </w:p>
              </w:tc>
            </w:tr>
            <w:tr w14:paraId="636BC0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287" w:type="pct"/>
                  <w:vAlign w:val="center"/>
                </w:tcPr>
                <w:p w14:paraId="4F74106F">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4</w:t>
                  </w:r>
                </w:p>
              </w:tc>
              <w:tc>
                <w:tcPr>
                  <w:tcW w:w="612" w:type="pct"/>
                  <w:shd w:val="clear" w:color="auto" w:fill="auto"/>
                  <w:vAlign w:val="center"/>
                </w:tcPr>
                <w:p w14:paraId="7FB10565">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废包装材料</w:t>
                  </w:r>
                </w:p>
              </w:tc>
              <w:tc>
                <w:tcPr>
                  <w:tcW w:w="476" w:type="pct"/>
                  <w:shd w:val="clear" w:color="auto" w:fill="auto"/>
                  <w:vAlign w:val="center"/>
                </w:tcPr>
                <w:p w14:paraId="0EF97CE6">
                  <w:pPr>
                    <w:pStyle w:val="55"/>
                    <w:ind w:firstLine="0"/>
                    <w:jc w:val="center"/>
                    <w:rPr>
                      <w:color w:val="000000" w:themeColor="text1"/>
                      <w14:textFill>
                        <w14:solidFill>
                          <w14:schemeClr w14:val="tx1"/>
                        </w14:solidFill>
                      </w14:textFill>
                    </w:rPr>
                  </w:pPr>
                  <w:r>
                    <w:rPr>
                      <w:color w:val="000000" w:themeColor="text1"/>
                      <w14:textFill>
                        <w14:solidFill>
                          <w14:schemeClr w14:val="tx1"/>
                        </w14:solidFill>
                      </w14:textFill>
                    </w:rPr>
                    <w:t>HW49</w:t>
                  </w:r>
                </w:p>
              </w:tc>
              <w:tc>
                <w:tcPr>
                  <w:tcW w:w="691" w:type="pct"/>
                  <w:shd w:val="clear" w:color="auto" w:fill="auto"/>
                  <w:vAlign w:val="center"/>
                </w:tcPr>
                <w:p w14:paraId="46A7836B">
                  <w:pPr>
                    <w:pStyle w:val="55"/>
                    <w:ind w:firstLine="0"/>
                    <w:jc w:val="center"/>
                    <w:rPr>
                      <w:color w:val="000000" w:themeColor="text1"/>
                      <w14:textFill>
                        <w14:solidFill>
                          <w14:schemeClr w14:val="tx1"/>
                        </w14:solidFill>
                      </w14:textFill>
                    </w:rPr>
                  </w:pPr>
                  <w:r>
                    <w:rPr>
                      <w:color w:val="000000" w:themeColor="text1"/>
                      <w14:textFill>
                        <w14:solidFill>
                          <w14:schemeClr w14:val="tx1"/>
                        </w14:solidFill>
                      </w14:textFill>
                    </w:rPr>
                    <w:t>900-0</w:t>
                  </w:r>
                  <w:r>
                    <w:rPr>
                      <w:rFonts w:hint="eastAsia"/>
                      <w:color w:val="000000" w:themeColor="text1"/>
                      <w14:textFill>
                        <w14:solidFill>
                          <w14:schemeClr w14:val="tx1"/>
                        </w14:solidFill>
                      </w14:textFill>
                    </w:rPr>
                    <w:t>41</w:t>
                  </w:r>
                  <w:r>
                    <w:rPr>
                      <w:color w:val="000000" w:themeColor="text1"/>
                      <w14:textFill>
                        <w14:solidFill>
                          <w14:schemeClr w14:val="tx1"/>
                        </w14:solidFill>
                      </w14:textFill>
                    </w:rPr>
                    <w:t>-49</w:t>
                  </w:r>
                </w:p>
              </w:tc>
              <w:tc>
                <w:tcPr>
                  <w:tcW w:w="429" w:type="pct"/>
                  <w:shd w:val="clear" w:color="auto" w:fill="auto"/>
                  <w:vAlign w:val="center"/>
                </w:tcPr>
                <w:p w14:paraId="092A4CA7">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0.05</w:t>
                  </w:r>
                </w:p>
              </w:tc>
              <w:tc>
                <w:tcPr>
                  <w:tcW w:w="332" w:type="pct"/>
                  <w:shd w:val="clear" w:color="auto" w:fill="auto"/>
                  <w:vAlign w:val="center"/>
                </w:tcPr>
                <w:p w14:paraId="0ED81F2D">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原料</w:t>
                  </w:r>
                  <w:r>
                    <w:rPr>
                      <w:rFonts w:ascii="Times New Roman" w:hAnsi="Times New Roman"/>
                      <w:color w:val="000000" w:themeColor="text1"/>
                      <w:kern w:val="2"/>
                      <w:sz w:val="21"/>
                      <w:szCs w:val="21"/>
                      <w14:textFill>
                        <w14:solidFill>
                          <w14:schemeClr w14:val="tx1"/>
                        </w14:solidFill>
                      </w14:textFill>
                    </w:rPr>
                    <w:t>（氢氧化钠、硝酸）</w:t>
                  </w:r>
                  <w:r>
                    <w:rPr>
                      <w:rFonts w:hint="eastAsia" w:ascii="Times New Roman" w:hAnsi="Times New Roman"/>
                      <w:color w:val="000000" w:themeColor="text1"/>
                      <w:sz w:val="21"/>
                      <w:szCs w:val="21"/>
                      <w14:textFill>
                        <w14:solidFill>
                          <w14:schemeClr w14:val="tx1"/>
                        </w14:solidFill>
                      </w14:textFill>
                    </w:rPr>
                    <w:t>使用</w:t>
                  </w:r>
                </w:p>
              </w:tc>
              <w:tc>
                <w:tcPr>
                  <w:tcW w:w="284" w:type="pct"/>
                  <w:shd w:val="clear" w:color="auto" w:fill="auto"/>
                  <w:vAlign w:val="center"/>
                </w:tcPr>
                <w:p w14:paraId="7F114723">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固体</w:t>
                  </w:r>
                </w:p>
              </w:tc>
              <w:tc>
                <w:tcPr>
                  <w:tcW w:w="277" w:type="pct"/>
                  <w:shd w:val="clear" w:color="auto" w:fill="auto"/>
                  <w:vAlign w:val="center"/>
                </w:tcPr>
                <w:p w14:paraId="4B9F5D96">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氢氧化钠、硝酸</w:t>
                  </w:r>
                </w:p>
              </w:tc>
              <w:tc>
                <w:tcPr>
                  <w:tcW w:w="277" w:type="pct"/>
                  <w:shd w:val="clear" w:color="auto" w:fill="auto"/>
                  <w:vAlign w:val="center"/>
                </w:tcPr>
                <w:p w14:paraId="281E6FDC">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kern w:val="2"/>
                      <w:sz w:val="21"/>
                      <w:szCs w:val="21"/>
                      <w14:textFill>
                        <w14:solidFill>
                          <w14:schemeClr w14:val="tx1"/>
                        </w14:solidFill>
                      </w14:textFill>
                    </w:rPr>
                    <w:t>氢氧化钠、硝酸</w:t>
                  </w:r>
                </w:p>
              </w:tc>
              <w:tc>
                <w:tcPr>
                  <w:tcW w:w="422" w:type="pct"/>
                  <w:shd w:val="clear" w:color="auto" w:fill="auto"/>
                  <w:vAlign w:val="center"/>
                </w:tcPr>
                <w:p w14:paraId="53C2BDD9">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每</w:t>
                  </w:r>
                  <w:r>
                    <w:rPr>
                      <w:rFonts w:hint="eastAsia" w:ascii="Times New Roman" w:hAnsi="Times New Roman"/>
                      <w:color w:val="000000" w:themeColor="text1"/>
                      <w:sz w:val="21"/>
                      <w:szCs w:val="21"/>
                      <w14:textFill>
                        <w14:solidFill>
                          <w14:schemeClr w14:val="tx1"/>
                        </w14:solidFill>
                      </w14:textFill>
                    </w:rPr>
                    <w:t>年</w:t>
                  </w:r>
                </w:p>
              </w:tc>
              <w:tc>
                <w:tcPr>
                  <w:tcW w:w="346" w:type="pct"/>
                  <w:shd w:val="clear" w:color="auto" w:fill="auto"/>
                  <w:vAlign w:val="center"/>
                </w:tcPr>
                <w:p w14:paraId="40A454F7">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T/In</w:t>
                  </w:r>
                </w:p>
              </w:tc>
              <w:tc>
                <w:tcPr>
                  <w:tcW w:w="562" w:type="pct"/>
                  <w:vMerge w:val="continue"/>
                  <w:vAlign w:val="center"/>
                </w:tcPr>
                <w:p w14:paraId="732600D2">
                  <w:pPr>
                    <w:pStyle w:val="51"/>
                    <w:snapToGrid w:val="0"/>
                    <w:rPr>
                      <w:rFonts w:ascii="Times New Roman" w:hAnsi="Times New Roman"/>
                      <w:color w:val="000000" w:themeColor="text1"/>
                      <w:sz w:val="21"/>
                      <w:szCs w:val="21"/>
                      <w14:textFill>
                        <w14:solidFill>
                          <w14:schemeClr w14:val="tx1"/>
                        </w14:solidFill>
                      </w14:textFill>
                    </w:rPr>
                  </w:pPr>
                </w:p>
              </w:tc>
            </w:tr>
          </w:tbl>
          <w:p w14:paraId="5DF14C1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4.2环境管理要求</w:t>
            </w:r>
          </w:p>
          <w:p w14:paraId="07A8DE3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生活垃圾：生活垃圾在厂内集中</w:t>
            </w:r>
            <w:r>
              <w:rPr>
                <w:color w:val="000000" w:themeColor="text1"/>
                <w:sz w:val="24"/>
                <w:lang w:val="en-GB"/>
                <w14:textFill>
                  <w14:solidFill>
                    <w14:schemeClr w14:val="tx1"/>
                  </w14:solidFill>
                </w14:textFill>
              </w:rPr>
              <w:t>收集</w:t>
            </w:r>
            <w:r>
              <w:rPr>
                <w:color w:val="000000" w:themeColor="text1"/>
                <w:sz w:val="24"/>
                <w14:textFill>
                  <w14:solidFill>
                    <w14:schemeClr w14:val="tx1"/>
                  </w14:solidFill>
                </w14:textFill>
              </w:rPr>
              <w:t>，妥善贮存。</w:t>
            </w:r>
          </w:p>
          <w:p w14:paraId="371A121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一般工业固废：①一般工业固废处理应按照《一般工业固体废物贮存和填埋污染控制标准》（GB18599-2020）的要求设置暂存场所。</w:t>
            </w:r>
          </w:p>
          <w:p w14:paraId="4062F10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②不得露天堆放，防止雨水进入产生二次污染。</w:t>
            </w:r>
            <w:r>
              <w:rPr>
                <w:rFonts w:hint="eastAsia"/>
                <w:color w:val="000000" w:themeColor="text1"/>
                <w:sz w:val="24"/>
                <w14:textFill>
                  <w14:solidFill>
                    <w14:schemeClr w14:val="tx1"/>
                  </w14:solidFill>
                </w14:textFill>
              </w:rPr>
              <w:t>项目配套1个酒糟储存区（100</w:t>
            </w:r>
            <w:r>
              <w:rPr>
                <w:color w:val="000000" w:themeColor="text1"/>
                <w:sz w:val="24"/>
                <w14:textFill>
                  <w14:solidFill>
                    <w14:schemeClr w14:val="tx1"/>
                  </w14:solidFill>
                </w14:textFill>
              </w:rPr>
              <w:t>m</w:t>
            </w:r>
            <w:r>
              <w:rPr>
                <w:color w:val="000000" w:themeColor="text1"/>
                <w:sz w:val="24"/>
                <w:vertAlign w:val="superscript"/>
                <w14:textFill>
                  <w14:solidFill>
                    <w14:schemeClr w14:val="tx1"/>
                  </w14:solidFill>
                </w14:textFill>
              </w:rPr>
              <w:t>3</w:t>
            </w:r>
            <w:r>
              <w:rPr>
                <w:rFonts w:hint="eastAsia"/>
                <w:color w:val="000000" w:themeColor="text1"/>
                <w:sz w:val="24"/>
                <w14:textFill>
                  <w14:solidFill>
                    <w14:schemeClr w14:val="tx1"/>
                  </w14:solidFill>
                </w14:textFill>
              </w:rPr>
              <w:t>）、 一般工业固废间（2</w:t>
            </w:r>
            <w:r>
              <w:rPr>
                <w:color w:val="000000" w:themeColor="text1"/>
                <w:sz w:val="24"/>
                <w14:textFill>
                  <w14:solidFill>
                    <w14:schemeClr w14:val="tx1"/>
                  </w14:solidFill>
                </w14:textFill>
              </w:rPr>
              <w:t>0m</w:t>
            </w:r>
            <w:r>
              <w:rPr>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）以及污泥间（</w:t>
            </w:r>
            <w:r>
              <w:rPr>
                <w:color w:val="000000" w:themeColor="text1"/>
                <w:sz w:val="24"/>
                <w14:textFill>
                  <w14:solidFill>
                    <w14:schemeClr w14:val="tx1"/>
                  </w14:solidFill>
                </w14:textFill>
              </w:rPr>
              <w:t>10m</w:t>
            </w:r>
            <w:r>
              <w:rPr>
                <w:color w:val="000000" w:themeColor="text1"/>
                <w:sz w:val="24"/>
                <w:vertAlign w:val="superscript"/>
                <w14:textFill>
                  <w14:solidFill>
                    <w14:schemeClr w14:val="tx1"/>
                  </w14:solidFill>
                </w14:textFill>
              </w:rPr>
              <w:t>2</w:t>
            </w:r>
            <w:r>
              <w:rPr>
                <w:rFonts w:hint="eastAsia"/>
                <w:color w:val="000000" w:themeColor="text1"/>
                <w:sz w:val="24"/>
                <w14:textFill>
                  <w14:solidFill>
                    <w14:schemeClr w14:val="tx1"/>
                  </w14:solidFill>
                </w14:textFill>
              </w:rPr>
              <w:t>）。酒糟池、一般工业固废间以及污泥间按照《一般工业固体废物贮存和填埋污染控制标准》（</w:t>
            </w:r>
            <w:r>
              <w:rPr>
                <w:color w:val="000000" w:themeColor="text1"/>
                <w:sz w:val="24"/>
                <w14:textFill>
                  <w14:solidFill>
                    <w14:schemeClr w14:val="tx1"/>
                  </w14:solidFill>
                </w14:textFill>
              </w:rPr>
              <w:t>GB18599-2020</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中</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防渗漏、防雨淋、防扬尘</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相关要求建设，地面基础及内墙采取防渗措施，使用防水混凝土。一般固体废物按照不同的类别和性质，分区堆放。通过规范设置固体废物暂存场，同时建立完善院内固体废物防范措施和管理制度，可使固体废物在收集、存放过程中对环境的影响至最低限度。</w:t>
            </w:r>
          </w:p>
          <w:p w14:paraId="486FB692">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危险废物：按照危险废物管理要求，厂内对危险废物进行临时贮存，转移和最终处置严格按照《危险废物收集、贮存、运输技术规范》（HJ2025-2012）中相关规定，危险废物暂存期间应满足《危险废物贮存污染控制标准》（GB18597-2023）对危险废物贮存设施的要求，严禁将危险废物混入非危险废物中。</w:t>
            </w:r>
          </w:p>
          <w:p w14:paraId="7FC945B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①危险废物暂存、处置要求</w:t>
            </w:r>
          </w:p>
          <w:p w14:paraId="422F8F3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按照危险固废处置的有关规定，对属于国家规定危险废物之列的固体废物，必须委托有资质单位进行妥善处理。外运时需要严格按照国家环境保护总局令第5号文件《危险废物转移联单管理办法》的相关规定报批危险废物转移计划，应做到不沿途抛洒；因此，必须加强对固体废弃物的管理，确保各类固体废弃物的妥善处置，危险废弃物贮存场所所应有明显的标志，并具有防风、防晒、防雨、防漏、防渗、防腐以及其他环境污染防治措施，不应露天堆放危险废物。</w:t>
            </w:r>
          </w:p>
          <w:p w14:paraId="7D3BD7F5">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项目危险废物暂存间位于</w:t>
            </w:r>
            <w:r>
              <w:rPr>
                <w:rFonts w:hint="eastAsia"/>
                <w:color w:val="000000" w:themeColor="text1"/>
                <w:sz w:val="24"/>
                <w14:textFill>
                  <w14:solidFill>
                    <w14:schemeClr w14:val="tx1"/>
                  </w14:solidFill>
                </w14:textFill>
              </w:rPr>
              <w:t>1#二类器械车间1F</w:t>
            </w:r>
            <w:r>
              <w:rPr>
                <w:color w:val="000000" w:themeColor="text1"/>
                <w:sz w:val="24"/>
                <w14:textFill>
                  <w14:solidFill>
                    <w14:schemeClr w14:val="tx1"/>
                  </w14:solidFill>
                </w14:textFill>
              </w:rPr>
              <w:t>东</w:t>
            </w:r>
            <w:r>
              <w:rPr>
                <w:rFonts w:hint="eastAsia"/>
                <w:color w:val="000000" w:themeColor="text1"/>
                <w:sz w:val="24"/>
                <w14:textFill>
                  <w14:solidFill>
                    <w14:schemeClr w14:val="tx1"/>
                  </w14:solidFill>
                </w14:textFill>
              </w:rPr>
              <w:t>南</w:t>
            </w:r>
            <w:r>
              <w:rPr>
                <w:color w:val="000000" w:themeColor="text1"/>
                <w:sz w:val="24"/>
                <w14:textFill>
                  <w14:solidFill>
                    <w14:schemeClr w14:val="tx1"/>
                  </w14:solidFill>
                </w14:textFill>
              </w:rPr>
              <w:t>侧，面积10m</w:t>
            </w:r>
            <w:r>
              <w:rPr>
                <w:color w:val="000000" w:themeColor="text1"/>
                <w:sz w:val="24"/>
                <w:vertAlign w:val="superscript"/>
                <w14:textFill>
                  <w14:solidFill>
                    <w14:schemeClr w14:val="tx1"/>
                  </w14:solidFill>
                </w14:textFill>
              </w:rPr>
              <w:t>2</w:t>
            </w:r>
            <w:r>
              <w:rPr>
                <w:color w:val="000000" w:themeColor="text1"/>
                <w:sz w:val="24"/>
                <w14:textFill>
                  <w14:solidFill>
                    <w14:schemeClr w14:val="tx1"/>
                  </w14:solidFill>
                </w14:textFill>
              </w:rPr>
              <w:t>，危险废物暂存间应满足《危险废物贮存污染控制标准》（GB18597-2023）对危险废物贮存设施的要求，具体要求如下：</w:t>
            </w:r>
          </w:p>
          <w:p w14:paraId="32A5686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A、所有产生的危险废物均应使用符合标准要求的容器盛装，装载危险废物的容器及材质要满足相应的强度要求，且必须完好无损；</w:t>
            </w:r>
          </w:p>
          <w:p w14:paraId="1D2B7E7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B、禁止将不相容（相互反应）的危险废物在同一容器内混装，装危险废物的容器上必须粘贴符合标准附录A所示的标签；</w:t>
            </w:r>
          </w:p>
          <w:p w14:paraId="4FC9B2C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C、危险废物贮存间的地面与裙脚要用坚固、防渗的材料建造，建筑材料必须与危险废物相容，应设计堵截泄露的裙脚，地面与裙脚所围建的溶剂不低于堵截最大容器的最大储量或总储量的五分之一，不相容的危险废物必须分开存放，并设有隔离间隔断；</w:t>
            </w:r>
          </w:p>
          <w:p w14:paraId="0F3DE55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D、厂区内建立危险废物台账管理制度，作好危险废物情况的记录，记录上须注明危险废物的名称、来源、数量、特性和包装容器的类别、入库日期、存放库位、废物出库日期及接受单位名称，危险废物的记录和货单在危险废物回取后应继续保留三年；</w:t>
            </w:r>
          </w:p>
          <w:p w14:paraId="3134D339">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E、必须定期对贮存的危险废物包装容器及贮存设施进行检查，发现破损，应及时采取措施清理更换；</w:t>
            </w:r>
          </w:p>
          <w:p w14:paraId="039B56F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F、危险废物贮存设施必须按照《环境保护图形标志 固体废物贮存（处置）场》（GB15562.2-1995）及2023年修改单、《危险废物识别标志设置技术规范》（HJ1276-2022）的规定设置警示标志。</w:t>
            </w:r>
          </w:p>
          <w:p w14:paraId="4ED348B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②危险废物包装、运输要求</w:t>
            </w:r>
          </w:p>
          <w:p w14:paraId="31425BE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各危废均按照相应的包装要求进行包装，包装后的危废委托有资质单位进行处置。企业危废外运应委托有资质的单位运输，严格执行《危险废物收集贮存运输技术规范》（HJ2025-2012）和《危险废物转移联单管理办法》，并制定好危险废物转移运输途中的污染防范及事故应急措施，严格按照要求办理有关手续。</w:t>
            </w:r>
          </w:p>
          <w:p w14:paraId="3402CF0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综上所述，项目产生的固体废物经过以上措施处理后，均得到妥善处置，预计对周围的环境不会产生明显的影响。</w:t>
            </w:r>
          </w:p>
          <w:p w14:paraId="30C18714">
            <w:pPr>
              <w:tabs>
                <w:tab w:val="left" w:pos="1081"/>
              </w:tabs>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5、地下水影响分析</w:t>
            </w:r>
          </w:p>
          <w:p w14:paraId="73610C42">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通过工程分析可知，项目可能污染地下水的环节包括化粪池、生产车间、生产废水处理系统</w:t>
            </w:r>
            <w:r>
              <w:rPr>
                <w:rFonts w:hint="eastAsia"/>
                <w:color w:val="000000" w:themeColor="text1"/>
                <w:sz w:val="24"/>
                <w14:textFill>
                  <w14:solidFill>
                    <w14:schemeClr w14:val="tx1"/>
                  </w14:solidFill>
                </w14:textFill>
              </w:rPr>
              <w:t>、污泥间和酒糟暂存池等</w:t>
            </w:r>
            <w:r>
              <w:rPr>
                <w:color w:val="000000" w:themeColor="text1"/>
                <w:sz w:val="24"/>
                <w14:textFill>
                  <w14:solidFill>
                    <w14:schemeClr w14:val="tx1"/>
                  </w14:solidFill>
                </w14:textFill>
              </w:rPr>
              <w:t>和危废暂存间，若不采取防渗等相应措施，将对区域地下水环境造成污染。</w:t>
            </w:r>
          </w:p>
          <w:p w14:paraId="537B9AFE">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结合项目实际情况，根据建设方提供资料，评价建议项目区域防渗措施如下：</w:t>
            </w:r>
          </w:p>
          <w:p w14:paraId="69E3C7B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将全厂按物料或者污染物泄漏的途径和生产功能单元所处的位置划分为三类地下水污染防治区域：非污染防治区（办公区）、一般污染防治区</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生产车间、化粪池以及一般固废暂存间</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和重点污染防治区（生产废水治理设施地面</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危废暂存间</w:t>
            </w:r>
            <w:r>
              <w:rPr>
                <w:rFonts w:hint="eastAsia"/>
                <w:color w:val="000000" w:themeColor="text1"/>
                <w:sz w:val="24"/>
                <w14:textFill>
                  <w14:solidFill>
                    <w14:schemeClr w14:val="tx1"/>
                  </w14:solidFill>
                </w14:textFill>
              </w:rPr>
              <w:t>、污泥间和酒糟暂存区</w:t>
            </w:r>
            <w:r>
              <w:rPr>
                <w:color w:val="000000" w:themeColor="text1"/>
                <w:sz w:val="24"/>
                <w14:textFill>
                  <w14:solidFill>
                    <w14:schemeClr w14:val="tx1"/>
                  </w14:solidFill>
                </w14:textFill>
              </w:rPr>
              <w:t>）。</w:t>
            </w:r>
          </w:p>
          <w:p w14:paraId="71A568C6">
            <w:pPr>
              <w:tabs>
                <w:tab w:val="left" w:pos="1081"/>
              </w:tabs>
              <w:adjustRightIn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按照分区防渗的原则一般区域采用水泥硬化地面，重点污染防治区采取重点防腐防渗，重点防渗区严格按照《危险废物贮存污染控制标准》</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GB18597-2023</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要求：防渗层为至少1m厚的粘土层</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渗透系数≤10</w:t>
            </w:r>
            <w:r>
              <w:rPr>
                <w:color w:val="000000" w:themeColor="text1"/>
                <w:sz w:val="24"/>
                <w:vertAlign w:val="superscript"/>
                <w14:textFill>
                  <w14:solidFill>
                    <w14:schemeClr w14:val="tx1"/>
                  </w14:solidFill>
                </w14:textFill>
              </w:rPr>
              <w:t>-7</w:t>
            </w:r>
            <w:r>
              <w:rPr>
                <w:color w:val="000000" w:themeColor="text1"/>
                <w:sz w:val="24"/>
                <w14:textFill>
                  <w14:solidFill>
                    <w14:schemeClr w14:val="tx1"/>
                  </w14:solidFill>
                </w14:textFill>
              </w:rPr>
              <w:t>cm/s</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，或2mm厚高度密度聚乙烯</w:t>
            </w:r>
            <w:r>
              <w:rPr>
                <w:rFonts w:hint="eastAsia"/>
                <w:color w:val="000000" w:themeColor="text1"/>
                <w:sz w:val="24"/>
                <w:lang w:val="en-US" w:eastAsia="zh-CN"/>
                <w14:textFill>
                  <w14:solidFill>
                    <w14:schemeClr w14:val="tx1"/>
                  </w14:solidFill>
                </w14:textFill>
              </w:rPr>
              <w:t>薄膜</w:t>
            </w:r>
            <w:r>
              <w:rPr>
                <w:color w:val="000000" w:themeColor="text1"/>
                <w:sz w:val="24"/>
                <w14:textFill>
                  <w14:solidFill>
                    <w14:schemeClr w14:val="tx1"/>
                  </w14:solidFill>
                </w14:textFill>
              </w:rPr>
              <w:t>，或至少2mm厚的其他人工材料，渗透系数≤10</w:t>
            </w:r>
            <w:r>
              <w:rPr>
                <w:color w:val="000000" w:themeColor="text1"/>
                <w:sz w:val="24"/>
                <w:vertAlign w:val="superscript"/>
                <w14:textFill>
                  <w14:solidFill>
                    <w14:schemeClr w14:val="tx1"/>
                  </w14:solidFill>
                </w14:textFill>
              </w:rPr>
              <w:t>-10</w:t>
            </w:r>
            <w:r>
              <w:rPr>
                <w:color w:val="000000" w:themeColor="text1"/>
                <w:sz w:val="24"/>
                <w14:textFill>
                  <w14:solidFill>
                    <w14:schemeClr w14:val="tx1"/>
                  </w14:solidFill>
                </w14:textFill>
              </w:rPr>
              <w:t>cm/s，并控制生产过程中粪水的</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跑、冒、滴、漏</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；简单防渗区主要包括办公区等区域，防渗技术要求为一般地面硬化；一般防渗区域主要包括化粪池、发酵车间、压滤车间等区域，防渗技术要求为等效粘土防渗层Mb≥1.5m，K≤1×10</w:t>
            </w:r>
            <w:r>
              <w:rPr>
                <w:rFonts w:hint="eastAsia"/>
                <w:color w:val="000000" w:themeColor="text1"/>
                <w:sz w:val="24"/>
                <w:vertAlign w:val="superscript"/>
                <w14:textFill>
                  <w14:solidFill>
                    <w14:schemeClr w14:val="tx1"/>
                  </w14:solidFill>
                </w14:textFill>
              </w:rPr>
              <w:t>-7</w:t>
            </w:r>
            <w:r>
              <w:rPr>
                <w:rFonts w:hint="eastAsia"/>
                <w:color w:val="000000" w:themeColor="text1"/>
                <w:sz w:val="24"/>
                <w14:textFill>
                  <w14:solidFill>
                    <w14:schemeClr w14:val="tx1"/>
                  </w14:solidFill>
                </w14:textFill>
              </w:rPr>
              <w:t>cm/s</w:t>
            </w:r>
            <w:r>
              <w:rPr>
                <w:color w:val="000000" w:themeColor="text1"/>
                <w:sz w:val="24"/>
                <w14:textFill>
                  <w14:solidFill>
                    <w14:schemeClr w14:val="tx1"/>
                  </w14:solidFill>
                </w14:textFill>
              </w:rPr>
              <w:t>。</w:t>
            </w:r>
          </w:p>
          <w:p w14:paraId="65EF7161">
            <w:pPr>
              <w:tabs>
                <w:tab w:val="left" w:pos="1081"/>
              </w:tabs>
              <w:adjustRightIn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经实施上述措施后，预计项目对地下水环境的影响是可以接受的。</w:t>
            </w:r>
          </w:p>
          <w:p w14:paraId="6D080971">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6、土壤环境影响分析</w:t>
            </w:r>
          </w:p>
          <w:p w14:paraId="1A7C037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根据《环境影响评价技术导则 土壤环境（试行）》（HJ964-2018），根据本项目污染物排放</w:t>
            </w:r>
            <w:r>
              <w:rPr>
                <w:color w:val="000000" w:themeColor="text1"/>
                <w:sz w:val="24"/>
                <w:lang w:val="en-GB"/>
                <w14:textFill>
                  <w14:solidFill>
                    <w14:schemeClr w14:val="tx1"/>
                  </w14:solidFill>
                </w14:textFill>
              </w:rPr>
              <w:t>特征</w:t>
            </w:r>
            <w:r>
              <w:rPr>
                <w:color w:val="000000" w:themeColor="text1"/>
                <w:sz w:val="24"/>
                <w14:textFill>
                  <w14:solidFill>
                    <w14:schemeClr w14:val="tx1"/>
                  </w14:solidFill>
                </w14:textFill>
              </w:rPr>
              <w:t>及污染途径，仅定性说明项目对土壤环境产生的影响。</w:t>
            </w:r>
          </w:p>
          <w:p w14:paraId="43EE44F3">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项目在正常工况下，各生产环节按照设计参数运行，基本无污染物泄露；本项目应根据相关防渗设计规范对生产车间、设置分区防渗，重点防渗区为：生产废水治理设施地面</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危废暂存间</w:t>
            </w:r>
            <w:r>
              <w:rPr>
                <w:rFonts w:hint="eastAsia"/>
                <w:color w:val="000000" w:themeColor="text1"/>
                <w:sz w:val="24"/>
                <w14:textFill>
                  <w14:solidFill>
                    <w14:schemeClr w14:val="tx1"/>
                  </w14:solidFill>
                </w14:textFill>
              </w:rPr>
              <w:t>、污泥间和酒糟暂存池</w:t>
            </w:r>
            <w:r>
              <w:rPr>
                <w:color w:val="000000" w:themeColor="text1"/>
                <w:sz w:val="24"/>
                <w14:textFill>
                  <w14:solidFill>
                    <w14:schemeClr w14:val="tx1"/>
                  </w14:solidFill>
                </w14:textFill>
              </w:rPr>
              <w:t>。一般防渗区为：生产车间、化粪池以及一般固废暂存间等地。简单防渗区为：办公区，一般情况下物料及废水不会渗漏和进入地下，对周围土壤环境不会造成污染；</w:t>
            </w:r>
          </w:p>
          <w:p w14:paraId="13B2813F">
            <w:pPr>
              <w:widowControl/>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因此经采取严格的措施后，评价认为正常状态项目的建设对土壤环境影响较小。</w:t>
            </w:r>
          </w:p>
          <w:p w14:paraId="1A1D6F91">
            <w:pPr>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7、环境风险分析</w:t>
            </w:r>
          </w:p>
          <w:p w14:paraId="6AC6B42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7.1评价依据</w:t>
            </w:r>
          </w:p>
          <w:p w14:paraId="088C7B6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（1）风险调查</w:t>
            </w:r>
          </w:p>
          <w:p w14:paraId="47C14F1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根据《建设项目环境风险评价技术导则》（HJ169-2018）附录B中表B.1中突然环境事件风险物质名录表、《危险化学品重大危险源辨识》</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GB18218-20</w:t>
            </w:r>
            <w:r>
              <w:rPr>
                <w:rFonts w:hint="eastAsia"/>
                <w:color w:val="000000" w:themeColor="text1"/>
                <w:sz w:val="24"/>
                <w14:textFill>
                  <w14:solidFill>
                    <w14:schemeClr w14:val="tx1"/>
                  </w14:solidFill>
                </w14:textFill>
              </w:rPr>
              <w:t>18</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等</w:t>
            </w:r>
            <w:r>
              <w:rPr>
                <w:color w:val="000000" w:themeColor="text1"/>
                <w:sz w:val="24"/>
                <w14:textFill>
                  <w14:solidFill>
                    <w14:schemeClr w14:val="tx1"/>
                  </w14:solidFill>
                </w14:textFill>
              </w:rPr>
              <w:t>对建设项目所涉及的有毒有害、易燃易爆物质进行危险性识别和综合评价，筛选风险评价因子。</w:t>
            </w:r>
          </w:p>
          <w:p w14:paraId="34583CA1">
            <w:pPr>
              <w:adjustRightInd w:val="0"/>
              <w:snapToGrid w:val="0"/>
              <w:spacing w:line="360" w:lineRule="auto"/>
              <w:ind w:firstLine="480" w:firstLineChars="200"/>
              <w:rPr>
                <w:bCs/>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本项目属于酒类以及卫生材料及医药用品生产企业，</w:t>
            </w:r>
            <w:r>
              <w:rPr>
                <w:color w:val="000000" w:themeColor="text1"/>
                <w:sz w:val="24"/>
                <w14:textFill>
                  <w14:solidFill>
                    <w14:schemeClr w14:val="tx1"/>
                  </w14:solidFill>
                </w14:textFill>
              </w:rPr>
              <w:t>对项目营运过程中使用的原辅材料进行调查，确定本项目生产过程中所涉及的风险物质为乙醇、</w:t>
            </w:r>
            <w:r>
              <w:rPr>
                <w:color w:val="000000" w:themeColor="text1"/>
                <w:sz w:val="24"/>
                <w:lang w:val="zh-CN"/>
                <w14:textFill>
                  <w14:solidFill>
                    <w14:schemeClr w14:val="tx1"/>
                  </w14:solidFill>
                </w14:textFill>
              </w:rPr>
              <w:t>天然气（主要成分为甲烷）</w:t>
            </w:r>
            <w:r>
              <w:rPr>
                <w:color w:val="000000" w:themeColor="text1"/>
                <w:sz w:val="24"/>
                <w14:textFill>
                  <w14:solidFill>
                    <w14:schemeClr w14:val="tx1"/>
                  </w14:solidFill>
                </w14:textFill>
              </w:rPr>
              <w:t>等</w:t>
            </w:r>
            <w:r>
              <w:rPr>
                <w:bCs/>
                <w:color w:val="000000" w:themeColor="text1"/>
                <w:kern w:val="0"/>
                <w:sz w:val="24"/>
                <w14:textFill>
                  <w14:solidFill>
                    <w14:schemeClr w14:val="tx1"/>
                  </w14:solidFill>
                </w14:textFill>
              </w:rPr>
              <w:t>。</w:t>
            </w:r>
          </w:p>
          <w:p w14:paraId="4812CD2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（2）风险潜势初判</w:t>
            </w:r>
          </w:p>
          <w:p w14:paraId="2F7A82E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color w:val="000000" w:themeColor="text1"/>
                <w:sz w:val="24"/>
                <w:lang w:val="en-GB"/>
                <w14:textFill>
                  <w14:solidFill>
                    <w14:schemeClr w14:val="tx1"/>
                  </w14:solidFill>
                </w14:textFill>
              </w:rPr>
              <w:t>《建设项目环境风险评价技术导则》</w:t>
            </w:r>
            <w:r>
              <w:rPr>
                <w:color w:val="000000" w:themeColor="text1"/>
                <w:sz w:val="24"/>
                <w14:textFill>
                  <w14:solidFill>
                    <w14:schemeClr w14:val="tx1"/>
                  </w14:solidFill>
                </w14:textFill>
              </w:rPr>
              <w:t>（HJ169-2018）附录C中规定，危险物质数量与临界量比值Q即厂界内物质的最大存在总量与其在附录B中对应的临界量的比值。</w:t>
            </w:r>
          </w:p>
          <w:p w14:paraId="6259E623">
            <w:pPr>
              <w:tabs>
                <w:tab w:val="left" w:pos="1081"/>
              </w:tabs>
              <w:adjustRightIn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当只涉及一种</w:t>
            </w:r>
            <w:r>
              <w:rPr>
                <w:color w:val="000000" w:themeColor="text1"/>
                <w:sz w:val="24"/>
                <w:lang w:val="en-GB"/>
                <w14:textFill>
                  <w14:solidFill>
                    <w14:schemeClr w14:val="tx1"/>
                  </w14:solidFill>
                </w14:textFill>
              </w:rPr>
              <w:t>危险</w:t>
            </w:r>
            <w:r>
              <w:rPr>
                <w:color w:val="000000" w:themeColor="text1"/>
                <w:sz w:val="24"/>
                <w14:textFill>
                  <w14:solidFill>
                    <w14:schemeClr w14:val="tx1"/>
                  </w14:solidFill>
                </w14:textFill>
              </w:rPr>
              <w:t>物质时，计算该物质的总量预期临界量比值，即为Q；</w:t>
            </w:r>
          </w:p>
          <w:p w14:paraId="3E6B29F9">
            <w:pPr>
              <w:tabs>
                <w:tab w:val="left" w:pos="1081"/>
              </w:tabs>
              <w:adjustRightIn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当存在多种危险物质时，则按下式计算物质总量与其临界量比值（Q）：</w:t>
            </w:r>
          </w:p>
          <w:p w14:paraId="113B598D">
            <w:pPr>
              <w:spacing w:line="360" w:lineRule="auto"/>
              <w:ind w:firstLine="480" w:firstLineChars="200"/>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w:drawing>
                <wp:inline distT="0" distB="0" distL="0" distR="0">
                  <wp:extent cx="1939290" cy="437515"/>
                  <wp:effectExtent l="0" t="0" r="3810" b="635"/>
                  <wp:docPr id="1067" name="图片 11"/>
                  <wp:cNvGraphicFramePr/>
                  <a:graphic xmlns:a="http://schemas.openxmlformats.org/drawingml/2006/main">
                    <a:graphicData uri="http://schemas.openxmlformats.org/drawingml/2006/picture">
                      <pic:pic xmlns:pic="http://schemas.openxmlformats.org/drawingml/2006/picture">
                        <pic:nvPicPr>
                          <pic:cNvPr id="1067" name="图片 11"/>
                          <pic:cNvPicPr/>
                        </pic:nvPicPr>
                        <pic:blipFill>
                          <a:blip r:embed="rId56" cstate="print"/>
                          <a:srcRect/>
                          <a:stretch>
                            <a:fillRect/>
                          </a:stretch>
                        </pic:blipFill>
                        <pic:spPr>
                          <a:xfrm>
                            <a:off x="0" y="0"/>
                            <a:ext cx="1939924" cy="437515"/>
                          </a:xfrm>
                          <a:prstGeom prst="rect">
                            <a:avLst/>
                          </a:prstGeom>
                          <a:ln>
                            <a:noFill/>
                          </a:ln>
                        </pic:spPr>
                      </pic:pic>
                    </a:graphicData>
                  </a:graphic>
                </wp:inline>
              </w:drawing>
            </w:r>
          </w:p>
          <w:p w14:paraId="52B893DA">
            <w:pPr>
              <w:tabs>
                <w:tab w:val="left" w:pos="1081"/>
              </w:tabs>
              <w:adjustRightIn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式中：q</w:t>
            </w:r>
            <w:r>
              <w:rPr>
                <w:color w:val="000000" w:themeColor="text1"/>
                <w:sz w:val="24"/>
                <w:vertAlign w:val="subscript"/>
                <w14:textFill>
                  <w14:solidFill>
                    <w14:schemeClr w14:val="tx1"/>
                  </w14:solidFill>
                </w14:textFill>
              </w:rPr>
              <w:t>1</w:t>
            </w:r>
            <w:r>
              <w:rPr>
                <w:color w:val="000000" w:themeColor="text1"/>
                <w:sz w:val="24"/>
                <w14:textFill>
                  <w14:solidFill>
                    <w14:schemeClr w14:val="tx1"/>
                  </w14:solidFill>
                </w14:textFill>
              </w:rPr>
              <w:t>，q</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q</w:t>
            </w:r>
            <w:r>
              <w:rPr>
                <w:color w:val="000000" w:themeColor="text1"/>
                <w:sz w:val="24"/>
                <w:vertAlign w:val="subscript"/>
                <w14:textFill>
                  <w14:solidFill>
                    <w14:schemeClr w14:val="tx1"/>
                  </w14:solidFill>
                </w14:textFill>
              </w:rPr>
              <w:t>n</w:t>
            </w:r>
            <w:r>
              <w:rPr>
                <w:color w:val="000000" w:themeColor="text1"/>
                <w:sz w:val="24"/>
                <w14:textFill>
                  <w14:solidFill>
                    <w14:schemeClr w14:val="tx1"/>
                  </w14:solidFill>
                </w14:textFill>
              </w:rPr>
              <w:t>—每种物质的最大存在总量，t；</w:t>
            </w:r>
          </w:p>
          <w:p w14:paraId="411F60F0">
            <w:pPr>
              <w:tabs>
                <w:tab w:val="left" w:pos="1081"/>
              </w:tabs>
              <w:adjustRightIn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Q</w:t>
            </w:r>
            <w:r>
              <w:rPr>
                <w:color w:val="000000" w:themeColor="text1"/>
                <w:sz w:val="24"/>
                <w:vertAlign w:val="subscript"/>
                <w14:textFill>
                  <w14:solidFill>
                    <w14:schemeClr w14:val="tx1"/>
                  </w14:solidFill>
                </w14:textFill>
              </w:rPr>
              <w:t>1</w:t>
            </w:r>
            <w:r>
              <w:rPr>
                <w:color w:val="000000" w:themeColor="text1"/>
                <w:sz w:val="24"/>
                <w14:textFill>
                  <w14:solidFill>
                    <w14:schemeClr w14:val="tx1"/>
                  </w14:solidFill>
                </w14:textFill>
              </w:rPr>
              <w:t>，Q</w:t>
            </w:r>
            <w:r>
              <w:rPr>
                <w:color w:val="000000" w:themeColor="text1"/>
                <w:sz w:val="24"/>
                <w:vertAlign w:val="subscript"/>
                <w14:textFill>
                  <w14:solidFill>
                    <w14:schemeClr w14:val="tx1"/>
                  </w14:solidFill>
                </w14:textFill>
              </w:rPr>
              <w:t>2</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w:t>
            </w:r>
            <w:r>
              <w:rPr>
                <w:color w:val="000000" w:themeColor="text1"/>
                <w:sz w:val="24"/>
                <w:lang w:val="en-GB"/>
                <w14:textFill>
                  <w14:solidFill>
                    <w14:schemeClr w14:val="tx1"/>
                  </w14:solidFill>
                </w14:textFill>
              </w:rPr>
              <w:t>Qn</w:t>
            </w:r>
            <w:r>
              <w:rPr>
                <w:color w:val="000000" w:themeColor="text1"/>
                <w:sz w:val="24"/>
                <w14:textFill>
                  <w14:solidFill>
                    <w14:schemeClr w14:val="tx1"/>
                  </w14:solidFill>
                </w14:textFill>
              </w:rPr>
              <w:t>—每种物质的临界量，t</w:t>
            </w:r>
          </w:p>
          <w:p w14:paraId="0052F478">
            <w:pPr>
              <w:tabs>
                <w:tab w:val="left" w:pos="1081"/>
              </w:tabs>
              <w:adjustRightIn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当Q＜1时，该项目环境风险潜势为Ⅰ。</w:t>
            </w:r>
          </w:p>
          <w:p w14:paraId="4AB5DF9D">
            <w:pPr>
              <w:tabs>
                <w:tab w:val="left" w:pos="1081"/>
              </w:tabs>
              <w:adjustRightIn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根据《建设项目环境风险评价技术导则》（HJ169-2018）附录B表B.1及《危险化学品重大危险源辨识》</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GB18218-20</w:t>
            </w:r>
            <w:r>
              <w:rPr>
                <w:rFonts w:hint="eastAsia"/>
                <w:color w:val="000000" w:themeColor="text1"/>
                <w:sz w:val="24"/>
                <w14:textFill>
                  <w14:solidFill>
                    <w14:schemeClr w14:val="tx1"/>
                  </w14:solidFill>
                </w14:textFill>
              </w:rPr>
              <w:t>18</w:t>
            </w:r>
            <w:r>
              <w:rPr>
                <w:rFonts w:hint="eastAsia"/>
                <w:color w:val="000000" w:themeColor="text1"/>
                <w:sz w:val="24"/>
                <w:lang w:eastAsia="zh-CN"/>
                <w14:textFill>
                  <w14:solidFill>
                    <w14:schemeClr w14:val="tx1"/>
                  </w14:solidFill>
                </w14:textFill>
              </w:rPr>
              <w:t>）</w:t>
            </w:r>
            <w:r>
              <w:rPr>
                <w:color w:val="000000" w:themeColor="text1"/>
                <w:sz w:val="24"/>
                <w14:textFill>
                  <w14:solidFill>
                    <w14:schemeClr w14:val="tx1"/>
                  </w14:solidFill>
                </w14:textFill>
              </w:rPr>
              <w:t>中附表2、表3中各物质及化学品有关的临界量，计算风险物质在厂界内的最大存在量与临界量的比值Q。</w:t>
            </w:r>
            <w:r>
              <w:rPr>
                <w:rFonts w:hint="eastAsia"/>
                <w:color w:val="000000" w:themeColor="text1"/>
                <w:sz w:val="24"/>
                <w14:textFill>
                  <w14:solidFill>
                    <w14:schemeClr w14:val="tx1"/>
                  </w14:solidFill>
                </w14:textFill>
              </w:rPr>
              <w:t>本项目酒类产品中含有乙醇，酒类产品最大存在量按年产量计算，其中本项目年产100t白酒，其中乙醇量为44.312t，年产200t黄酒，其中乙醇量为25.828t，年产200t啤酒，其中乙醇量为3.968t，年产200t果酒，其中乙醇量为9.570t，因此，项目乙醇最大存在量为83.671t。</w:t>
            </w:r>
            <w:r>
              <w:rPr>
                <w:color w:val="000000" w:themeColor="text1"/>
                <w:sz w:val="24"/>
                <w14:textFill>
                  <w14:solidFill>
                    <w14:schemeClr w14:val="tx1"/>
                  </w14:solidFill>
                </w14:textFill>
              </w:rPr>
              <w:t>本项目无天然气储存装置，生产场所的天然气量仅为管道内的量，天然气在线量约为30m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，密度为0.75kg/Nm</w:t>
            </w:r>
            <w:r>
              <w:rPr>
                <w:color w:val="000000" w:themeColor="text1"/>
                <w:sz w:val="24"/>
                <w:vertAlign w:val="superscript"/>
                <w14:textFill>
                  <w14:solidFill>
                    <w14:schemeClr w14:val="tx1"/>
                  </w14:solidFill>
                </w14:textFill>
              </w:rPr>
              <w:t>3</w:t>
            </w:r>
            <w:r>
              <w:rPr>
                <w:color w:val="000000" w:themeColor="text1"/>
                <w:sz w:val="24"/>
                <w14:textFill>
                  <w14:solidFill>
                    <w14:schemeClr w14:val="tx1"/>
                  </w14:solidFill>
                </w14:textFill>
              </w:rPr>
              <w:t>，管道储存量为0.0225t。</w:t>
            </w:r>
            <w:r>
              <w:rPr>
                <w:rFonts w:hint="eastAsia"/>
                <w:color w:val="000000" w:themeColor="text1"/>
                <w:sz w:val="24"/>
                <w14:textFill>
                  <w14:solidFill>
                    <w14:schemeClr w14:val="tx1"/>
                  </w14:solidFill>
                </w14:textFill>
              </w:rPr>
              <w:t>由上文分析可知，本项目</w:t>
            </w:r>
            <w:r>
              <w:rPr>
                <w:color w:val="000000" w:themeColor="text1"/>
                <w:sz w:val="24"/>
                <w14:textFill>
                  <w14:solidFill>
                    <w14:schemeClr w14:val="tx1"/>
                  </w14:solidFill>
                </w14:textFill>
              </w:rPr>
              <w:t>COD</w:t>
            </w:r>
            <w:r>
              <w:rPr>
                <w:color w:val="000000" w:themeColor="text1"/>
                <w:sz w:val="24"/>
                <w:vertAlign w:val="subscript"/>
                <w14:textFill>
                  <w14:solidFill>
                    <w14:schemeClr w14:val="tx1"/>
                  </w14:solidFill>
                </w14:textFill>
              </w:rPr>
              <w:t>Cr</w:t>
            </w:r>
            <w:r>
              <w:rPr>
                <w:color w:val="000000" w:themeColor="text1"/>
                <w:sz w:val="24"/>
                <w14:textFill>
                  <w14:solidFill>
                    <w14:schemeClr w14:val="tx1"/>
                  </w14:solidFill>
                </w14:textFill>
              </w:rPr>
              <w:t>浓度≥10000mg/L的有机废液</w:t>
            </w:r>
            <w:r>
              <w:rPr>
                <w:rFonts w:hint="eastAsia"/>
                <w:color w:val="000000" w:themeColor="text1"/>
                <w:sz w:val="24"/>
                <w14:textFill>
                  <w14:solidFill>
                    <w14:schemeClr w14:val="tx1"/>
                  </w14:solidFill>
                </w14:textFill>
              </w:rPr>
              <w:t>最大存在量总量为0.09+0.101+0.064+0.012=0.267t。</w:t>
            </w:r>
          </w:p>
          <w:p w14:paraId="4E1F17F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本项目危险物质数量与临界量比值见下表。</w:t>
            </w:r>
          </w:p>
          <w:p w14:paraId="54185D64">
            <w:pPr>
              <w:tabs>
                <w:tab w:val="left" w:pos="1081"/>
              </w:tabs>
              <w:adjustRightIn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 xml:space="preserve">24  </w:t>
            </w:r>
            <w:r>
              <w:rPr>
                <w:b/>
                <w:color w:val="000000" w:themeColor="text1"/>
                <w:sz w:val="24"/>
                <w14:textFill>
                  <w14:solidFill>
                    <w14:schemeClr w14:val="tx1"/>
                  </w14:solidFill>
                </w14:textFill>
              </w:rPr>
              <w:t>项目</w:t>
            </w:r>
            <w:r>
              <w:rPr>
                <w:rFonts w:hint="eastAsia"/>
                <w:b/>
                <w:color w:val="000000" w:themeColor="text1"/>
                <w:sz w:val="24"/>
                <w:lang w:val="en-US" w:eastAsia="zh-CN"/>
                <w14:textFill>
                  <w14:solidFill>
                    <w14:schemeClr w14:val="tx1"/>
                  </w14:solidFill>
                </w14:textFill>
              </w:rPr>
              <w:t>风</w:t>
            </w:r>
            <w:r>
              <w:rPr>
                <w:b/>
                <w:color w:val="000000" w:themeColor="text1"/>
                <w:sz w:val="24"/>
                <w14:textFill>
                  <w14:solidFill>
                    <w14:schemeClr w14:val="tx1"/>
                  </w14:solidFill>
                </w14:textFill>
              </w:rPr>
              <w:t>险物质与临界量比值表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1"/>
              <w:gridCol w:w="2900"/>
              <w:gridCol w:w="1928"/>
              <w:gridCol w:w="968"/>
              <w:gridCol w:w="2326"/>
            </w:tblGrid>
            <w:tr w14:paraId="110862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tcBorders>
                    <w:top w:val="single" w:color="auto" w:sz="4" w:space="0"/>
                    <w:left w:val="single" w:color="auto" w:sz="4" w:space="0"/>
                    <w:bottom w:val="single" w:color="auto" w:sz="4" w:space="0"/>
                    <w:right w:val="single" w:color="auto" w:sz="4" w:space="0"/>
                  </w:tcBorders>
                  <w:vAlign w:val="center"/>
                </w:tcPr>
                <w:p w14:paraId="5966B38B">
                  <w:pPr>
                    <w:pStyle w:val="7"/>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危险单元名称</w:t>
                  </w:r>
                </w:p>
              </w:tc>
              <w:tc>
                <w:tcPr>
                  <w:tcW w:w="1582" w:type="pct"/>
                  <w:tcBorders>
                    <w:top w:val="single" w:color="auto" w:sz="4" w:space="0"/>
                    <w:left w:val="nil"/>
                    <w:bottom w:val="single" w:color="auto" w:sz="4" w:space="0"/>
                    <w:right w:val="single" w:color="auto" w:sz="4" w:space="0"/>
                  </w:tcBorders>
                  <w:vAlign w:val="center"/>
                </w:tcPr>
                <w:p w14:paraId="667D14D4">
                  <w:pPr>
                    <w:pStyle w:val="7"/>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风险物质</w:t>
                  </w:r>
                </w:p>
              </w:tc>
              <w:tc>
                <w:tcPr>
                  <w:tcW w:w="1052" w:type="pct"/>
                  <w:tcBorders>
                    <w:top w:val="single" w:color="auto" w:sz="4" w:space="0"/>
                    <w:left w:val="nil"/>
                    <w:bottom w:val="single" w:color="auto" w:sz="4" w:space="0"/>
                    <w:right w:val="single" w:color="auto" w:sz="4" w:space="0"/>
                  </w:tcBorders>
                  <w:vAlign w:val="center"/>
                </w:tcPr>
                <w:p w14:paraId="0EED5B48">
                  <w:pPr>
                    <w:pStyle w:val="7"/>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实际最大存在总量</w:t>
                  </w:r>
                </w:p>
              </w:tc>
              <w:tc>
                <w:tcPr>
                  <w:tcW w:w="528" w:type="pct"/>
                  <w:tcBorders>
                    <w:top w:val="single" w:color="auto" w:sz="4" w:space="0"/>
                    <w:left w:val="nil"/>
                    <w:bottom w:val="single" w:color="auto" w:sz="4" w:space="0"/>
                    <w:right w:val="single" w:color="auto" w:sz="4" w:space="0"/>
                  </w:tcBorders>
                  <w:vAlign w:val="center"/>
                </w:tcPr>
                <w:p w14:paraId="5011A225">
                  <w:pPr>
                    <w:pStyle w:val="7"/>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临界量</w:t>
                  </w:r>
                </w:p>
              </w:tc>
              <w:tc>
                <w:tcPr>
                  <w:tcW w:w="1269" w:type="pct"/>
                  <w:tcBorders>
                    <w:top w:val="single" w:color="auto" w:sz="4" w:space="0"/>
                    <w:left w:val="nil"/>
                    <w:bottom w:val="single" w:color="auto" w:sz="4" w:space="0"/>
                    <w:right w:val="single" w:color="auto" w:sz="4" w:space="0"/>
                  </w:tcBorders>
                  <w:vAlign w:val="center"/>
                </w:tcPr>
                <w:p w14:paraId="522DAB7E">
                  <w:pPr>
                    <w:pStyle w:val="7"/>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危险物质数量与临界量比值（Q）</w:t>
                  </w:r>
                </w:p>
              </w:tc>
            </w:tr>
            <w:tr w14:paraId="440C6D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restart"/>
                  <w:tcBorders>
                    <w:top w:val="single" w:color="auto" w:sz="4" w:space="0"/>
                    <w:left w:val="single" w:color="auto" w:sz="4" w:space="0"/>
                    <w:right w:val="single" w:color="auto" w:sz="4" w:space="0"/>
                  </w:tcBorders>
                  <w:vAlign w:val="center"/>
                </w:tcPr>
                <w:p w14:paraId="4F567FE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生产</w:t>
                  </w:r>
                </w:p>
                <w:p w14:paraId="5D30BCA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w:t>
                  </w:r>
                </w:p>
              </w:tc>
              <w:tc>
                <w:tcPr>
                  <w:tcW w:w="1582" w:type="pct"/>
                  <w:tcBorders>
                    <w:top w:val="single" w:color="auto" w:sz="4" w:space="0"/>
                    <w:left w:val="nil"/>
                    <w:bottom w:val="single" w:color="auto" w:sz="4" w:space="0"/>
                    <w:right w:val="single" w:color="auto" w:sz="4" w:space="0"/>
                  </w:tcBorders>
                  <w:vAlign w:val="center"/>
                </w:tcPr>
                <w:p w14:paraId="2866C35E">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乙醇</w:t>
                  </w:r>
                </w:p>
              </w:tc>
              <w:tc>
                <w:tcPr>
                  <w:tcW w:w="1052" w:type="pct"/>
                  <w:tcBorders>
                    <w:top w:val="single" w:color="auto" w:sz="4" w:space="0"/>
                    <w:left w:val="nil"/>
                    <w:bottom w:val="single" w:color="auto" w:sz="4" w:space="0"/>
                    <w:right w:val="single" w:color="auto" w:sz="4" w:space="0"/>
                  </w:tcBorders>
                  <w:vAlign w:val="center"/>
                </w:tcPr>
                <w:p w14:paraId="29C3DC50">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83.671t</w:t>
                  </w:r>
                </w:p>
              </w:tc>
              <w:tc>
                <w:tcPr>
                  <w:tcW w:w="528" w:type="pct"/>
                  <w:tcBorders>
                    <w:top w:val="single" w:color="auto" w:sz="4" w:space="0"/>
                    <w:left w:val="nil"/>
                    <w:bottom w:val="single" w:color="auto" w:sz="4" w:space="0"/>
                    <w:right w:val="single" w:color="auto" w:sz="4" w:space="0"/>
                  </w:tcBorders>
                  <w:vAlign w:val="center"/>
                </w:tcPr>
                <w:p w14:paraId="3EE72DB6">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500t</w:t>
                  </w:r>
                </w:p>
              </w:tc>
              <w:tc>
                <w:tcPr>
                  <w:tcW w:w="1269" w:type="pct"/>
                  <w:tcBorders>
                    <w:top w:val="single" w:color="auto" w:sz="4" w:space="0"/>
                    <w:left w:val="nil"/>
                    <w:bottom w:val="single" w:color="auto" w:sz="4" w:space="0"/>
                    <w:right w:val="single" w:color="auto" w:sz="4" w:space="0"/>
                  </w:tcBorders>
                  <w:vAlign w:val="center"/>
                </w:tcPr>
                <w:p w14:paraId="7B31B7AA">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0.167342</w:t>
                  </w:r>
                </w:p>
              </w:tc>
            </w:tr>
            <w:tr w14:paraId="18F2C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continue"/>
                  <w:tcBorders>
                    <w:left w:val="single" w:color="auto" w:sz="4" w:space="0"/>
                    <w:right w:val="single" w:color="auto" w:sz="4" w:space="0"/>
                  </w:tcBorders>
                  <w:vAlign w:val="center"/>
                </w:tcPr>
                <w:p w14:paraId="68E299E1">
                  <w:pPr>
                    <w:jc w:val="center"/>
                    <w:rPr>
                      <w:color w:val="000000" w:themeColor="text1"/>
                      <w:szCs w:val="21"/>
                      <w14:textFill>
                        <w14:solidFill>
                          <w14:schemeClr w14:val="tx1"/>
                        </w14:solidFill>
                      </w14:textFill>
                    </w:rPr>
                  </w:pPr>
                </w:p>
              </w:tc>
              <w:tc>
                <w:tcPr>
                  <w:tcW w:w="1582" w:type="pct"/>
                  <w:tcBorders>
                    <w:top w:val="single" w:color="auto" w:sz="4" w:space="0"/>
                    <w:left w:val="nil"/>
                    <w:bottom w:val="single" w:color="auto" w:sz="4" w:space="0"/>
                    <w:right w:val="single" w:color="auto" w:sz="4" w:space="0"/>
                  </w:tcBorders>
                  <w:shd w:val="clear" w:color="auto" w:fill="auto"/>
                  <w:vAlign w:val="center"/>
                </w:tcPr>
                <w:p w14:paraId="6F4D7BC9">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天然气</w:t>
                  </w:r>
                </w:p>
              </w:tc>
              <w:tc>
                <w:tcPr>
                  <w:tcW w:w="1052" w:type="pct"/>
                  <w:tcBorders>
                    <w:top w:val="single" w:color="auto" w:sz="4" w:space="0"/>
                    <w:left w:val="nil"/>
                    <w:bottom w:val="single" w:color="auto" w:sz="4" w:space="0"/>
                    <w:right w:val="single" w:color="auto" w:sz="4" w:space="0"/>
                  </w:tcBorders>
                  <w:shd w:val="clear" w:color="auto" w:fill="auto"/>
                  <w:vAlign w:val="center"/>
                </w:tcPr>
                <w:p w14:paraId="3274C579">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0.0225</w:t>
                  </w:r>
                  <w:r>
                    <w:rPr>
                      <w:color w:val="000000" w:themeColor="text1"/>
                      <w:sz w:val="21"/>
                      <w:szCs w:val="21"/>
                      <w14:textFill>
                        <w14:solidFill>
                          <w14:schemeClr w14:val="tx1"/>
                        </w14:solidFill>
                      </w14:textFill>
                    </w:rPr>
                    <w:t>t</w:t>
                  </w:r>
                </w:p>
              </w:tc>
              <w:tc>
                <w:tcPr>
                  <w:tcW w:w="528" w:type="pct"/>
                  <w:tcBorders>
                    <w:top w:val="single" w:color="auto" w:sz="4" w:space="0"/>
                    <w:left w:val="nil"/>
                    <w:bottom w:val="single" w:color="auto" w:sz="4" w:space="0"/>
                    <w:right w:val="single" w:color="auto" w:sz="4" w:space="0"/>
                  </w:tcBorders>
                  <w:shd w:val="clear" w:color="auto" w:fill="auto"/>
                  <w:vAlign w:val="center"/>
                </w:tcPr>
                <w:p w14:paraId="2202387B">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10t</w:t>
                  </w:r>
                  <w:r>
                    <w:rPr>
                      <w:rFonts w:hint="eastAsia" w:ascii="宋体" w:hAnsi="宋体"/>
                      <w:color w:val="000000" w:themeColor="text1"/>
                      <w:sz w:val="21"/>
                      <w:szCs w:val="21"/>
                      <w14:textFill>
                        <w14:solidFill>
                          <w14:schemeClr w14:val="tx1"/>
                        </w14:solidFill>
                      </w14:textFill>
                    </w:rPr>
                    <w:t>（以甲烷计）</w:t>
                  </w:r>
                </w:p>
              </w:tc>
              <w:tc>
                <w:tcPr>
                  <w:tcW w:w="1269" w:type="pct"/>
                  <w:tcBorders>
                    <w:top w:val="single" w:color="auto" w:sz="4" w:space="0"/>
                    <w:left w:val="nil"/>
                    <w:bottom w:val="single" w:color="auto" w:sz="4" w:space="0"/>
                    <w:right w:val="single" w:color="auto" w:sz="4" w:space="0"/>
                  </w:tcBorders>
                  <w:shd w:val="clear" w:color="auto" w:fill="auto"/>
                  <w:vAlign w:val="center"/>
                </w:tcPr>
                <w:p w14:paraId="670D18DE">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0.00225</w:t>
                  </w:r>
                </w:p>
              </w:tc>
            </w:tr>
            <w:tr w14:paraId="4F47B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continue"/>
                  <w:tcBorders>
                    <w:left w:val="single" w:color="auto" w:sz="4" w:space="0"/>
                    <w:right w:val="single" w:color="auto" w:sz="4" w:space="0"/>
                  </w:tcBorders>
                  <w:vAlign w:val="center"/>
                </w:tcPr>
                <w:p w14:paraId="706B2436">
                  <w:pPr>
                    <w:jc w:val="center"/>
                    <w:rPr>
                      <w:color w:val="000000" w:themeColor="text1"/>
                      <w:szCs w:val="21"/>
                      <w14:textFill>
                        <w14:solidFill>
                          <w14:schemeClr w14:val="tx1"/>
                        </w14:solidFill>
                      </w14:textFill>
                    </w:rPr>
                  </w:pPr>
                </w:p>
              </w:tc>
              <w:tc>
                <w:tcPr>
                  <w:tcW w:w="1582" w:type="pct"/>
                  <w:tcBorders>
                    <w:top w:val="single" w:color="auto" w:sz="4" w:space="0"/>
                    <w:left w:val="nil"/>
                    <w:bottom w:val="single" w:color="auto" w:sz="4" w:space="0"/>
                    <w:right w:val="single" w:color="auto" w:sz="4" w:space="0"/>
                  </w:tcBorders>
                  <w:shd w:val="clear" w:color="auto" w:fill="auto"/>
                  <w:vAlign w:val="center"/>
                </w:tcPr>
                <w:p w14:paraId="091BE4A9">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硝酸</w:t>
                  </w:r>
                </w:p>
              </w:tc>
              <w:tc>
                <w:tcPr>
                  <w:tcW w:w="1052" w:type="pct"/>
                  <w:tcBorders>
                    <w:top w:val="single" w:color="auto" w:sz="4" w:space="0"/>
                    <w:left w:val="nil"/>
                    <w:bottom w:val="single" w:color="auto" w:sz="4" w:space="0"/>
                    <w:right w:val="single" w:color="auto" w:sz="4" w:space="0"/>
                  </w:tcBorders>
                  <w:shd w:val="clear" w:color="auto" w:fill="auto"/>
                  <w:vAlign w:val="center"/>
                </w:tcPr>
                <w:p w14:paraId="562101D7">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折纯量0.4</w:t>
                  </w:r>
                  <w:r>
                    <w:rPr>
                      <w:color w:val="000000" w:themeColor="text1"/>
                      <w:sz w:val="21"/>
                      <w:szCs w:val="21"/>
                      <w14:textFill>
                        <w14:solidFill>
                          <w14:schemeClr w14:val="tx1"/>
                        </w14:solidFill>
                      </w14:textFill>
                    </w:rPr>
                    <w:t>t</w:t>
                  </w:r>
                </w:p>
              </w:tc>
              <w:tc>
                <w:tcPr>
                  <w:tcW w:w="528" w:type="pct"/>
                  <w:tcBorders>
                    <w:top w:val="single" w:color="auto" w:sz="4" w:space="0"/>
                    <w:left w:val="nil"/>
                    <w:bottom w:val="single" w:color="auto" w:sz="4" w:space="0"/>
                    <w:right w:val="single" w:color="auto" w:sz="4" w:space="0"/>
                  </w:tcBorders>
                  <w:shd w:val="clear" w:color="auto" w:fill="auto"/>
                  <w:vAlign w:val="center"/>
                </w:tcPr>
                <w:p w14:paraId="730A9C4B">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7.5</w:t>
                  </w:r>
                  <w:r>
                    <w:rPr>
                      <w:color w:val="000000" w:themeColor="text1"/>
                      <w:sz w:val="21"/>
                      <w:szCs w:val="21"/>
                      <w14:textFill>
                        <w14:solidFill>
                          <w14:schemeClr w14:val="tx1"/>
                        </w14:solidFill>
                      </w14:textFill>
                    </w:rPr>
                    <w:t>t</w:t>
                  </w:r>
                </w:p>
              </w:tc>
              <w:tc>
                <w:tcPr>
                  <w:tcW w:w="1269" w:type="pct"/>
                  <w:tcBorders>
                    <w:top w:val="single" w:color="auto" w:sz="4" w:space="0"/>
                    <w:left w:val="nil"/>
                    <w:bottom w:val="single" w:color="auto" w:sz="4" w:space="0"/>
                    <w:right w:val="single" w:color="auto" w:sz="4" w:space="0"/>
                  </w:tcBorders>
                  <w:shd w:val="clear" w:color="auto" w:fill="auto"/>
                  <w:vAlign w:val="center"/>
                </w:tcPr>
                <w:p w14:paraId="36AF2A33">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0.053333</w:t>
                  </w:r>
                </w:p>
              </w:tc>
            </w:tr>
            <w:tr w14:paraId="43480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continue"/>
                  <w:tcBorders>
                    <w:left w:val="single" w:color="auto" w:sz="4" w:space="0"/>
                    <w:right w:val="single" w:color="auto" w:sz="4" w:space="0"/>
                  </w:tcBorders>
                  <w:vAlign w:val="center"/>
                </w:tcPr>
                <w:p w14:paraId="1BB8D40C">
                  <w:pPr>
                    <w:jc w:val="center"/>
                    <w:rPr>
                      <w:color w:val="000000" w:themeColor="text1"/>
                      <w:szCs w:val="21"/>
                      <w14:textFill>
                        <w14:solidFill>
                          <w14:schemeClr w14:val="tx1"/>
                        </w14:solidFill>
                      </w14:textFill>
                    </w:rPr>
                  </w:pPr>
                </w:p>
              </w:tc>
              <w:tc>
                <w:tcPr>
                  <w:tcW w:w="1582" w:type="pct"/>
                  <w:tcBorders>
                    <w:top w:val="single" w:color="auto" w:sz="4" w:space="0"/>
                    <w:left w:val="nil"/>
                    <w:bottom w:val="single" w:color="auto" w:sz="4" w:space="0"/>
                    <w:right w:val="single" w:color="auto" w:sz="4" w:space="0"/>
                  </w:tcBorders>
                  <w:shd w:val="clear" w:color="auto" w:fill="auto"/>
                  <w:vAlign w:val="center"/>
                </w:tcPr>
                <w:p w14:paraId="7816B0B4">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乙二醇</w:t>
                  </w:r>
                </w:p>
              </w:tc>
              <w:tc>
                <w:tcPr>
                  <w:tcW w:w="1052" w:type="pct"/>
                  <w:tcBorders>
                    <w:top w:val="single" w:color="auto" w:sz="4" w:space="0"/>
                    <w:left w:val="nil"/>
                    <w:bottom w:val="single" w:color="auto" w:sz="4" w:space="0"/>
                    <w:right w:val="single" w:color="auto" w:sz="4" w:space="0"/>
                  </w:tcBorders>
                  <w:shd w:val="clear" w:color="auto" w:fill="auto"/>
                  <w:vAlign w:val="center"/>
                </w:tcPr>
                <w:p w14:paraId="4FF353FE">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0.2t</w:t>
                  </w:r>
                </w:p>
              </w:tc>
              <w:tc>
                <w:tcPr>
                  <w:tcW w:w="528" w:type="pct"/>
                  <w:tcBorders>
                    <w:top w:val="single" w:color="auto" w:sz="4" w:space="0"/>
                    <w:left w:val="nil"/>
                    <w:bottom w:val="single" w:color="auto" w:sz="4" w:space="0"/>
                    <w:right w:val="single" w:color="auto" w:sz="4" w:space="0"/>
                  </w:tcBorders>
                  <w:shd w:val="clear" w:color="auto" w:fill="auto"/>
                  <w:vAlign w:val="center"/>
                </w:tcPr>
                <w:p w14:paraId="6BDB95DC">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00t</w:t>
                  </w:r>
                </w:p>
              </w:tc>
              <w:tc>
                <w:tcPr>
                  <w:tcW w:w="1269" w:type="pct"/>
                  <w:tcBorders>
                    <w:top w:val="single" w:color="auto" w:sz="4" w:space="0"/>
                    <w:left w:val="nil"/>
                    <w:bottom w:val="single" w:color="auto" w:sz="4" w:space="0"/>
                    <w:right w:val="single" w:color="auto" w:sz="4" w:space="0"/>
                  </w:tcBorders>
                  <w:shd w:val="clear" w:color="auto" w:fill="auto"/>
                  <w:vAlign w:val="center"/>
                </w:tcPr>
                <w:p w14:paraId="06741577">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0.002</w:t>
                  </w:r>
                </w:p>
              </w:tc>
            </w:tr>
            <w:tr w14:paraId="62121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continue"/>
                  <w:tcBorders>
                    <w:left w:val="single" w:color="auto" w:sz="4" w:space="0"/>
                    <w:right w:val="single" w:color="auto" w:sz="4" w:space="0"/>
                  </w:tcBorders>
                  <w:vAlign w:val="center"/>
                </w:tcPr>
                <w:p w14:paraId="37C5EB40">
                  <w:pPr>
                    <w:jc w:val="center"/>
                    <w:rPr>
                      <w:color w:val="000000" w:themeColor="text1"/>
                      <w:szCs w:val="21"/>
                      <w14:textFill>
                        <w14:solidFill>
                          <w14:schemeClr w14:val="tx1"/>
                        </w14:solidFill>
                      </w14:textFill>
                    </w:rPr>
                  </w:pPr>
                </w:p>
              </w:tc>
              <w:tc>
                <w:tcPr>
                  <w:tcW w:w="1582" w:type="pct"/>
                  <w:tcBorders>
                    <w:top w:val="single" w:color="auto" w:sz="4" w:space="0"/>
                    <w:left w:val="nil"/>
                    <w:right w:val="single" w:color="auto" w:sz="4" w:space="0"/>
                  </w:tcBorders>
                  <w:vAlign w:val="center"/>
                </w:tcPr>
                <w:p w14:paraId="6374DBDF">
                  <w:pPr>
                    <w:pStyle w:val="7"/>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矿物油类</w:t>
                  </w:r>
                </w:p>
              </w:tc>
              <w:tc>
                <w:tcPr>
                  <w:tcW w:w="1052" w:type="pct"/>
                  <w:tcBorders>
                    <w:top w:val="single" w:color="auto" w:sz="4" w:space="0"/>
                    <w:left w:val="nil"/>
                    <w:right w:val="single" w:color="auto" w:sz="4" w:space="0"/>
                  </w:tcBorders>
                  <w:vAlign w:val="center"/>
                </w:tcPr>
                <w:p w14:paraId="44A7AF3F">
                  <w:pPr>
                    <w:pStyle w:val="7"/>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0.</w:t>
                  </w:r>
                  <w:r>
                    <w:rPr>
                      <w:rFonts w:hint="eastAsia"/>
                      <w:color w:val="000000" w:themeColor="text1"/>
                      <w:sz w:val="21"/>
                      <w:szCs w:val="21"/>
                      <w14:textFill>
                        <w14:solidFill>
                          <w14:schemeClr w14:val="tx1"/>
                        </w14:solidFill>
                      </w14:textFill>
                    </w:rPr>
                    <w:t>5</w:t>
                  </w:r>
                  <w:r>
                    <w:rPr>
                      <w:color w:val="000000" w:themeColor="text1"/>
                      <w:sz w:val="21"/>
                      <w:szCs w:val="21"/>
                      <w14:textFill>
                        <w14:solidFill>
                          <w14:schemeClr w14:val="tx1"/>
                        </w14:solidFill>
                      </w14:textFill>
                    </w:rPr>
                    <w:t>t</w:t>
                  </w:r>
                </w:p>
              </w:tc>
              <w:tc>
                <w:tcPr>
                  <w:tcW w:w="528" w:type="pct"/>
                  <w:tcBorders>
                    <w:top w:val="single" w:color="auto" w:sz="4" w:space="0"/>
                    <w:left w:val="nil"/>
                    <w:right w:val="single" w:color="auto" w:sz="4" w:space="0"/>
                  </w:tcBorders>
                  <w:vAlign w:val="center"/>
                </w:tcPr>
                <w:p w14:paraId="5CC049D1">
                  <w:pPr>
                    <w:pStyle w:val="7"/>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2500t</w:t>
                  </w:r>
                </w:p>
              </w:tc>
              <w:tc>
                <w:tcPr>
                  <w:tcW w:w="1269" w:type="pct"/>
                  <w:tcBorders>
                    <w:top w:val="single" w:color="auto" w:sz="4" w:space="0"/>
                    <w:left w:val="nil"/>
                    <w:right w:val="single" w:color="auto" w:sz="4" w:space="0"/>
                  </w:tcBorders>
                  <w:vAlign w:val="center"/>
                </w:tcPr>
                <w:p w14:paraId="5F7C6E4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0.0002</w:t>
                  </w:r>
                </w:p>
              </w:tc>
            </w:tr>
            <w:tr w14:paraId="270CC9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68" w:type="pct"/>
                  <w:vMerge w:val="continue"/>
                  <w:tcBorders>
                    <w:left w:val="single" w:color="auto" w:sz="4" w:space="0"/>
                    <w:right w:val="single" w:color="auto" w:sz="4" w:space="0"/>
                  </w:tcBorders>
                  <w:vAlign w:val="center"/>
                </w:tcPr>
                <w:p w14:paraId="165025C8">
                  <w:pPr>
                    <w:jc w:val="center"/>
                    <w:rPr>
                      <w:color w:val="000000" w:themeColor="text1"/>
                      <w:szCs w:val="21"/>
                      <w14:textFill>
                        <w14:solidFill>
                          <w14:schemeClr w14:val="tx1"/>
                        </w14:solidFill>
                      </w14:textFill>
                    </w:rPr>
                  </w:pPr>
                </w:p>
              </w:tc>
              <w:tc>
                <w:tcPr>
                  <w:tcW w:w="1582" w:type="pct"/>
                  <w:tcBorders>
                    <w:top w:val="single" w:color="auto" w:sz="4" w:space="0"/>
                    <w:left w:val="nil"/>
                    <w:right w:val="single" w:color="auto" w:sz="4" w:space="0"/>
                  </w:tcBorders>
                  <w:vAlign w:val="center"/>
                </w:tcPr>
                <w:p w14:paraId="63A8736D">
                  <w:pPr>
                    <w:pStyle w:val="7"/>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COD</w:t>
                  </w:r>
                  <w:r>
                    <w:rPr>
                      <w:color w:val="000000" w:themeColor="text1"/>
                      <w:sz w:val="21"/>
                      <w:szCs w:val="21"/>
                      <w:vertAlign w:val="subscript"/>
                      <w14:textFill>
                        <w14:solidFill>
                          <w14:schemeClr w14:val="tx1"/>
                        </w14:solidFill>
                      </w14:textFill>
                    </w:rPr>
                    <w:t>Cr</w:t>
                  </w:r>
                  <w:r>
                    <w:rPr>
                      <w:color w:val="000000" w:themeColor="text1"/>
                      <w:sz w:val="21"/>
                      <w:szCs w:val="21"/>
                      <w14:textFill>
                        <w14:solidFill>
                          <w14:schemeClr w14:val="tx1"/>
                        </w14:solidFill>
                      </w14:textFill>
                    </w:rPr>
                    <w:t>浓度≥10000mg/L的有机废液</w:t>
                  </w:r>
                </w:p>
              </w:tc>
              <w:tc>
                <w:tcPr>
                  <w:tcW w:w="1052" w:type="pct"/>
                  <w:tcBorders>
                    <w:top w:val="single" w:color="auto" w:sz="4" w:space="0"/>
                    <w:left w:val="nil"/>
                    <w:right w:val="single" w:color="auto" w:sz="4" w:space="0"/>
                  </w:tcBorders>
                  <w:vAlign w:val="center"/>
                </w:tcPr>
                <w:p w14:paraId="3CF5C932">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0.267</w:t>
                  </w:r>
                  <w:r>
                    <w:rPr>
                      <w:color w:val="000000" w:themeColor="text1"/>
                      <w:sz w:val="21"/>
                      <w:szCs w:val="21"/>
                      <w14:textFill>
                        <w14:solidFill>
                          <w14:schemeClr w14:val="tx1"/>
                        </w14:solidFill>
                      </w14:textFill>
                    </w:rPr>
                    <w:t>t</w:t>
                  </w:r>
                </w:p>
              </w:tc>
              <w:tc>
                <w:tcPr>
                  <w:tcW w:w="528" w:type="pct"/>
                  <w:tcBorders>
                    <w:top w:val="single" w:color="auto" w:sz="4" w:space="0"/>
                    <w:left w:val="nil"/>
                    <w:right w:val="single" w:color="auto" w:sz="4" w:space="0"/>
                  </w:tcBorders>
                  <w:vAlign w:val="center"/>
                </w:tcPr>
                <w:p w14:paraId="79068DB2">
                  <w:pPr>
                    <w:pStyle w:val="7"/>
                    <w:ind w:firstLine="0" w:firstLineChars="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0t</w:t>
                  </w:r>
                </w:p>
              </w:tc>
              <w:tc>
                <w:tcPr>
                  <w:tcW w:w="1269" w:type="pct"/>
                  <w:tcBorders>
                    <w:top w:val="single" w:color="auto" w:sz="4" w:space="0"/>
                    <w:left w:val="nil"/>
                    <w:right w:val="single" w:color="auto" w:sz="4" w:space="0"/>
                  </w:tcBorders>
                  <w:vAlign w:val="center"/>
                </w:tcPr>
                <w:p w14:paraId="49F69C6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0.0267</w:t>
                  </w:r>
                </w:p>
              </w:tc>
            </w:tr>
            <w:tr w14:paraId="60D4A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730" w:type="pct"/>
                  <w:gridSpan w:val="4"/>
                  <w:tcBorders>
                    <w:top w:val="single" w:color="auto" w:sz="4" w:space="0"/>
                    <w:left w:val="single" w:color="auto" w:sz="4" w:space="0"/>
                    <w:bottom w:val="single" w:color="auto" w:sz="4" w:space="0"/>
                    <w:right w:val="single" w:color="auto" w:sz="4" w:space="0"/>
                  </w:tcBorders>
                  <w:vAlign w:val="center"/>
                </w:tcPr>
                <w:p w14:paraId="2210B199">
                  <w:pPr>
                    <w:pStyle w:val="7"/>
                    <w:ind w:firstLine="0" w:firstLineChars="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合计</w:t>
                  </w:r>
                </w:p>
              </w:tc>
              <w:tc>
                <w:tcPr>
                  <w:tcW w:w="1269" w:type="pct"/>
                  <w:tcBorders>
                    <w:top w:val="single" w:color="auto" w:sz="4" w:space="0"/>
                    <w:left w:val="nil"/>
                    <w:bottom w:val="single" w:color="auto" w:sz="4" w:space="0"/>
                    <w:right w:val="single" w:color="auto" w:sz="4" w:space="0"/>
                  </w:tcBorders>
                  <w:vAlign w:val="center"/>
                </w:tcPr>
                <w:p w14:paraId="7B3ACB97">
                  <w:pPr>
                    <w:widowControl/>
                    <w:jc w:val="center"/>
                    <w:textAlignment w:val="center"/>
                    <w:rPr>
                      <w:color w:val="000000" w:themeColor="text1"/>
                      <w:sz w:val="21"/>
                      <w:szCs w:val="21"/>
                      <w14:textFill>
                        <w14:solidFill>
                          <w14:schemeClr w14:val="tx1"/>
                        </w14:solidFill>
                      </w14:textFill>
                    </w:rPr>
                  </w:pPr>
                  <w:r>
                    <w:rPr>
                      <w:color w:val="000000" w:themeColor="text1"/>
                      <w:kern w:val="0"/>
                      <w:szCs w:val="21"/>
                      <w:lang w:bidi="ar"/>
                      <w14:textFill>
                        <w14:solidFill>
                          <w14:schemeClr w14:val="tx1"/>
                        </w14:solidFill>
                      </w14:textFill>
                    </w:rPr>
                    <w:fldChar w:fldCharType="begin"/>
                  </w:r>
                  <w:r>
                    <w:rPr>
                      <w:color w:val="000000" w:themeColor="text1"/>
                      <w:kern w:val="0"/>
                      <w:szCs w:val="21"/>
                      <w:lang w:bidi="ar"/>
                      <w14:textFill>
                        <w14:solidFill>
                          <w14:schemeClr w14:val="tx1"/>
                        </w14:solidFill>
                      </w14:textFill>
                    </w:rPr>
                    <w:instrText xml:space="preserve"> = sum(E2:E7) \* MERGEFORMAT </w:instrText>
                  </w:r>
                  <w:r>
                    <w:rPr>
                      <w:color w:val="000000" w:themeColor="text1"/>
                      <w:kern w:val="0"/>
                      <w:szCs w:val="21"/>
                      <w:lang w:bidi="ar"/>
                      <w14:textFill>
                        <w14:solidFill>
                          <w14:schemeClr w14:val="tx1"/>
                        </w14:solidFill>
                      </w14:textFill>
                    </w:rPr>
                    <w:fldChar w:fldCharType="separate"/>
                  </w:r>
                  <w:r>
                    <w:rPr>
                      <w:color w:val="000000" w:themeColor="text1"/>
                      <w:kern w:val="0"/>
                      <w:szCs w:val="21"/>
                      <w:lang w:bidi="ar"/>
                      <w14:textFill>
                        <w14:solidFill>
                          <w14:schemeClr w14:val="tx1"/>
                        </w14:solidFill>
                      </w14:textFill>
                    </w:rPr>
                    <w:t>0.251825</w:t>
                  </w:r>
                  <w:r>
                    <w:rPr>
                      <w:color w:val="000000" w:themeColor="text1"/>
                      <w:kern w:val="0"/>
                      <w:szCs w:val="21"/>
                      <w:lang w:bidi="ar"/>
                      <w14:textFill>
                        <w14:solidFill>
                          <w14:schemeClr w14:val="tx1"/>
                        </w14:solidFill>
                      </w14:textFill>
                    </w:rPr>
                    <w:fldChar w:fldCharType="end"/>
                  </w:r>
                </w:p>
              </w:tc>
            </w:tr>
          </w:tbl>
          <w:p w14:paraId="2823AF7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根据计算结果，Q=</w:t>
            </w:r>
            <w:r>
              <w:rPr>
                <w:color w:val="000000" w:themeColor="text1"/>
                <w:sz w:val="24"/>
                <w14:textFill>
                  <w14:solidFill>
                    <w14:schemeClr w14:val="tx1"/>
                  </w14:solidFill>
                </w14:textFill>
              </w:rPr>
              <w:fldChar w:fldCharType="begin"/>
            </w:r>
            <w:r>
              <w:rPr>
                <w:color w:val="000000" w:themeColor="text1"/>
                <w:sz w:val="24"/>
                <w14:textFill>
                  <w14:solidFill>
                    <w14:schemeClr w14:val="tx1"/>
                  </w14:solidFill>
                </w14:textFill>
              </w:rPr>
              <w:instrText xml:space="preserve"> = sum(E2:E7) \* MERGEFORMAT </w:instrText>
            </w:r>
            <w:r>
              <w:rPr>
                <w:color w:val="000000" w:themeColor="text1"/>
                <w:sz w:val="24"/>
                <w14:textFill>
                  <w14:solidFill>
                    <w14:schemeClr w14:val="tx1"/>
                  </w14:solidFill>
                </w14:textFill>
              </w:rPr>
              <w:fldChar w:fldCharType="separate"/>
            </w:r>
            <w:r>
              <w:rPr>
                <w:color w:val="000000" w:themeColor="text1"/>
                <w:sz w:val="24"/>
                <w14:textFill>
                  <w14:solidFill>
                    <w14:schemeClr w14:val="tx1"/>
                  </w14:solidFill>
                </w14:textFill>
              </w:rPr>
              <w:t>0.251825</w:t>
            </w:r>
            <w:r>
              <w:rPr>
                <w:color w:val="000000" w:themeColor="text1"/>
                <w:sz w:val="24"/>
                <w14:textFill>
                  <w14:solidFill>
                    <w14:schemeClr w14:val="tx1"/>
                  </w14:solidFill>
                </w14:textFill>
              </w:rPr>
              <w:fldChar w:fldCharType="end"/>
            </w:r>
            <w:r>
              <w:rPr>
                <w:color w:val="000000" w:themeColor="text1"/>
                <w:sz w:val="24"/>
                <w14:textFill>
                  <w14:solidFill>
                    <w14:schemeClr w14:val="tx1"/>
                  </w14:solidFill>
                </w14:textFill>
              </w:rPr>
              <w:t>＜1，因此本项目的环境风险潜势为Ⅰ。</w:t>
            </w:r>
          </w:p>
          <w:p w14:paraId="014ACD07">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（3）评价等级</w:t>
            </w:r>
          </w:p>
          <w:p w14:paraId="1FA97C8D">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color w:val="000000" w:themeColor="text1"/>
                <w:sz w:val="24"/>
                <w:lang w:val="en-GB"/>
                <w14:textFill>
                  <w14:solidFill>
                    <w14:schemeClr w14:val="tx1"/>
                  </w14:solidFill>
                </w14:textFill>
              </w:rPr>
              <w:t>《建设项目环境风险评价技术导则》</w:t>
            </w:r>
            <w:r>
              <w:rPr>
                <w:color w:val="000000" w:themeColor="text1"/>
                <w:sz w:val="24"/>
                <w14:textFill>
                  <w14:solidFill>
                    <w14:schemeClr w14:val="tx1"/>
                  </w14:solidFill>
                </w14:textFill>
              </w:rPr>
              <w:t>（HJ169-2018）规定，环境风险评价工作等级划分见下表。</w:t>
            </w:r>
          </w:p>
          <w:p w14:paraId="0B1599E3">
            <w:pPr>
              <w:tabs>
                <w:tab w:val="left" w:pos="1081"/>
              </w:tabs>
              <w:adjustRightInd w:val="0"/>
              <w:snapToGrid w:val="0"/>
              <w:spacing w:line="360" w:lineRule="auto"/>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 xml:space="preserve">25  </w:t>
            </w:r>
            <w:r>
              <w:rPr>
                <w:b/>
                <w:color w:val="000000" w:themeColor="text1"/>
                <w:sz w:val="24"/>
                <w14:textFill>
                  <w14:solidFill>
                    <w14:schemeClr w14:val="tx1"/>
                  </w14:solidFill>
                </w14:textFill>
              </w:rPr>
              <w:t>评价工作等级划分表</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82"/>
              <w:gridCol w:w="1922"/>
              <w:gridCol w:w="1600"/>
              <w:gridCol w:w="1538"/>
              <w:gridCol w:w="2021"/>
            </w:tblGrid>
            <w:tr w14:paraId="6A8F39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6" w:type="pct"/>
                  <w:vAlign w:val="center"/>
                </w:tcPr>
                <w:p w14:paraId="603372C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环境风险潜势</w:t>
                  </w:r>
                </w:p>
              </w:tc>
              <w:tc>
                <w:tcPr>
                  <w:tcW w:w="1049" w:type="pct"/>
                  <w:vAlign w:val="center"/>
                </w:tcPr>
                <w:p w14:paraId="73DD6AD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Ⅳ、Ⅳ</w:t>
                  </w:r>
                  <w:r>
                    <w:rPr>
                      <w:color w:val="000000" w:themeColor="text1"/>
                      <w:szCs w:val="21"/>
                      <w:vertAlign w:val="superscript"/>
                      <w14:textFill>
                        <w14:solidFill>
                          <w14:schemeClr w14:val="tx1"/>
                        </w14:solidFill>
                      </w14:textFill>
                    </w:rPr>
                    <w:t>+</w:t>
                  </w:r>
                </w:p>
              </w:tc>
              <w:tc>
                <w:tcPr>
                  <w:tcW w:w="873" w:type="pct"/>
                  <w:vAlign w:val="center"/>
                </w:tcPr>
                <w:p w14:paraId="1CDE5A7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Ⅲ</w:t>
                  </w:r>
                </w:p>
              </w:tc>
              <w:tc>
                <w:tcPr>
                  <w:tcW w:w="839" w:type="pct"/>
                  <w:vAlign w:val="center"/>
                </w:tcPr>
                <w:p w14:paraId="76B5B96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Ⅱ</w:t>
                  </w:r>
                </w:p>
              </w:tc>
              <w:tc>
                <w:tcPr>
                  <w:tcW w:w="1102" w:type="pct"/>
                  <w:vAlign w:val="center"/>
                </w:tcPr>
                <w:p w14:paraId="5FFB4BC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Ⅰ</w:t>
                  </w:r>
                </w:p>
              </w:tc>
            </w:tr>
            <w:tr w14:paraId="62A89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36" w:type="pct"/>
                  <w:vAlign w:val="center"/>
                </w:tcPr>
                <w:p w14:paraId="0660FCF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评级工作等级</w:t>
                  </w:r>
                </w:p>
              </w:tc>
              <w:tc>
                <w:tcPr>
                  <w:tcW w:w="1049" w:type="pct"/>
                  <w:vAlign w:val="center"/>
                </w:tcPr>
                <w:p w14:paraId="2552E0D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w:t>
                  </w:r>
                </w:p>
              </w:tc>
              <w:tc>
                <w:tcPr>
                  <w:tcW w:w="873" w:type="pct"/>
                  <w:vAlign w:val="center"/>
                </w:tcPr>
                <w:p w14:paraId="31296AC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二</w:t>
                  </w:r>
                </w:p>
              </w:tc>
              <w:tc>
                <w:tcPr>
                  <w:tcW w:w="839" w:type="pct"/>
                  <w:vAlign w:val="center"/>
                </w:tcPr>
                <w:p w14:paraId="71C147C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三</w:t>
                  </w:r>
                </w:p>
              </w:tc>
              <w:tc>
                <w:tcPr>
                  <w:tcW w:w="1102" w:type="pct"/>
                  <w:vAlign w:val="center"/>
                </w:tcPr>
                <w:p w14:paraId="3672BA1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简单分析</w:t>
                  </w:r>
                  <w:r>
                    <w:rPr>
                      <w:color w:val="000000" w:themeColor="text1"/>
                      <w:szCs w:val="21"/>
                      <w:vertAlign w:val="superscript"/>
                      <w14:textFill>
                        <w14:solidFill>
                          <w14:schemeClr w14:val="tx1"/>
                        </w14:solidFill>
                      </w14:textFill>
                    </w:rPr>
                    <w:t>a</w:t>
                  </w:r>
                </w:p>
              </w:tc>
            </w:tr>
            <w:tr w14:paraId="175B4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000" w:type="pct"/>
                  <w:gridSpan w:val="5"/>
                  <w:vAlign w:val="center"/>
                </w:tcPr>
                <w:p w14:paraId="58250ADF">
                  <w:pPr>
                    <w:rPr>
                      <w:color w:val="000000" w:themeColor="text1"/>
                      <w:szCs w:val="21"/>
                      <w14:textFill>
                        <w14:solidFill>
                          <w14:schemeClr w14:val="tx1"/>
                        </w14:solidFill>
                      </w14:textFill>
                    </w:rPr>
                  </w:pPr>
                  <w:r>
                    <w:rPr>
                      <w:color w:val="000000" w:themeColor="text1"/>
                      <w:szCs w:val="21"/>
                      <w14:textFill>
                        <w14:solidFill>
                          <w14:schemeClr w14:val="tx1"/>
                        </w14:solidFill>
                      </w14:textFill>
                    </w:rPr>
                    <w:t>a 是相对于详细评价工作内容而言，在描述危险物质、环境影响途径、环境危害后果、风险防范措施等方面给出定性的说明。</w:t>
                  </w:r>
                </w:p>
              </w:tc>
            </w:tr>
          </w:tbl>
          <w:p w14:paraId="181DFEBB">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由于本项目环境风险潜势为Ⅰ，根据上表可知，本次仅需对项目环境风险进行简单分析。</w:t>
            </w:r>
          </w:p>
          <w:p w14:paraId="5B94F35C">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7.2环境敏感目标概况</w:t>
            </w:r>
          </w:p>
          <w:p w14:paraId="64933BE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经现场调查，本项目周围主要环境敏感目标见下表。</w:t>
            </w:r>
          </w:p>
          <w:p w14:paraId="65DD2622">
            <w:pPr>
              <w:adjustRightInd w:val="0"/>
              <w:snapToGrid w:val="0"/>
              <w:spacing w:line="360" w:lineRule="auto"/>
              <w:ind w:firstLine="482" w:firstLineChars="200"/>
              <w:jc w:val="center"/>
              <w:rPr>
                <w:b/>
                <w:color w:val="000000" w:themeColor="text1"/>
                <w:sz w:val="24"/>
                <w14:textFill>
                  <w14:solidFill>
                    <w14:schemeClr w14:val="tx1"/>
                  </w14:solidFill>
                </w14:textFill>
              </w:rPr>
            </w:pPr>
            <w:r>
              <w:rPr>
                <w:b/>
                <w:color w:val="000000" w:themeColor="text1"/>
                <w:sz w:val="24"/>
                <w14:textFill>
                  <w14:solidFill>
                    <w14:schemeClr w14:val="tx1"/>
                  </w14:solidFill>
                </w14:textFill>
              </w:rPr>
              <w:t>表4-</w:t>
            </w:r>
            <w:r>
              <w:rPr>
                <w:rFonts w:hint="eastAsia"/>
                <w:b/>
                <w:color w:val="000000" w:themeColor="text1"/>
                <w:sz w:val="24"/>
                <w14:textFill>
                  <w14:solidFill>
                    <w14:schemeClr w14:val="tx1"/>
                  </w14:solidFill>
                </w14:textFill>
              </w:rPr>
              <w:t>26</w:t>
            </w:r>
            <w:r>
              <w:rPr>
                <w:b/>
                <w:color w:val="000000" w:themeColor="text1"/>
                <w:sz w:val="24"/>
                <w14:textFill>
                  <w14:solidFill>
                    <w14:schemeClr w14:val="tx1"/>
                  </w14:solidFill>
                </w14:textFill>
              </w:rPr>
              <w:t xml:space="preserve">  主要环境保护目标一览表</w:t>
            </w:r>
          </w:p>
          <w:tbl>
            <w:tblPr>
              <w:tblStyle w:val="25"/>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0"/>
              <w:gridCol w:w="1735"/>
              <w:gridCol w:w="995"/>
              <w:gridCol w:w="1196"/>
              <w:gridCol w:w="3760"/>
            </w:tblGrid>
            <w:tr w14:paraId="35D4D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Align w:val="center"/>
                </w:tcPr>
                <w:p w14:paraId="3198899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环境要素</w:t>
                  </w:r>
                </w:p>
              </w:tc>
              <w:tc>
                <w:tcPr>
                  <w:tcW w:w="947" w:type="pct"/>
                  <w:vAlign w:val="center"/>
                </w:tcPr>
                <w:p w14:paraId="3DA11C5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保护目标</w:t>
                  </w:r>
                </w:p>
              </w:tc>
              <w:tc>
                <w:tcPr>
                  <w:tcW w:w="543" w:type="pct"/>
                  <w:vAlign w:val="center"/>
                </w:tcPr>
                <w:p w14:paraId="42CE8F5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方位</w:t>
                  </w:r>
                </w:p>
              </w:tc>
              <w:tc>
                <w:tcPr>
                  <w:tcW w:w="653" w:type="pct"/>
                  <w:vAlign w:val="center"/>
                </w:tcPr>
                <w:p w14:paraId="29B1CEC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距离</w:t>
                  </w:r>
                </w:p>
              </w:tc>
              <w:tc>
                <w:tcPr>
                  <w:tcW w:w="2052" w:type="pct"/>
                  <w:vAlign w:val="center"/>
                </w:tcPr>
                <w:p w14:paraId="068C393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保护级别</w:t>
                  </w:r>
                </w:p>
              </w:tc>
            </w:tr>
            <w:tr w14:paraId="556A1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Merge w:val="restart"/>
                  <w:vAlign w:val="center"/>
                </w:tcPr>
                <w:p w14:paraId="0FC0EDB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大气环境</w:t>
                  </w:r>
                </w:p>
              </w:tc>
              <w:tc>
                <w:tcPr>
                  <w:tcW w:w="947" w:type="pct"/>
                  <w:vAlign w:val="center"/>
                </w:tcPr>
                <w:p w14:paraId="726B7DF2">
                  <w:pPr>
                    <w:tabs>
                      <w:tab w:val="center" w:pos="696"/>
                      <w:tab w:val="right" w:pos="1273"/>
                    </w:tabs>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怪家</w:t>
                  </w:r>
                </w:p>
              </w:tc>
              <w:tc>
                <w:tcPr>
                  <w:tcW w:w="543" w:type="pct"/>
                  <w:vAlign w:val="center"/>
                </w:tcPr>
                <w:p w14:paraId="1654156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E</w:t>
                  </w:r>
                </w:p>
              </w:tc>
              <w:tc>
                <w:tcPr>
                  <w:tcW w:w="653" w:type="pct"/>
                  <w:vAlign w:val="center"/>
                </w:tcPr>
                <w:p w14:paraId="209C909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218m</w:t>
                  </w:r>
                </w:p>
              </w:tc>
              <w:tc>
                <w:tcPr>
                  <w:tcW w:w="2052" w:type="pct"/>
                  <w:vMerge w:val="restart"/>
                  <w:vAlign w:val="center"/>
                </w:tcPr>
                <w:p w14:paraId="726AC80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《环境空气质量标准》</w:t>
                  </w:r>
                </w:p>
                <w:p w14:paraId="4DE6269E">
                  <w:pPr>
                    <w:tabs>
                      <w:tab w:val="left" w:pos="0"/>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（GB3095-2012）二级标准</w:t>
                  </w:r>
                </w:p>
              </w:tc>
            </w:tr>
            <w:tr w14:paraId="3ABE7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Merge w:val="continue"/>
                  <w:vAlign w:val="center"/>
                </w:tcPr>
                <w:p w14:paraId="3CAB1BE0">
                  <w:pPr>
                    <w:jc w:val="center"/>
                    <w:rPr>
                      <w:color w:val="000000" w:themeColor="text1"/>
                      <w:szCs w:val="21"/>
                      <w14:textFill>
                        <w14:solidFill>
                          <w14:schemeClr w14:val="tx1"/>
                        </w14:solidFill>
                      </w14:textFill>
                    </w:rPr>
                  </w:pPr>
                </w:p>
              </w:tc>
              <w:tc>
                <w:tcPr>
                  <w:tcW w:w="947" w:type="pct"/>
                  <w:vAlign w:val="center"/>
                </w:tcPr>
                <w:p w14:paraId="7576329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楚家</w:t>
                  </w:r>
                </w:p>
              </w:tc>
              <w:tc>
                <w:tcPr>
                  <w:tcW w:w="543" w:type="pct"/>
                  <w:vAlign w:val="center"/>
                </w:tcPr>
                <w:p w14:paraId="31C9303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w:t>
                  </w:r>
                  <w:r>
                    <w:rPr>
                      <w:color w:val="000000" w:themeColor="text1"/>
                      <w:szCs w:val="21"/>
                      <w14:textFill>
                        <w14:solidFill>
                          <w14:schemeClr w14:val="tx1"/>
                        </w14:solidFill>
                      </w14:textFill>
                    </w:rPr>
                    <w:t>E</w:t>
                  </w:r>
                </w:p>
              </w:tc>
              <w:tc>
                <w:tcPr>
                  <w:tcW w:w="653" w:type="pct"/>
                  <w:vAlign w:val="center"/>
                </w:tcPr>
                <w:p w14:paraId="43DFFA9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500</w:t>
                  </w:r>
                  <w:r>
                    <w:rPr>
                      <w:color w:val="000000" w:themeColor="text1"/>
                      <w:szCs w:val="21"/>
                      <w14:textFill>
                        <w14:solidFill>
                          <w14:schemeClr w14:val="tx1"/>
                        </w14:solidFill>
                      </w14:textFill>
                    </w:rPr>
                    <w:t>m</w:t>
                  </w:r>
                </w:p>
              </w:tc>
              <w:tc>
                <w:tcPr>
                  <w:tcW w:w="2052" w:type="pct"/>
                  <w:vMerge w:val="continue"/>
                  <w:vAlign w:val="center"/>
                </w:tcPr>
                <w:p w14:paraId="6B09402B">
                  <w:pPr>
                    <w:tabs>
                      <w:tab w:val="left" w:pos="0"/>
                    </w:tabs>
                    <w:adjustRightInd w:val="0"/>
                    <w:snapToGrid w:val="0"/>
                    <w:jc w:val="center"/>
                    <w:rPr>
                      <w:color w:val="000000" w:themeColor="text1"/>
                      <w:szCs w:val="21"/>
                      <w14:textFill>
                        <w14:solidFill>
                          <w14:schemeClr w14:val="tx1"/>
                        </w14:solidFill>
                      </w14:textFill>
                    </w:rPr>
                  </w:pPr>
                </w:p>
              </w:tc>
            </w:tr>
            <w:tr w14:paraId="74C97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Merge w:val="continue"/>
                  <w:vAlign w:val="center"/>
                </w:tcPr>
                <w:p w14:paraId="6F7E0328">
                  <w:pPr>
                    <w:jc w:val="center"/>
                    <w:rPr>
                      <w:color w:val="000000" w:themeColor="text1"/>
                      <w:szCs w:val="21"/>
                      <w14:textFill>
                        <w14:solidFill>
                          <w14:schemeClr w14:val="tx1"/>
                        </w14:solidFill>
                      </w14:textFill>
                    </w:rPr>
                  </w:pPr>
                </w:p>
              </w:tc>
              <w:tc>
                <w:tcPr>
                  <w:tcW w:w="947" w:type="pct"/>
                  <w:vAlign w:val="center"/>
                </w:tcPr>
                <w:p w14:paraId="458A2A8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小刘家</w:t>
                  </w:r>
                </w:p>
              </w:tc>
              <w:tc>
                <w:tcPr>
                  <w:tcW w:w="543" w:type="pct"/>
                  <w:vAlign w:val="center"/>
                </w:tcPr>
                <w:p w14:paraId="48A385C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w:t>
                  </w:r>
                  <w:r>
                    <w:rPr>
                      <w:color w:val="000000" w:themeColor="text1"/>
                      <w:szCs w:val="21"/>
                      <w14:textFill>
                        <w14:solidFill>
                          <w14:schemeClr w14:val="tx1"/>
                        </w14:solidFill>
                      </w14:textFill>
                    </w:rPr>
                    <w:t>E</w:t>
                  </w:r>
                </w:p>
              </w:tc>
              <w:tc>
                <w:tcPr>
                  <w:tcW w:w="653" w:type="pct"/>
                  <w:vAlign w:val="center"/>
                </w:tcPr>
                <w:p w14:paraId="358879A2">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256</w:t>
                  </w:r>
                  <w:r>
                    <w:rPr>
                      <w:color w:val="000000" w:themeColor="text1"/>
                      <w:szCs w:val="21"/>
                      <w14:textFill>
                        <w14:solidFill>
                          <w14:schemeClr w14:val="tx1"/>
                        </w14:solidFill>
                      </w14:textFill>
                    </w:rPr>
                    <w:t>m</w:t>
                  </w:r>
                </w:p>
              </w:tc>
              <w:tc>
                <w:tcPr>
                  <w:tcW w:w="2052" w:type="pct"/>
                  <w:vMerge w:val="continue"/>
                  <w:vAlign w:val="center"/>
                </w:tcPr>
                <w:p w14:paraId="62A78B55">
                  <w:pPr>
                    <w:tabs>
                      <w:tab w:val="left" w:pos="0"/>
                    </w:tabs>
                    <w:adjustRightInd w:val="0"/>
                    <w:snapToGrid w:val="0"/>
                    <w:jc w:val="center"/>
                    <w:rPr>
                      <w:color w:val="000000" w:themeColor="text1"/>
                      <w:szCs w:val="21"/>
                      <w14:textFill>
                        <w14:solidFill>
                          <w14:schemeClr w14:val="tx1"/>
                        </w14:solidFill>
                      </w14:textFill>
                    </w:rPr>
                  </w:pPr>
                </w:p>
              </w:tc>
            </w:tr>
            <w:tr w14:paraId="0FE4F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Merge w:val="continue"/>
                  <w:vAlign w:val="center"/>
                </w:tcPr>
                <w:p w14:paraId="3D04A704">
                  <w:pPr>
                    <w:jc w:val="center"/>
                    <w:rPr>
                      <w:color w:val="000000" w:themeColor="text1"/>
                      <w:szCs w:val="21"/>
                      <w14:textFill>
                        <w14:solidFill>
                          <w14:schemeClr w14:val="tx1"/>
                        </w14:solidFill>
                      </w14:textFill>
                    </w:rPr>
                  </w:pPr>
                </w:p>
              </w:tc>
              <w:tc>
                <w:tcPr>
                  <w:tcW w:w="947" w:type="pct"/>
                  <w:vAlign w:val="center"/>
                </w:tcPr>
                <w:p w14:paraId="30E50C3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瓦罐庙</w:t>
                  </w:r>
                </w:p>
              </w:tc>
              <w:tc>
                <w:tcPr>
                  <w:tcW w:w="543" w:type="pct"/>
                  <w:vAlign w:val="center"/>
                </w:tcPr>
                <w:p w14:paraId="7F43A34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w:t>
                  </w:r>
                </w:p>
              </w:tc>
              <w:tc>
                <w:tcPr>
                  <w:tcW w:w="653" w:type="pct"/>
                  <w:vAlign w:val="center"/>
                </w:tcPr>
                <w:p w14:paraId="28DAA1B8">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211</w:t>
                  </w:r>
                  <w:r>
                    <w:rPr>
                      <w:color w:val="000000" w:themeColor="text1"/>
                      <w:szCs w:val="21"/>
                      <w14:textFill>
                        <w14:solidFill>
                          <w14:schemeClr w14:val="tx1"/>
                        </w14:solidFill>
                      </w14:textFill>
                    </w:rPr>
                    <w:t>m</w:t>
                  </w:r>
                </w:p>
              </w:tc>
              <w:tc>
                <w:tcPr>
                  <w:tcW w:w="2052" w:type="pct"/>
                  <w:vMerge w:val="continue"/>
                  <w:vAlign w:val="center"/>
                </w:tcPr>
                <w:p w14:paraId="55FE94C9">
                  <w:pPr>
                    <w:tabs>
                      <w:tab w:val="left" w:pos="0"/>
                    </w:tabs>
                    <w:adjustRightInd w:val="0"/>
                    <w:snapToGrid w:val="0"/>
                    <w:jc w:val="center"/>
                    <w:rPr>
                      <w:color w:val="000000" w:themeColor="text1"/>
                      <w:szCs w:val="21"/>
                      <w14:textFill>
                        <w14:solidFill>
                          <w14:schemeClr w14:val="tx1"/>
                        </w14:solidFill>
                      </w14:textFill>
                    </w:rPr>
                  </w:pPr>
                </w:p>
              </w:tc>
            </w:tr>
            <w:tr w14:paraId="6F517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Align w:val="center"/>
                </w:tcPr>
                <w:p w14:paraId="03762CE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声环境</w:t>
                  </w:r>
                </w:p>
              </w:tc>
              <w:tc>
                <w:tcPr>
                  <w:tcW w:w="4196" w:type="pct"/>
                  <w:gridSpan w:val="4"/>
                  <w:shd w:val="clear" w:color="auto" w:fill="auto"/>
                  <w:vAlign w:val="center"/>
                </w:tcPr>
                <w:p w14:paraId="6DBB63C7">
                  <w:pPr>
                    <w:tabs>
                      <w:tab w:val="left" w:pos="0"/>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厂界外50米范围内无声环境保护目标</w:t>
                  </w:r>
                </w:p>
              </w:tc>
            </w:tr>
            <w:tr w14:paraId="3F230A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Merge w:val="restart"/>
                  <w:vAlign w:val="center"/>
                </w:tcPr>
                <w:p w14:paraId="641758E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地表水</w:t>
                  </w:r>
                </w:p>
              </w:tc>
              <w:tc>
                <w:tcPr>
                  <w:tcW w:w="947" w:type="pct"/>
                  <w:vAlign w:val="center"/>
                </w:tcPr>
                <w:p w14:paraId="2F91686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西三里河</w:t>
                  </w:r>
                </w:p>
              </w:tc>
              <w:tc>
                <w:tcPr>
                  <w:tcW w:w="543" w:type="pct"/>
                  <w:vAlign w:val="center"/>
                </w:tcPr>
                <w:p w14:paraId="2434313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E</w:t>
                  </w:r>
                </w:p>
              </w:tc>
              <w:tc>
                <w:tcPr>
                  <w:tcW w:w="653" w:type="pct"/>
                  <w:vAlign w:val="center"/>
                </w:tcPr>
                <w:p w14:paraId="70D7A63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513m</w:t>
                  </w:r>
                </w:p>
              </w:tc>
              <w:tc>
                <w:tcPr>
                  <w:tcW w:w="2052" w:type="pct"/>
                  <w:vMerge w:val="restart"/>
                  <w:vAlign w:val="center"/>
                </w:tcPr>
                <w:p w14:paraId="24322F57">
                  <w:pPr>
                    <w:tabs>
                      <w:tab w:val="left" w:pos="0"/>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《地表水环境质量标准》（GB 3838-2002）中Ⅲ类水质标准</w:t>
                  </w:r>
                </w:p>
              </w:tc>
            </w:tr>
            <w:tr w14:paraId="36FDE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Merge w:val="continue"/>
                  <w:vAlign w:val="center"/>
                </w:tcPr>
                <w:p w14:paraId="7AC0A0F5">
                  <w:pPr>
                    <w:jc w:val="center"/>
                    <w:rPr>
                      <w:color w:val="000000" w:themeColor="text1"/>
                      <w:szCs w:val="21"/>
                      <w14:textFill>
                        <w14:solidFill>
                          <w14:schemeClr w14:val="tx1"/>
                        </w14:solidFill>
                      </w14:textFill>
                    </w:rPr>
                  </w:pPr>
                </w:p>
              </w:tc>
              <w:tc>
                <w:tcPr>
                  <w:tcW w:w="1735" w:type="dxa"/>
                  <w:vAlign w:val="center"/>
                </w:tcPr>
                <w:p w14:paraId="35F08D50">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九曲河</w:t>
                  </w:r>
                </w:p>
              </w:tc>
              <w:tc>
                <w:tcPr>
                  <w:tcW w:w="995" w:type="dxa"/>
                  <w:vAlign w:val="center"/>
                </w:tcPr>
                <w:p w14:paraId="668AE21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w:t>
                  </w:r>
                </w:p>
              </w:tc>
              <w:tc>
                <w:tcPr>
                  <w:tcW w:w="1196" w:type="dxa"/>
                  <w:vAlign w:val="center"/>
                </w:tcPr>
                <w:p w14:paraId="08ABDDB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93</w:t>
                  </w:r>
                  <w:r>
                    <w:rPr>
                      <w:rFonts w:hint="eastAsia"/>
                      <w:color w:val="000000" w:themeColor="text1"/>
                      <w:szCs w:val="21"/>
                      <w:lang w:val="en-US" w:eastAsia="zh-CN"/>
                      <w14:textFill>
                        <w14:solidFill>
                          <w14:schemeClr w14:val="tx1"/>
                        </w14:solidFill>
                      </w14:textFill>
                    </w:rPr>
                    <w:t>5</w:t>
                  </w:r>
                  <w:r>
                    <w:rPr>
                      <w:color w:val="000000" w:themeColor="text1"/>
                      <w:szCs w:val="21"/>
                      <w14:textFill>
                        <w14:solidFill>
                          <w14:schemeClr w14:val="tx1"/>
                        </w14:solidFill>
                      </w14:textFill>
                    </w:rPr>
                    <w:t>m</w:t>
                  </w:r>
                </w:p>
              </w:tc>
              <w:tc>
                <w:tcPr>
                  <w:tcW w:w="2052" w:type="pct"/>
                  <w:vMerge w:val="continue"/>
                  <w:vAlign w:val="center"/>
                </w:tcPr>
                <w:p w14:paraId="3E5FD5AC">
                  <w:pPr>
                    <w:tabs>
                      <w:tab w:val="left" w:pos="0"/>
                    </w:tabs>
                    <w:adjustRightInd w:val="0"/>
                    <w:snapToGrid w:val="0"/>
                    <w:jc w:val="center"/>
                    <w:rPr>
                      <w:color w:val="000000" w:themeColor="text1"/>
                      <w:szCs w:val="21"/>
                      <w14:textFill>
                        <w14:solidFill>
                          <w14:schemeClr w14:val="tx1"/>
                        </w14:solidFill>
                      </w14:textFill>
                    </w:rPr>
                  </w:pPr>
                </w:p>
              </w:tc>
            </w:tr>
            <w:tr w14:paraId="0A280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Merge w:val="continue"/>
                  <w:vAlign w:val="center"/>
                </w:tcPr>
                <w:p w14:paraId="35C687AD">
                  <w:pPr>
                    <w:jc w:val="center"/>
                    <w:rPr>
                      <w:color w:val="000000" w:themeColor="text1"/>
                      <w:szCs w:val="21"/>
                      <w14:textFill>
                        <w14:solidFill>
                          <w14:schemeClr w14:val="tx1"/>
                        </w14:solidFill>
                      </w14:textFill>
                    </w:rPr>
                  </w:pPr>
                </w:p>
              </w:tc>
              <w:tc>
                <w:tcPr>
                  <w:tcW w:w="1735" w:type="dxa"/>
                  <w:vAlign w:val="center"/>
                </w:tcPr>
                <w:p w14:paraId="06B586F6">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赵河</w:t>
                  </w:r>
                </w:p>
              </w:tc>
              <w:tc>
                <w:tcPr>
                  <w:tcW w:w="995" w:type="dxa"/>
                  <w:vAlign w:val="center"/>
                </w:tcPr>
                <w:p w14:paraId="6CC8F49E">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SW</w:t>
                  </w:r>
                </w:p>
              </w:tc>
              <w:tc>
                <w:tcPr>
                  <w:tcW w:w="1196" w:type="dxa"/>
                  <w:vAlign w:val="center"/>
                </w:tcPr>
                <w:p w14:paraId="37ED975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3.47km</w:t>
                  </w:r>
                </w:p>
              </w:tc>
              <w:tc>
                <w:tcPr>
                  <w:tcW w:w="2052" w:type="pct"/>
                  <w:vMerge w:val="continue"/>
                  <w:vAlign w:val="center"/>
                </w:tcPr>
                <w:p w14:paraId="328F378D">
                  <w:pPr>
                    <w:tabs>
                      <w:tab w:val="left" w:pos="0"/>
                    </w:tabs>
                    <w:adjustRightInd w:val="0"/>
                    <w:snapToGrid w:val="0"/>
                    <w:jc w:val="center"/>
                    <w:rPr>
                      <w:color w:val="000000" w:themeColor="text1"/>
                      <w:szCs w:val="21"/>
                      <w14:textFill>
                        <w14:solidFill>
                          <w14:schemeClr w14:val="tx1"/>
                        </w14:solidFill>
                      </w14:textFill>
                    </w:rPr>
                  </w:pPr>
                </w:p>
              </w:tc>
            </w:tr>
            <w:tr w14:paraId="20DCA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Align w:val="center"/>
                </w:tcPr>
                <w:p w14:paraId="6A23466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w:t>
                  </w:r>
                </w:p>
              </w:tc>
              <w:tc>
                <w:tcPr>
                  <w:tcW w:w="4196" w:type="pct"/>
                  <w:gridSpan w:val="4"/>
                  <w:vAlign w:val="center"/>
                </w:tcPr>
                <w:p w14:paraId="43A3BED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厂界外500m范围内无地下水集中式饮用水水源及特殊地水资源</w:t>
                  </w:r>
                </w:p>
              </w:tc>
            </w:tr>
            <w:tr w14:paraId="0DC72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3" w:type="pct"/>
                  <w:vAlign w:val="center"/>
                </w:tcPr>
                <w:p w14:paraId="0722D11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生态环境</w:t>
                  </w:r>
                </w:p>
              </w:tc>
              <w:tc>
                <w:tcPr>
                  <w:tcW w:w="4196" w:type="pct"/>
                  <w:gridSpan w:val="4"/>
                  <w:vAlign w:val="center"/>
                </w:tcPr>
                <w:p w14:paraId="53220067">
                  <w:pPr>
                    <w:jc w:val="center"/>
                    <w:rPr>
                      <w:color w:val="000000" w:themeColor="text1"/>
                      <w:szCs w:val="21"/>
                      <w14:textFill>
                        <w14:solidFill>
                          <w14:schemeClr w14:val="tx1"/>
                        </w14:solidFill>
                      </w14:textFill>
                    </w:rPr>
                  </w:pPr>
                  <w:r>
                    <w:rPr>
                      <w:color w:val="000000" w:themeColor="text1"/>
                      <w:szCs w:val="21"/>
                      <w:lang w:val="en-GB"/>
                      <w14:textFill>
                        <w14:solidFill>
                          <w14:schemeClr w14:val="tx1"/>
                        </w14:solidFill>
                      </w14:textFill>
                    </w:rPr>
                    <w:t>项目用地范围内无生态环境保护目标</w:t>
                  </w:r>
                </w:p>
              </w:tc>
            </w:tr>
          </w:tbl>
          <w:p w14:paraId="08CA571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7.3环境风险识别</w:t>
            </w:r>
          </w:p>
          <w:p w14:paraId="3AA6F8D8">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本</w:t>
            </w:r>
            <w:r>
              <w:rPr>
                <w:rFonts w:hint="eastAsia"/>
                <w:color w:val="000000" w:themeColor="text1"/>
                <w:sz w:val="24"/>
                <w14:textFill>
                  <w14:solidFill>
                    <w14:schemeClr w14:val="tx1"/>
                  </w14:solidFill>
                </w14:textFill>
              </w:rPr>
              <w:t>项目在生产过程中存在的主要环境风险为酒类在储存、输送过程中发生的风险事故；硝酸溶液</w:t>
            </w:r>
            <w:r>
              <w:rPr>
                <w:color w:val="000000" w:themeColor="text1"/>
                <w:sz w:val="24"/>
                <w14:textFill>
                  <w14:solidFill>
                    <w14:schemeClr w14:val="tx1"/>
                  </w14:solidFill>
                </w14:textFill>
              </w:rPr>
              <w:t>存放、使用不当而泄漏造成腐蚀事故</w:t>
            </w:r>
            <w:r>
              <w:rPr>
                <w:rFonts w:hint="eastAsia"/>
                <w:color w:val="000000" w:themeColor="text1"/>
                <w:sz w:val="24"/>
                <w14:textFill>
                  <w14:solidFill>
                    <w14:schemeClr w14:val="tx1"/>
                  </w14:solidFill>
                </w14:textFill>
              </w:rPr>
              <w:t>；天然气输送阀门管道</w:t>
            </w:r>
            <w:r>
              <w:rPr>
                <w:color w:val="000000" w:themeColor="text1"/>
                <w:sz w:val="24"/>
                <w14:textFill>
                  <w14:solidFill>
                    <w14:schemeClr w14:val="tx1"/>
                  </w14:solidFill>
                </w14:textFill>
              </w:rPr>
              <w:t>破损造成泄漏、引起火灾</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爆炸事故；乙二醇使用不当而泄漏引起火灾爆炸事故；</w:t>
            </w:r>
            <w:r>
              <w:rPr>
                <w:rFonts w:hint="eastAsia"/>
                <w:color w:val="000000" w:themeColor="text1"/>
                <w:sz w:val="24"/>
                <w14:textFill>
                  <w14:solidFill>
                    <w14:schemeClr w14:val="tx1"/>
                  </w14:solidFill>
                </w14:textFill>
              </w:rPr>
              <w:t>污水处理站非正常运行或污水处理站泄露等对周边水体产生影响。</w:t>
            </w:r>
          </w:p>
          <w:p w14:paraId="1D2F4C2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7.3.1</w:t>
            </w:r>
            <w:r>
              <w:rPr>
                <w:rFonts w:hint="eastAsia"/>
                <w:color w:val="000000" w:themeColor="text1"/>
                <w:sz w:val="24"/>
                <w14:textFill>
                  <w14:solidFill>
                    <w14:schemeClr w14:val="tx1"/>
                  </w14:solidFill>
                </w14:textFill>
              </w:rPr>
              <w:t>酒类在储存、输送过程</w:t>
            </w:r>
            <w:r>
              <w:rPr>
                <w:color w:val="000000" w:themeColor="text1"/>
                <w:sz w:val="24"/>
                <w14:textFill>
                  <w14:solidFill>
                    <w14:schemeClr w14:val="tx1"/>
                  </w14:solidFill>
                </w14:textFill>
              </w:rPr>
              <w:t>风险识别</w:t>
            </w:r>
          </w:p>
          <w:p w14:paraId="32A3E13B">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 xml:space="preserve">①乙醇为易燃物质，常温下易挥发，生产储存过程中如发生跑冒滴漏等泄漏事件，罐内空气进入等原因造成其蒸气与空气形成爆炸性混合物，遇明火、高热、静电引起燃烧爆炸。并且乙醇的蒸气比空气重，能在较低处扩散到相当远的地方，遇火源引着回燃。 </w:t>
            </w:r>
          </w:p>
          <w:p w14:paraId="022D639C">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②酒类输送过程中由于液体在管道内的流量大、流速快、管道长等原因或酒在装卸过程中由于装卸方式不正确（如从罐顶部泵酒）、管口高速喷出等原因，产生静电积聚可引起设备设施的火灾爆炸。</w:t>
            </w:r>
          </w:p>
          <w:p w14:paraId="00956F61">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 xml:space="preserve">③含乙醇的酒贮罐容器及酒精贮罐设备若遇高热，内压增大，有开裂和爆炸的危险。如设备超压运行，设备或输送管道、法兰及阀门密封不良或失效，有可能导致易燃物质大量泄漏，存在火灾、爆炸、中毒事故隐患。 </w:t>
            </w:r>
          </w:p>
          <w:p w14:paraId="7969B3EB">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④储罐或生产设备在酒料输送过程中，如液位控制不好、液位超高冒罐、设备腐蚀穿孔或开裂以及阀门损坏、管线断裂形成跑料事故，若遇点火可发生火灾爆炸事故。</w:t>
            </w:r>
          </w:p>
          <w:p w14:paraId="48B1C8F2">
            <w:pPr>
              <w:tabs>
                <w:tab w:val="left" w:pos="1081"/>
              </w:tabs>
              <w:adjustRightInd w:val="0"/>
              <w:snapToGrid w:val="0"/>
              <w:spacing w:line="360" w:lineRule="auto"/>
              <w:ind w:firstLine="480" w:firstLineChars="200"/>
              <w:rPr>
                <w:color w:val="000000" w:themeColor="text1"/>
                <w:sz w:val="24"/>
                <w:lang w:val="en-GB"/>
                <w14:textFill>
                  <w14:solidFill>
                    <w14:schemeClr w14:val="tx1"/>
                  </w14:solidFill>
                </w14:textFill>
              </w:rPr>
            </w:pPr>
            <w:r>
              <w:rPr>
                <w:rFonts w:hint="eastAsia"/>
                <w:color w:val="000000" w:themeColor="text1"/>
                <w:sz w:val="24"/>
                <w14:textFill>
                  <w14:solidFill>
                    <w14:schemeClr w14:val="tx1"/>
                  </w14:solidFill>
                </w14:textFill>
              </w:rPr>
              <w:t>7.3.2硝酸溶液及乙二醇</w:t>
            </w:r>
            <w:r>
              <w:rPr>
                <w:color w:val="000000" w:themeColor="text1"/>
                <w:sz w:val="24"/>
                <w14:textFill>
                  <w14:solidFill>
                    <w14:schemeClr w14:val="tx1"/>
                  </w14:solidFill>
                </w14:textFill>
              </w:rPr>
              <w:t>储存和使用</w:t>
            </w:r>
            <w:r>
              <w:rPr>
                <w:rFonts w:hint="eastAsia"/>
                <w:color w:val="000000" w:themeColor="text1"/>
                <w:sz w:val="24"/>
                <w14:textFill>
                  <w14:solidFill>
                    <w14:schemeClr w14:val="tx1"/>
                  </w14:solidFill>
                </w14:textFill>
              </w:rPr>
              <w:t>过程</w:t>
            </w:r>
            <w:r>
              <w:rPr>
                <w:color w:val="000000" w:themeColor="text1"/>
                <w:sz w:val="24"/>
                <w:lang w:val="en-GB"/>
                <w14:textFill>
                  <w14:solidFill>
                    <w14:schemeClr w14:val="tx1"/>
                  </w14:solidFill>
                </w14:textFill>
              </w:rPr>
              <w:t>风险识别</w:t>
            </w:r>
          </w:p>
          <w:p w14:paraId="65799DB1">
            <w:pPr>
              <w:adjustRightInd w:val="0"/>
              <w:snapToGrid w:val="0"/>
              <w:spacing w:line="360" w:lineRule="auto"/>
              <w:ind w:firstLine="480" w:firstLineChars="200"/>
              <w:rPr>
                <w:color w:val="000000" w:themeColor="text1"/>
                <w:sz w:val="24"/>
                <w:lang w:val="en-GB"/>
                <w14:textFill>
                  <w14:solidFill>
                    <w14:schemeClr w14:val="tx1"/>
                  </w14:solidFill>
                </w14:textFill>
              </w:rPr>
            </w:pP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使用硝酸及乙二醇</w:t>
            </w:r>
            <w:r>
              <w:rPr>
                <w:color w:val="000000" w:themeColor="text1"/>
                <w:sz w:val="24"/>
                <w14:textFill>
                  <w14:solidFill>
                    <w14:schemeClr w14:val="tx1"/>
                  </w14:solidFill>
                </w14:textFill>
              </w:rPr>
              <w:t>理化性质见下表。</w:t>
            </w:r>
          </w:p>
          <w:p w14:paraId="4CABB3FF">
            <w:pPr>
              <w:pStyle w:val="5"/>
              <w:tabs>
                <w:tab w:val="left" w:pos="1281"/>
              </w:tabs>
              <w:jc w:val="center"/>
              <w:outlineLvl w:val="9"/>
              <w:rPr>
                <w:color w:val="000000" w:themeColor="text1"/>
                <w:sz w:val="24"/>
                <w14:textFill>
                  <w14:solidFill>
                    <w14:schemeClr w14:val="tx1"/>
                  </w14:solidFill>
                </w14:textFill>
              </w:rPr>
            </w:pPr>
            <w:r>
              <w:rPr>
                <w:color w:val="000000" w:themeColor="text1"/>
                <w:spacing w:val="-2"/>
                <w:sz w:val="24"/>
                <w14:textFill>
                  <w14:solidFill>
                    <w14:schemeClr w14:val="tx1"/>
                  </w14:solidFill>
                </w14:textFill>
              </w:rPr>
              <w:t>表</w:t>
            </w:r>
            <w:r>
              <w:rPr>
                <w:rFonts w:hint="eastAsia"/>
                <w:color w:val="000000" w:themeColor="text1"/>
                <w:spacing w:val="-2"/>
                <w:sz w:val="24"/>
                <w14:textFill>
                  <w14:solidFill>
                    <w14:schemeClr w14:val="tx1"/>
                  </w14:solidFill>
                </w14:textFill>
              </w:rPr>
              <w:t>4-2</w:t>
            </w:r>
            <w:r>
              <w:rPr>
                <w:rFonts w:hint="eastAsia"/>
                <w:color w:val="000000" w:themeColor="text1"/>
                <w:spacing w:val="-2"/>
                <w:sz w:val="24"/>
                <w:lang w:val="en-US" w:eastAsia="zh-CN"/>
                <w14:textFill>
                  <w14:solidFill>
                    <w14:schemeClr w14:val="tx1"/>
                  </w14:solidFill>
                </w14:textFill>
              </w:rPr>
              <w:t>7</w:t>
            </w:r>
            <w:r>
              <w:rPr>
                <w:rFonts w:hint="eastAsia"/>
                <w:color w:val="000000" w:themeColor="text1"/>
                <w:spacing w:val="-2"/>
                <w:sz w:val="24"/>
                <w14:textFill>
                  <w14:solidFill>
                    <w14:schemeClr w14:val="tx1"/>
                  </w14:solidFill>
                </w14:textFill>
              </w:rPr>
              <w:t xml:space="preserve">  </w:t>
            </w:r>
            <w:r>
              <w:rPr>
                <w:color w:val="000000" w:themeColor="text1"/>
                <w:spacing w:val="-2"/>
                <w:sz w:val="24"/>
                <w14:textFill>
                  <w14:solidFill>
                    <w14:schemeClr w14:val="tx1"/>
                  </w14:solidFill>
                </w14:textFill>
              </w:rPr>
              <w:t>硝酸理化性质及危险物质特性</w:t>
            </w:r>
            <w:r>
              <w:rPr>
                <w:color w:val="000000" w:themeColor="text1"/>
                <w:spacing w:val="-10"/>
                <w:sz w:val="24"/>
                <w14:textFill>
                  <w14:solidFill>
                    <w14:schemeClr w14:val="tx1"/>
                  </w14:solidFill>
                </w14:textFill>
              </w:rPr>
              <w:t>表</w:t>
            </w:r>
          </w:p>
          <w:tbl>
            <w:tblPr>
              <w:tblStyle w:val="25"/>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44"/>
              <w:gridCol w:w="2205"/>
              <w:gridCol w:w="1851"/>
              <w:gridCol w:w="2144"/>
              <w:gridCol w:w="1719"/>
            </w:tblGrid>
            <w:tr w14:paraId="397E6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7" w:type="pct"/>
                  <w:vAlign w:val="center"/>
                </w:tcPr>
                <w:p w14:paraId="444D26FA">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5"/>
                      <w:szCs w:val="21"/>
                      <w14:textFill>
                        <w14:solidFill>
                          <w14:schemeClr w14:val="tx1"/>
                        </w14:solidFill>
                      </w14:textFill>
                    </w:rPr>
                    <w:t>类别</w:t>
                  </w:r>
                </w:p>
              </w:tc>
              <w:tc>
                <w:tcPr>
                  <w:tcW w:w="1196" w:type="pct"/>
                  <w:vAlign w:val="center"/>
                </w:tcPr>
                <w:p w14:paraId="11ADD798">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5"/>
                      <w:szCs w:val="21"/>
                      <w14:textFill>
                        <w14:solidFill>
                          <w14:schemeClr w14:val="tx1"/>
                        </w14:solidFill>
                      </w14:textFill>
                    </w:rPr>
                    <w:t>项目</w:t>
                  </w:r>
                </w:p>
              </w:tc>
              <w:tc>
                <w:tcPr>
                  <w:tcW w:w="3124" w:type="pct"/>
                  <w:gridSpan w:val="3"/>
                  <w:vAlign w:val="center"/>
                </w:tcPr>
                <w:p w14:paraId="18B05A1E">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硝酸</w:t>
                  </w:r>
                  <w:r>
                    <w:rPr>
                      <w:rFonts w:ascii="Times New Roman" w:hAnsi="Times New Roman" w:eastAsia="宋体" w:cs="Times New Roman"/>
                      <w:color w:val="000000" w:themeColor="text1"/>
                      <w:spacing w:val="-2"/>
                      <w:szCs w:val="21"/>
                      <w14:textFill>
                        <w14:solidFill>
                          <w14:schemeClr w14:val="tx1"/>
                        </w14:solidFill>
                      </w14:textFill>
                    </w:rPr>
                    <w:t>（HNO</w:t>
                  </w:r>
                  <w:r>
                    <w:rPr>
                      <w:rFonts w:ascii="Times New Roman" w:hAnsi="Times New Roman" w:eastAsia="宋体" w:cs="Times New Roman"/>
                      <w:color w:val="000000" w:themeColor="text1"/>
                      <w:spacing w:val="-2"/>
                      <w:szCs w:val="21"/>
                      <w:vertAlign w:val="subscript"/>
                      <w14:textFill>
                        <w14:solidFill>
                          <w14:schemeClr w14:val="tx1"/>
                        </w14:solidFill>
                      </w14:textFill>
                    </w:rPr>
                    <w:t>3</w:t>
                  </w:r>
                  <w:r>
                    <w:rPr>
                      <w:rFonts w:ascii="Times New Roman" w:hAnsi="Times New Roman" w:eastAsia="宋体" w:cs="Times New Roman"/>
                      <w:color w:val="000000" w:themeColor="text1"/>
                      <w:spacing w:val="-2"/>
                      <w:szCs w:val="21"/>
                      <w14:textFill>
                        <w14:solidFill>
                          <w14:schemeClr w14:val="tx1"/>
                        </w14:solidFill>
                      </w14:textFill>
                    </w:rPr>
                    <w:t>）</w:t>
                  </w:r>
                </w:p>
              </w:tc>
            </w:tr>
            <w:tr w14:paraId="0A86C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7" w:type="pct"/>
                  <w:vMerge w:val="restart"/>
                  <w:vAlign w:val="center"/>
                </w:tcPr>
                <w:p w14:paraId="233E56C1">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5"/>
                      <w:szCs w:val="21"/>
                      <w14:textFill>
                        <w14:solidFill>
                          <w14:schemeClr w14:val="tx1"/>
                        </w14:solidFill>
                      </w14:textFill>
                    </w:rPr>
                    <w:t>标识</w:t>
                  </w:r>
                </w:p>
              </w:tc>
              <w:tc>
                <w:tcPr>
                  <w:tcW w:w="1196" w:type="pct"/>
                  <w:vAlign w:val="center"/>
                </w:tcPr>
                <w:p w14:paraId="57782C67">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分子量</w:t>
                  </w:r>
                </w:p>
              </w:tc>
              <w:tc>
                <w:tcPr>
                  <w:tcW w:w="3124" w:type="pct"/>
                  <w:gridSpan w:val="3"/>
                  <w:vAlign w:val="center"/>
                </w:tcPr>
                <w:p w14:paraId="13C45D24">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63.01</w:t>
                  </w:r>
                </w:p>
              </w:tc>
            </w:tr>
            <w:tr w14:paraId="04B8AC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7" w:type="pct"/>
                  <w:vMerge w:val="continue"/>
                  <w:vAlign w:val="center"/>
                </w:tcPr>
                <w:p w14:paraId="5F668928">
                  <w:pPr>
                    <w:jc w:val="center"/>
                    <w:rPr>
                      <w:color w:val="000000" w:themeColor="text1"/>
                      <w:szCs w:val="21"/>
                      <w14:textFill>
                        <w14:solidFill>
                          <w14:schemeClr w14:val="tx1"/>
                        </w14:solidFill>
                      </w14:textFill>
                    </w:rPr>
                  </w:pPr>
                </w:p>
              </w:tc>
              <w:tc>
                <w:tcPr>
                  <w:tcW w:w="1196" w:type="pct"/>
                  <w:vAlign w:val="center"/>
                </w:tcPr>
                <w:p w14:paraId="4A0F5091">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UN</w:t>
                  </w:r>
                  <w:r>
                    <w:rPr>
                      <w:rFonts w:ascii="Times New Roman" w:hAnsi="Times New Roman" w:eastAsia="宋体" w:cs="Times New Roman"/>
                      <w:color w:val="000000" w:themeColor="text1"/>
                      <w:spacing w:val="-6"/>
                      <w:szCs w:val="21"/>
                      <w14:textFill>
                        <w14:solidFill>
                          <w14:schemeClr w14:val="tx1"/>
                        </w14:solidFill>
                      </w14:textFill>
                    </w:rPr>
                    <w:t>编号</w:t>
                  </w:r>
                </w:p>
              </w:tc>
              <w:tc>
                <w:tcPr>
                  <w:tcW w:w="3124" w:type="pct"/>
                  <w:gridSpan w:val="3"/>
                  <w:vAlign w:val="center"/>
                </w:tcPr>
                <w:p w14:paraId="33CAC93F">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2031</w:t>
                  </w:r>
                </w:p>
              </w:tc>
            </w:tr>
            <w:tr w14:paraId="40B680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7" w:type="pct"/>
                  <w:vMerge w:val="continue"/>
                  <w:vAlign w:val="center"/>
                </w:tcPr>
                <w:p w14:paraId="324E0E8B">
                  <w:pPr>
                    <w:jc w:val="center"/>
                    <w:rPr>
                      <w:color w:val="000000" w:themeColor="text1"/>
                      <w:szCs w:val="21"/>
                      <w14:textFill>
                        <w14:solidFill>
                          <w14:schemeClr w14:val="tx1"/>
                        </w14:solidFill>
                      </w14:textFill>
                    </w:rPr>
                  </w:pPr>
                </w:p>
              </w:tc>
              <w:tc>
                <w:tcPr>
                  <w:tcW w:w="1196" w:type="pct"/>
                  <w:vAlign w:val="center"/>
                </w:tcPr>
                <w:p w14:paraId="0F4EC0F9">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CAS</w:t>
                  </w:r>
                  <w:r>
                    <w:rPr>
                      <w:rFonts w:ascii="Times New Roman" w:hAnsi="Times New Roman" w:eastAsia="宋体" w:cs="Times New Roman"/>
                      <w:color w:val="000000" w:themeColor="text1"/>
                      <w:spacing w:val="-10"/>
                      <w:szCs w:val="21"/>
                      <w14:textFill>
                        <w14:solidFill>
                          <w14:schemeClr w14:val="tx1"/>
                        </w14:solidFill>
                      </w14:textFill>
                    </w:rPr>
                    <w:t>号</w:t>
                  </w:r>
                </w:p>
              </w:tc>
              <w:tc>
                <w:tcPr>
                  <w:tcW w:w="3124" w:type="pct"/>
                  <w:gridSpan w:val="3"/>
                  <w:vAlign w:val="center"/>
                </w:tcPr>
                <w:p w14:paraId="3EEEB2DE">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7697-37-</w:t>
                  </w:r>
                  <w:r>
                    <w:rPr>
                      <w:rFonts w:ascii="Times New Roman" w:hAnsi="Times New Roman" w:eastAsia="宋体" w:cs="Times New Roman"/>
                      <w:color w:val="000000" w:themeColor="text1"/>
                      <w:spacing w:val="-10"/>
                      <w:szCs w:val="21"/>
                      <w14:textFill>
                        <w14:solidFill>
                          <w14:schemeClr w14:val="tx1"/>
                        </w14:solidFill>
                      </w14:textFill>
                    </w:rPr>
                    <w:t>2</w:t>
                  </w:r>
                </w:p>
              </w:tc>
            </w:tr>
            <w:tr w14:paraId="144E4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7" w:type="pct"/>
                  <w:vMerge w:val="restart"/>
                  <w:vAlign w:val="center"/>
                </w:tcPr>
                <w:p w14:paraId="5FC780D4">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理化性质</w:t>
                  </w:r>
                </w:p>
              </w:tc>
              <w:tc>
                <w:tcPr>
                  <w:tcW w:w="1196" w:type="pct"/>
                  <w:vAlign w:val="center"/>
                </w:tcPr>
                <w:p w14:paraId="676E7C81">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外观与性状</w:t>
                  </w:r>
                </w:p>
              </w:tc>
              <w:tc>
                <w:tcPr>
                  <w:tcW w:w="3124" w:type="pct"/>
                  <w:gridSpan w:val="3"/>
                  <w:vAlign w:val="center"/>
                </w:tcPr>
                <w:p w14:paraId="61B8CF1B">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3"/>
                      <w:szCs w:val="21"/>
                      <w14:textFill>
                        <w14:solidFill>
                          <w14:schemeClr w14:val="tx1"/>
                        </w14:solidFill>
                      </w14:textFill>
                    </w:rPr>
                    <w:t>纯品为无色透明发烟液体，有酸味</w:t>
                  </w:r>
                </w:p>
              </w:tc>
            </w:tr>
            <w:tr w14:paraId="2BBE5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7" w:type="pct"/>
                  <w:vMerge w:val="continue"/>
                  <w:vAlign w:val="center"/>
                </w:tcPr>
                <w:p w14:paraId="5B851ECD">
                  <w:pPr>
                    <w:jc w:val="center"/>
                    <w:rPr>
                      <w:color w:val="000000" w:themeColor="text1"/>
                      <w:szCs w:val="21"/>
                      <w14:textFill>
                        <w14:solidFill>
                          <w14:schemeClr w14:val="tx1"/>
                        </w14:solidFill>
                      </w14:textFill>
                    </w:rPr>
                  </w:pPr>
                </w:p>
              </w:tc>
              <w:tc>
                <w:tcPr>
                  <w:tcW w:w="1196" w:type="pct"/>
                  <w:vAlign w:val="center"/>
                </w:tcPr>
                <w:p w14:paraId="4946FB54">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相对密度（水</w:t>
                  </w:r>
                  <w:r>
                    <w:rPr>
                      <w:rFonts w:ascii="Times New Roman" w:hAnsi="Times New Roman" w:eastAsia="宋体" w:cs="Times New Roman"/>
                      <w:color w:val="000000" w:themeColor="text1"/>
                      <w:spacing w:val="-5"/>
                      <w:szCs w:val="21"/>
                      <w14:textFill>
                        <w14:solidFill>
                          <w14:schemeClr w14:val="tx1"/>
                        </w14:solidFill>
                      </w14:textFill>
                    </w:rPr>
                    <w:t>=1）</w:t>
                  </w:r>
                </w:p>
              </w:tc>
              <w:tc>
                <w:tcPr>
                  <w:tcW w:w="1010" w:type="pct"/>
                  <w:vAlign w:val="center"/>
                </w:tcPr>
                <w:p w14:paraId="52170DF2">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5"/>
                      <w:szCs w:val="21"/>
                      <w14:textFill>
                        <w14:solidFill>
                          <w14:schemeClr w14:val="tx1"/>
                        </w14:solidFill>
                      </w14:textFill>
                    </w:rPr>
                    <w:t>1.5</w:t>
                  </w:r>
                </w:p>
              </w:tc>
              <w:tc>
                <w:tcPr>
                  <w:tcW w:w="1170" w:type="pct"/>
                  <w:vAlign w:val="center"/>
                </w:tcPr>
                <w:p w14:paraId="6029FB9C">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相对密度（空气</w:t>
                  </w:r>
                  <w:r>
                    <w:rPr>
                      <w:rFonts w:ascii="Times New Roman" w:hAnsi="Times New Roman" w:eastAsia="宋体" w:cs="Times New Roman"/>
                      <w:color w:val="000000" w:themeColor="text1"/>
                      <w:spacing w:val="-5"/>
                      <w:szCs w:val="21"/>
                      <w14:textFill>
                        <w14:solidFill>
                          <w14:schemeClr w14:val="tx1"/>
                        </w14:solidFill>
                      </w14:textFill>
                    </w:rPr>
                    <w:t>=1）</w:t>
                  </w:r>
                </w:p>
              </w:tc>
              <w:tc>
                <w:tcPr>
                  <w:tcW w:w="943" w:type="pct"/>
                  <w:vAlign w:val="center"/>
                </w:tcPr>
                <w:p w14:paraId="55558762">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2.17</w:t>
                  </w:r>
                </w:p>
              </w:tc>
            </w:tr>
            <w:tr w14:paraId="64BE6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7" w:type="pct"/>
                  <w:vMerge w:val="continue"/>
                  <w:vAlign w:val="center"/>
                </w:tcPr>
                <w:p w14:paraId="1257E582">
                  <w:pPr>
                    <w:jc w:val="center"/>
                    <w:rPr>
                      <w:color w:val="000000" w:themeColor="text1"/>
                      <w:szCs w:val="21"/>
                      <w14:textFill>
                        <w14:solidFill>
                          <w14:schemeClr w14:val="tx1"/>
                        </w14:solidFill>
                      </w14:textFill>
                    </w:rPr>
                  </w:pPr>
                </w:p>
              </w:tc>
              <w:tc>
                <w:tcPr>
                  <w:tcW w:w="1196" w:type="pct"/>
                  <w:vAlign w:val="center"/>
                </w:tcPr>
                <w:p w14:paraId="7CEB9DBF">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熔点</w:t>
                  </w:r>
                  <w:r>
                    <w:rPr>
                      <w:rFonts w:ascii="Times New Roman" w:hAnsi="Times New Roman" w:eastAsia="宋体" w:cs="Times New Roman"/>
                      <w:color w:val="000000" w:themeColor="text1"/>
                      <w:spacing w:val="-5"/>
                      <w:szCs w:val="21"/>
                      <w14:textFill>
                        <w14:solidFill>
                          <w14:schemeClr w14:val="tx1"/>
                        </w14:solidFill>
                      </w14:textFill>
                    </w:rPr>
                    <w:t>（℃）</w:t>
                  </w:r>
                </w:p>
              </w:tc>
              <w:tc>
                <w:tcPr>
                  <w:tcW w:w="1010" w:type="pct"/>
                  <w:vAlign w:val="center"/>
                </w:tcPr>
                <w:p w14:paraId="69AAE44F">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w:t>
                  </w:r>
                  <w:r>
                    <w:rPr>
                      <w:rFonts w:ascii="Times New Roman" w:hAnsi="Times New Roman" w:eastAsia="宋体" w:cs="Times New Roman"/>
                      <w:color w:val="000000" w:themeColor="text1"/>
                      <w:spacing w:val="-5"/>
                      <w:szCs w:val="21"/>
                      <w14:textFill>
                        <w14:solidFill>
                          <w14:schemeClr w14:val="tx1"/>
                        </w14:solidFill>
                      </w14:textFill>
                    </w:rPr>
                    <w:t>42</w:t>
                  </w:r>
                </w:p>
              </w:tc>
              <w:tc>
                <w:tcPr>
                  <w:tcW w:w="1170" w:type="pct"/>
                  <w:vAlign w:val="center"/>
                </w:tcPr>
                <w:p w14:paraId="32B7DEF0">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沸点</w:t>
                  </w:r>
                  <w:r>
                    <w:rPr>
                      <w:rFonts w:ascii="Times New Roman" w:hAnsi="Times New Roman" w:eastAsia="宋体" w:cs="Times New Roman"/>
                      <w:color w:val="000000" w:themeColor="text1"/>
                      <w:spacing w:val="-5"/>
                      <w:szCs w:val="21"/>
                      <w14:textFill>
                        <w14:solidFill>
                          <w14:schemeClr w14:val="tx1"/>
                        </w14:solidFill>
                      </w14:textFill>
                    </w:rPr>
                    <w:t>（℃）</w:t>
                  </w:r>
                </w:p>
              </w:tc>
              <w:tc>
                <w:tcPr>
                  <w:tcW w:w="943" w:type="pct"/>
                  <w:vAlign w:val="center"/>
                </w:tcPr>
                <w:p w14:paraId="6F66F236">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5"/>
                      <w:szCs w:val="21"/>
                      <w14:textFill>
                        <w14:solidFill>
                          <w14:schemeClr w14:val="tx1"/>
                        </w14:solidFill>
                      </w14:textFill>
                    </w:rPr>
                    <w:t>86</w:t>
                  </w:r>
                </w:p>
              </w:tc>
            </w:tr>
            <w:tr w14:paraId="2F949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7" w:type="pct"/>
                  <w:vMerge w:val="continue"/>
                  <w:vAlign w:val="center"/>
                </w:tcPr>
                <w:p w14:paraId="22BC1D86">
                  <w:pPr>
                    <w:jc w:val="center"/>
                    <w:rPr>
                      <w:color w:val="000000" w:themeColor="text1"/>
                      <w:szCs w:val="21"/>
                      <w14:textFill>
                        <w14:solidFill>
                          <w14:schemeClr w14:val="tx1"/>
                        </w14:solidFill>
                      </w14:textFill>
                    </w:rPr>
                  </w:pPr>
                </w:p>
              </w:tc>
              <w:tc>
                <w:tcPr>
                  <w:tcW w:w="1196" w:type="pct"/>
                  <w:vAlign w:val="center"/>
                </w:tcPr>
                <w:p w14:paraId="49B61CFD">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饱和蒸气压</w:t>
                  </w:r>
                  <w:r>
                    <w:rPr>
                      <w:rFonts w:ascii="Times New Roman" w:hAnsi="Times New Roman" w:eastAsia="宋体" w:cs="Times New Roman"/>
                      <w:color w:val="000000" w:themeColor="text1"/>
                      <w:spacing w:val="-4"/>
                      <w:szCs w:val="21"/>
                      <w14:textFill>
                        <w14:solidFill>
                          <w14:schemeClr w14:val="tx1"/>
                        </w14:solidFill>
                      </w14:textFill>
                    </w:rPr>
                    <w:t>（kPa）</w:t>
                  </w:r>
                </w:p>
              </w:tc>
              <w:tc>
                <w:tcPr>
                  <w:tcW w:w="1010" w:type="pct"/>
                  <w:vAlign w:val="center"/>
                </w:tcPr>
                <w:p w14:paraId="5B57DBC9">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4.4/20℃</w:t>
                  </w:r>
                </w:p>
              </w:tc>
              <w:tc>
                <w:tcPr>
                  <w:tcW w:w="1170" w:type="pct"/>
                  <w:vAlign w:val="center"/>
                </w:tcPr>
                <w:p w14:paraId="14B2D97F">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溶解性</w:t>
                  </w:r>
                </w:p>
              </w:tc>
              <w:tc>
                <w:tcPr>
                  <w:tcW w:w="943" w:type="pct"/>
                  <w:vAlign w:val="center"/>
                </w:tcPr>
                <w:p w14:paraId="565BDEB9">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与水混溶</w:t>
                  </w:r>
                </w:p>
              </w:tc>
            </w:tr>
            <w:tr w14:paraId="5A5BE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Merge w:val="restart"/>
                  <w:vAlign w:val="center"/>
                </w:tcPr>
                <w:p w14:paraId="14652491">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燃烧爆炸危险性</w:t>
                  </w:r>
                </w:p>
              </w:tc>
              <w:tc>
                <w:tcPr>
                  <w:tcW w:w="1203" w:type="pct"/>
                  <w:vAlign w:val="center"/>
                </w:tcPr>
                <w:p w14:paraId="2730C150">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燃烧性</w:t>
                  </w:r>
                </w:p>
              </w:tc>
              <w:tc>
                <w:tcPr>
                  <w:tcW w:w="3114" w:type="pct"/>
                  <w:gridSpan w:val="3"/>
                  <w:vAlign w:val="center"/>
                </w:tcPr>
                <w:p w14:paraId="7D816C45">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5"/>
                      <w:szCs w:val="21"/>
                      <w14:textFill>
                        <w14:solidFill>
                          <w14:schemeClr w14:val="tx1"/>
                        </w14:solidFill>
                      </w14:textFill>
                    </w:rPr>
                    <w:t>不燃</w:t>
                  </w:r>
                </w:p>
              </w:tc>
            </w:tr>
            <w:tr w14:paraId="4DBD5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Merge w:val="continue"/>
                  <w:vAlign w:val="center"/>
                </w:tcPr>
                <w:p w14:paraId="0D834600">
                  <w:pPr>
                    <w:jc w:val="center"/>
                    <w:rPr>
                      <w:color w:val="000000" w:themeColor="text1"/>
                      <w:szCs w:val="21"/>
                      <w14:textFill>
                        <w14:solidFill>
                          <w14:schemeClr w14:val="tx1"/>
                        </w14:solidFill>
                      </w14:textFill>
                    </w:rPr>
                  </w:pPr>
                </w:p>
              </w:tc>
              <w:tc>
                <w:tcPr>
                  <w:tcW w:w="1203" w:type="pct"/>
                  <w:vAlign w:val="center"/>
                </w:tcPr>
                <w:p w14:paraId="6A5A9734">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燃烧产物</w:t>
                  </w:r>
                </w:p>
              </w:tc>
              <w:tc>
                <w:tcPr>
                  <w:tcW w:w="3114" w:type="pct"/>
                  <w:gridSpan w:val="3"/>
                  <w:vAlign w:val="center"/>
                </w:tcPr>
                <w:p w14:paraId="0C5FE4C0">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氧化氮</w:t>
                  </w:r>
                </w:p>
              </w:tc>
            </w:tr>
            <w:tr w14:paraId="0D16E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Merge w:val="continue"/>
                  <w:vAlign w:val="center"/>
                </w:tcPr>
                <w:p w14:paraId="04EF1BC5">
                  <w:pPr>
                    <w:jc w:val="center"/>
                    <w:rPr>
                      <w:color w:val="000000" w:themeColor="text1"/>
                      <w:szCs w:val="21"/>
                      <w14:textFill>
                        <w14:solidFill>
                          <w14:schemeClr w14:val="tx1"/>
                        </w14:solidFill>
                      </w14:textFill>
                    </w:rPr>
                  </w:pPr>
                </w:p>
              </w:tc>
              <w:tc>
                <w:tcPr>
                  <w:tcW w:w="1203" w:type="pct"/>
                  <w:vAlign w:val="center"/>
                </w:tcPr>
                <w:p w14:paraId="7CE07BC6">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稳定性</w:t>
                  </w:r>
                </w:p>
              </w:tc>
              <w:tc>
                <w:tcPr>
                  <w:tcW w:w="3114" w:type="pct"/>
                  <w:gridSpan w:val="3"/>
                  <w:vAlign w:val="center"/>
                </w:tcPr>
                <w:p w14:paraId="74C378CE">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5"/>
                      <w:szCs w:val="21"/>
                      <w14:textFill>
                        <w14:solidFill>
                          <w14:schemeClr w14:val="tx1"/>
                        </w14:solidFill>
                      </w14:textFill>
                    </w:rPr>
                    <w:t>稳定</w:t>
                  </w:r>
                </w:p>
              </w:tc>
            </w:tr>
            <w:tr w14:paraId="74BEF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Merge w:val="continue"/>
                  <w:vAlign w:val="center"/>
                </w:tcPr>
                <w:p w14:paraId="1E570ED5">
                  <w:pPr>
                    <w:jc w:val="center"/>
                    <w:rPr>
                      <w:color w:val="000000" w:themeColor="text1"/>
                      <w:szCs w:val="21"/>
                      <w14:textFill>
                        <w14:solidFill>
                          <w14:schemeClr w14:val="tx1"/>
                        </w14:solidFill>
                      </w14:textFill>
                    </w:rPr>
                  </w:pPr>
                </w:p>
              </w:tc>
              <w:tc>
                <w:tcPr>
                  <w:tcW w:w="1203" w:type="pct"/>
                  <w:vAlign w:val="center"/>
                </w:tcPr>
                <w:p w14:paraId="3E73BD3E">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聚合危害</w:t>
                  </w:r>
                </w:p>
              </w:tc>
              <w:tc>
                <w:tcPr>
                  <w:tcW w:w="3114" w:type="pct"/>
                  <w:gridSpan w:val="3"/>
                  <w:vAlign w:val="center"/>
                </w:tcPr>
                <w:p w14:paraId="63895364">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不聚合</w:t>
                  </w:r>
                </w:p>
              </w:tc>
            </w:tr>
            <w:tr w14:paraId="424473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Merge w:val="continue"/>
                  <w:vAlign w:val="center"/>
                </w:tcPr>
                <w:p w14:paraId="09756F7F">
                  <w:pPr>
                    <w:jc w:val="center"/>
                    <w:rPr>
                      <w:color w:val="000000" w:themeColor="text1"/>
                      <w:szCs w:val="21"/>
                      <w14:textFill>
                        <w14:solidFill>
                          <w14:schemeClr w14:val="tx1"/>
                        </w14:solidFill>
                      </w14:textFill>
                    </w:rPr>
                  </w:pPr>
                </w:p>
              </w:tc>
              <w:tc>
                <w:tcPr>
                  <w:tcW w:w="1203" w:type="pct"/>
                  <w:vAlign w:val="center"/>
                </w:tcPr>
                <w:p w14:paraId="11D98E8B">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禁忌物</w:t>
                  </w:r>
                </w:p>
              </w:tc>
              <w:tc>
                <w:tcPr>
                  <w:tcW w:w="3114" w:type="pct"/>
                  <w:gridSpan w:val="3"/>
                  <w:vAlign w:val="center"/>
                </w:tcPr>
                <w:p w14:paraId="083A9725">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3"/>
                      <w:szCs w:val="21"/>
                      <w14:textFill>
                        <w14:solidFill>
                          <w14:schemeClr w14:val="tx1"/>
                        </w14:solidFill>
                      </w14:textFill>
                    </w:rPr>
                    <w:t>还原剂、碱类、醇类、碱金属、铜、胺类</w:t>
                  </w:r>
                </w:p>
              </w:tc>
            </w:tr>
            <w:tr w14:paraId="528DEE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Merge w:val="continue"/>
                  <w:vAlign w:val="center"/>
                </w:tcPr>
                <w:p w14:paraId="451B9656">
                  <w:pPr>
                    <w:jc w:val="center"/>
                    <w:rPr>
                      <w:color w:val="000000" w:themeColor="text1"/>
                      <w:szCs w:val="21"/>
                      <w14:textFill>
                        <w14:solidFill>
                          <w14:schemeClr w14:val="tx1"/>
                        </w14:solidFill>
                      </w14:textFill>
                    </w:rPr>
                  </w:pPr>
                </w:p>
              </w:tc>
              <w:tc>
                <w:tcPr>
                  <w:tcW w:w="1203" w:type="pct"/>
                  <w:vAlign w:val="center"/>
                </w:tcPr>
                <w:p w14:paraId="47D079B9">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危险特性</w:t>
                  </w:r>
                </w:p>
              </w:tc>
              <w:tc>
                <w:tcPr>
                  <w:tcW w:w="3114" w:type="pct"/>
                  <w:gridSpan w:val="3"/>
                  <w:vAlign w:val="center"/>
                </w:tcPr>
                <w:p w14:paraId="2B204FE1">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强氧化剂，能与多种物质如金属粉末、电石、硫化氢、松节油等猛烈反应，甚至发生爆炸。与还原剂、可燃物如糖、纤</w:t>
                  </w:r>
                  <w:r>
                    <w:rPr>
                      <w:rFonts w:ascii="Times New Roman" w:hAnsi="Times New Roman" w:eastAsia="宋体" w:cs="Times New Roman"/>
                      <w:color w:val="000000" w:themeColor="text1"/>
                      <w:spacing w:val="-7"/>
                      <w:szCs w:val="21"/>
                      <w14:textFill>
                        <w14:solidFill>
                          <w14:schemeClr w14:val="tx1"/>
                        </w14:solidFill>
                      </w14:textFill>
                    </w:rPr>
                    <w:t>维素、木屑、棉花、稻草或废纱头等接触，引起燃烧并散发</w:t>
                  </w:r>
                  <w:r>
                    <w:rPr>
                      <w:rFonts w:ascii="Times New Roman" w:hAnsi="Times New Roman" w:eastAsia="宋体" w:cs="Times New Roman"/>
                      <w:color w:val="000000" w:themeColor="text1"/>
                      <w:spacing w:val="-3"/>
                      <w:szCs w:val="21"/>
                      <w14:textFill>
                        <w14:solidFill>
                          <w14:schemeClr w14:val="tx1"/>
                        </w14:solidFill>
                      </w14:textFill>
                    </w:rPr>
                    <w:t>剧毒的棕色烟雾。具有强腐蚀性。</w:t>
                  </w:r>
                </w:p>
              </w:tc>
            </w:tr>
            <w:tr w14:paraId="725075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Merge w:val="restart"/>
                  <w:vAlign w:val="center"/>
                </w:tcPr>
                <w:p w14:paraId="58BBF2B4">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毒性及健康危害</w:t>
                  </w:r>
                </w:p>
              </w:tc>
              <w:tc>
                <w:tcPr>
                  <w:tcW w:w="1203" w:type="pct"/>
                  <w:vAlign w:val="center"/>
                </w:tcPr>
                <w:p w14:paraId="4B02E709">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侵入途径</w:t>
                  </w:r>
                </w:p>
              </w:tc>
              <w:tc>
                <w:tcPr>
                  <w:tcW w:w="3114" w:type="pct"/>
                  <w:gridSpan w:val="3"/>
                  <w:vAlign w:val="center"/>
                </w:tcPr>
                <w:p w14:paraId="378F6B43">
                  <w:pPr>
                    <w:pStyle w:val="61"/>
                    <w:jc w:val="left"/>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3"/>
                      <w:szCs w:val="21"/>
                      <w14:textFill>
                        <w14:solidFill>
                          <w14:schemeClr w14:val="tx1"/>
                        </w14:solidFill>
                      </w14:textFill>
                    </w:rPr>
                    <w:t>吸入、食入、经皮吸收</w:t>
                  </w:r>
                </w:p>
              </w:tc>
            </w:tr>
            <w:tr w14:paraId="6793B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Merge w:val="continue"/>
                  <w:vAlign w:val="center"/>
                </w:tcPr>
                <w:p w14:paraId="074430F0">
                  <w:pPr>
                    <w:jc w:val="center"/>
                    <w:rPr>
                      <w:color w:val="000000" w:themeColor="text1"/>
                      <w:szCs w:val="21"/>
                      <w14:textFill>
                        <w14:solidFill>
                          <w14:schemeClr w14:val="tx1"/>
                        </w14:solidFill>
                      </w14:textFill>
                    </w:rPr>
                  </w:pPr>
                </w:p>
              </w:tc>
              <w:tc>
                <w:tcPr>
                  <w:tcW w:w="1203" w:type="pct"/>
                  <w:vAlign w:val="center"/>
                </w:tcPr>
                <w:p w14:paraId="64426673">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健康危害</w:t>
                  </w:r>
                </w:p>
              </w:tc>
              <w:tc>
                <w:tcPr>
                  <w:tcW w:w="3114" w:type="pct"/>
                  <w:gridSpan w:val="3"/>
                  <w:vAlign w:val="center"/>
                </w:tcPr>
                <w:p w14:paraId="64CEBA57">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其蒸气有刺激作用，引起粘膜和上呼吸道的刺激症状。如流泪、咽喉刺激感、呛咳、并伴有头疼、头晕、胸闷等。长期接触可引起牙齿酸蚀症，皮肤接触引起灼伤。口服硝酸，引</w:t>
                  </w:r>
                  <w:r>
                    <w:rPr>
                      <w:rFonts w:ascii="Times New Roman" w:hAnsi="Times New Roman" w:eastAsia="宋体" w:cs="Times New Roman"/>
                      <w:color w:val="000000" w:themeColor="text1"/>
                      <w:spacing w:val="-7"/>
                      <w:szCs w:val="21"/>
                      <w14:textFill>
                        <w14:solidFill>
                          <w14:schemeClr w14:val="tx1"/>
                        </w14:solidFill>
                      </w14:textFill>
                    </w:rPr>
                    <w:t>起上消化道剧痛、烧灼伤以致形成溃疡；严重者可能有胃穿</w:t>
                  </w:r>
                  <w:r>
                    <w:rPr>
                      <w:rFonts w:ascii="Times New Roman" w:hAnsi="Times New Roman" w:eastAsia="宋体" w:cs="Times New Roman"/>
                      <w:color w:val="000000" w:themeColor="text1"/>
                      <w:spacing w:val="-3"/>
                      <w:szCs w:val="21"/>
                      <w14:textFill>
                        <w14:solidFill>
                          <w14:schemeClr w14:val="tx1"/>
                        </w14:solidFill>
                      </w14:textFill>
                    </w:rPr>
                    <w:t>孔、腹膜炎、喉痉挛、肾损害、休克以致窒息等。</w:t>
                  </w:r>
                </w:p>
              </w:tc>
            </w:tr>
            <w:tr w14:paraId="634BD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Align w:val="center"/>
                </w:tcPr>
                <w:p w14:paraId="7729F564">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急救方法</w:t>
                  </w:r>
                </w:p>
              </w:tc>
              <w:tc>
                <w:tcPr>
                  <w:tcW w:w="4318" w:type="pct"/>
                  <w:gridSpan w:val="4"/>
                  <w:vAlign w:val="center"/>
                </w:tcPr>
                <w:p w14:paraId="1BD0C1FD">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皮肤接触：立即用水冲洗至少15分钟，或用2%碳酸氢钠溶液冲洗。若有灼伤，就</w:t>
                  </w:r>
                  <w:r>
                    <w:rPr>
                      <w:rFonts w:ascii="Times New Roman" w:hAnsi="Times New Roman" w:eastAsia="宋体" w:cs="Times New Roman"/>
                      <w:color w:val="000000" w:themeColor="text1"/>
                      <w:spacing w:val="-4"/>
                      <w:szCs w:val="21"/>
                      <w14:textFill>
                        <w14:solidFill>
                          <w14:schemeClr w14:val="tx1"/>
                        </w14:solidFill>
                      </w14:textFill>
                    </w:rPr>
                    <w:t>医治疗；</w:t>
                  </w:r>
                </w:p>
                <w:p w14:paraId="5CB14B2B">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眼睛接触：立即提起眼睑，用流动清水或生理盐水冲洗至少15</w:t>
                  </w:r>
                  <w:r>
                    <w:rPr>
                      <w:rFonts w:ascii="Times New Roman" w:hAnsi="Times New Roman" w:eastAsia="宋体" w:cs="Times New Roman"/>
                      <w:color w:val="000000" w:themeColor="text1"/>
                      <w:spacing w:val="-4"/>
                      <w:szCs w:val="21"/>
                      <w14:textFill>
                        <w14:solidFill>
                          <w14:schemeClr w14:val="tx1"/>
                        </w14:solidFill>
                      </w14:textFill>
                    </w:rPr>
                    <w:t>分钟。就医；</w:t>
                  </w:r>
                </w:p>
                <w:p w14:paraId="75F17079">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吸入：迅速脱离现场至空气新鲜处。呼吸困难时给输氧。给予2~4%碳酸氢钠溶液雾化吸入。就医；</w:t>
                  </w:r>
                </w:p>
                <w:p w14:paraId="33C2CFE0">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3"/>
                      <w:szCs w:val="21"/>
                      <w14:textFill>
                        <w14:solidFill>
                          <w14:schemeClr w14:val="tx1"/>
                        </w14:solidFill>
                      </w14:textFill>
                    </w:rPr>
                    <w:t>食入：误服者给牛奶、蛋清、植物油等口服，不可催吐。立即就医。</w:t>
                  </w:r>
                </w:p>
              </w:tc>
            </w:tr>
            <w:tr w14:paraId="7ECD6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Merge w:val="restart"/>
                  <w:vAlign w:val="center"/>
                </w:tcPr>
                <w:p w14:paraId="220B6047">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储运条件与泄漏处</w:t>
                  </w:r>
                  <w:r>
                    <w:rPr>
                      <w:rFonts w:ascii="Times New Roman" w:hAnsi="Times New Roman" w:eastAsia="宋体" w:cs="Times New Roman"/>
                      <w:color w:val="000000" w:themeColor="text1"/>
                      <w:spacing w:val="-10"/>
                      <w:szCs w:val="21"/>
                      <w14:textFill>
                        <w14:solidFill>
                          <w14:schemeClr w14:val="tx1"/>
                        </w14:solidFill>
                      </w14:textFill>
                    </w:rPr>
                    <w:t>理</w:t>
                  </w:r>
                </w:p>
              </w:tc>
              <w:tc>
                <w:tcPr>
                  <w:tcW w:w="1203" w:type="pct"/>
                  <w:vAlign w:val="center"/>
                </w:tcPr>
                <w:p w14:paraId="0502274D">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储运条件</w:t>
                  </w:r>
                </w:p>
              </w:tc>
              <w:tc>
                <w:tcPr>
                  <w:tcW w:w="3114" w:type="pct"/>
                  <w:gridSpan w:val="3"/>
                  <w:vAlign w:val="center"/>
                </w:tcPr>
                <w:p w14:paraId="10FFAD43">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储存于阴凉、干燥、通风处。应与易燃、可燃物、碱类、金属粉末等分开存放。不可混储混运，搬运时要轻装轻卸，防</w:t>
                  </w:r>
                  <w:r>
                    <w:rPr>
                      <w:rFonts w:ascii="Times New Roman" w:hAnsi="Times New Roman" w:eastAsia="宋体" w:cs="Times New Roman"/>
                      <w:color w:val="000000" w:themeColor="text1"/>
                      <w:spacing w:val="-7"/>
                      <w:szCs w:val="21"/>
                      <w14:textFill>
                        <w14:solidFill>
                          <w14:schemeClr w14:val="tx1"/>
                        </w14:solidFill>
                      </w14:textFill>
                    </w:rPr>
                    <w:t>止包装及容器损坏。分装和搬运作业要注意个人防护。运输</w:t>
                  </w:r>
                </w:p>
                <w:p w14:paraId="6F806E87">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3"/>
                      <w:szCs w:val="21"/>
                      <w14:textFill>
                        <w14:solidFill>
                          <w14:schemeClr w14:val="tx1"/>
                        </w14:solidFill>
                      </w14:textFill>
                    </w:rPr>
                    <w:t>按规定路线行驶，勿在居民区和人口稠密区停留。</w:t>
                  </w:r>
                </w:p>
              </w:tc>
            </w:tr>
            <w:tr w14:paraId="543395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Merge w:val="continue"/>
                  <w:vAlign w:val="center"/>
                </w:tcPr>
                <w:p w14:paraId="5ADC84DA">
                  <w:pPr>
                    <w:jc w:val="center"/>
                    <w:rPr>
                      <w:color w:val="000000" w:themeColor="text1"/>
                      <w:szCs w:val="21"/>
                      <w14:textFill>
                        <w14:solidFill>
                          <w14:schemeClr w14:val="tx1"/>
                        </w14:solidFill>
                      </w14:textFill>
                    </w:rPr>
                  </w:pPr>
                </w:p>
              </w:tc>
              <w:tc>
                <w:tcPr>
                  <w:tcW w:w="1203" w:type="pct"/>
                  <w:vAlign w:val="center"/>
                </w:tcPr>
                <w:p w14:paraId="21952A6D">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泄漏处理</w:t>
                  </w:r>
                </w:p>
              </w:tc>
              <w:tc>
                <w:tcPr>
                  <w:tcW w:w="3114" w:type="pct"/>
                  <w:gridSpan w:val="3"/>
                  <w:vAlign w:val="center"/>
                </w:tcPr>
                <w:p w14:paraId="4EFAC546">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迅速撤离泄漏污染区人员至安全区，并进行隔离，严格限制出入。建议应急处理人员戴自给正压式呼吸器，穿防酸碱工作服。从上风处进入现场。尽可能切断泄漏源，防止流入下水道、泄洪沟等限制性空间。不要直接接触泄漏物，勿使泄漏物与可燃物质（木材、纸、油等）接触，在确保安全情况</w:t>
                  </w:r>
                  <w:r>
                    <w:rPr>
                      <w:rFonts w:ascii="Times New Roman" w:hAnsi="Times New Roman" w:eastAsia="宋体" w:cs="Times New Roman"/>
                      <w:color w:val="000000" w:themeColor="text1"/>
                      <w:spacing w:val="-2"/>
                      <w:szCs w:val="21"/>
                      <w14:textFill>
                        <w14:solidFill>
                          <w14:schemeClr w14:val="tx1"/>
                        </w14:solidFill>
                      </w14:textFill>
                    </w:rPr>
                    <w:t>下堵漏。喷水雾能减少蒸发但不要使水进入储存容器内。</w:t>
                  </w:r>
                  <w:r>
                    <w:rPr>
                      <w:rFonts w:ascii="Times New Roman" w:hAnsi="Times New Roman" w:eastAsia="宋体" w:cs="Times New Roman"/>
                      <w:color w:val="000000" w:themeColor="text1"/>
                      <w:spacing w:val="-4"/>
                      <w:szCs w:val="21"/>
                      <w14:textFill>
                        <w14:solidFill>
                          <w14:schemeClr w14:val="tx1"/>
                        </w14:solidFill>
                      </w14:textFill>
                    </w:rPr>
                    <w:t>小量泄漏：将地面洒上苏打灰，然后用大量水冲洗，洗水稀</w:t>
                  </w:r>
                  <w:r>
                    <w:rPr>
                      <w:rFonts w:ascii="Times New Roman" w:hAnsi="Times New Roman" w:eastAsia="宋体" w:cs="Times New Roman"/>
                      <w:color w:val="000000" w:themeColor="text1"/>
                      <w:spacing w:val="-2"/>
                      <w:szCs w:val="21"/>
                      <w14:textFill>
                        <w14:solidFill>
                          <w14:schemeClr w14:val="tx1"/>
                        </w14:solidFill>
                      </w14:textFill>
                    </w:rPr>
                    <w:t>释后放入废水系统。</w:t>
                  </w:r>
                </w:p>
                <w:p w14:paraId="440A8A55">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18"/>
                      <w:szCs w:val="21"/>
                      <w14:textFill>
                        <w14:solidFill>
                          <w14:schemeClr w14:val="tx1"/>
                        </w14:solidFill>
                      </w14:textFill>
                    </w:rPr>
                    <w:t>大量泄漏：构筑围堤或挖坑收容。喷雾状水冷却和稀释蒸汽、</w:t>
                  </w:r>
                  <w:r>
                    <w:rPr>
                      <w:rFonts w:ascii="Times New Roman" w:hAnsi="Times New Roman" w:eastAsia="宋体" w:cs="Times New Roman"/>
                      <w:color w:val="000000" w:themeColor="text1"/>
                      <w:spacing w:val="-2"/>
                      <w:szCs w:val="21"/>
                      <w14:textFill>
                        <w14:solidFill>
                          <w14:schemeClr w14:val="tx1"/>
                        </w14:solidFill>
                      </w14:textFill>
                    </w:rPr>
                    <w:t>保护现场人员、把泄漏物稀释成不燃物。用泵转移至槽车或</w:t>
                  </w:r>
                </w:p>
                <w:p w14:paraId="7DCA7B5E">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3"/>
                      <w:szCs w:val="21"/>
                      <w14:textFill>
                        <w14:solidFill>
                          <w14:schemeClr w14:val="tx1"/>
                        </w14:solidFill>
                      </w14:textFill>
                    </w:rPr>
                    <w:t>专用收集器内，回收或运至废物处理场所处置。</w:t>
                  </w:r>
                </w:p>
              </w:tc>
            </w:tr>
            <w:tr w14:paraId="06080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9" w:type="pct"/>
                  <w:vAlign w:val="center"/>
                </w:tcPr>
                <w:p w14:paraId="7B305937">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灭火方法</w:t>
                  </w:r>
                </w:p>
              </w:tc>
              <w:tc>
                <w:tcPr>
                  <w:tcW w:w="4318" w:type="pct"/>
                  <w:gridSpan w:val="4"/>
                  <w:vAlign w:val="center"/>
                </w:tcPr>
                <w:p w14:paraId="036F121F">
                  <w:pPr>
                    <w:pStyle w:val="61"/>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3"/>
                      <w:szCs w:val="21"/>
                      <w14:textFill>
                        <w14:solidFill>
                          <w14:schemeClr w14:val="tx1"/>
                        </w14:solidFill>
                      </w14:textFill>
                    </w:rPr>
                    <w:t>用二氧化碳、砂土、雾状水、火场周围可用的灭火介质灭火。</w:t>
                  </w:r>
                </w:p>
              </w:tc>
            </w:tr>
          </w:tbl>
          <w:p w14:paraId="5EDC1E25">
            <w:pPr>
              <w:pStyle w:val="5"/>
              <w:tabs>
                <w:tab w:val="left" w:pos="1281"/>
              </w:tabs>
              <w:jc w:val="center"/>
              <w:outlineLvl w:val="9"/>
              <w:rPr>
                <w:color w:val="000000" w:themeColor="text1"/>
                <w:sz w:val="24"/>
                <w14:textFill>
                  <w14:solidFill>
                    <w14:schemeClr w14:val="tx1"/>
                  </w14:solidFill>
                </w14:textFill>
              </w:rPr>
            </w:pPr>
            <w:r>
              <w:rPr>
                <w:color w:val="000000" w:themeColor="text1"/>
                <w:spacing w:val="-2"/>
                <w:sz w:val="24"/>
                <w14:textFill>
                  <w14:solidFill>
                    <w14:schemeClr w14:val="tx1"/>
                  </w14:solidFill>
                </w14:textFill>
              </w:rPr>
              <w:t>表</w:t>
            </w:r>
            <w:r>
              <w:rPr>
                <w:rFonts w:hint="eastAsia"/>
                <w:color w:val="000000" w:themeColor="text1"/>
                <w:spacing w:val="-2"/>
                <w:sz w:val="24"/>
                <w14:textFill>
                  <w14:solidFill>
                    <w14:schemeClr w14:val="tx1"/>
                  </w14:solidFill>
                </w14:textFill>
              </w:rPr>
              <w:t>4-2</w:t>
            </w:r>
            <w:r>
              <w:rPr>
                <w:rFonts w:hint="eastAsia"/>
                <w:color w:val="000000" w:themeColor="text1"/>
                <w:spacing w:val="-2"/>
                <w:sz w:val="24"/>
                <w:lang w:val="en-US" w:eastAsia="zh-CN"/>
                <w14:textFill>
                  <w14:solidFill>
                    <w14:schemeClr w14:val="tx1"/>
                  </w14:solidFill>
                </w14:textFill>
              </w:rPr>
              <w:t>8</w:t>
            </w:r>
            <w:r>
              <w:rPr>
                <w:rFonts w:hint="eastAsia"/>
                <w:color w:val="000000" w:themeColor="text1"/>
                <w:spacing w:val="-2"/>
                <w:sz w:val="24"/>
                <w14:textFill>
                  <w14:solidFill>
                    <w14:schemeClr w14:val="tx1"/>
                  </w14:solidFill>
                </w14:textFill>
              </w:rPr>
              <w:t xml:space="preserve">  乙二醇</w:t>
            </w:r>
            <w:r>
              <w:rPr>
                <w:color w:val="000000" w:themeColor="text1"/>
                <w:spacing w:val="-2"/>
                <w:sz w:val="24"/>
                <w14:textFill>
                  <w14:solidFill>
                    <w14:schemeClr w14:val="tx1"/>
                  </w14:solidFill>
                </w14:textFill>
              </w:rPr>
              <w:t>理化性质及危险物质特性</w:t>
            </w:r>
            <w:r>
              <w:rPr>
                <w:color w:val="000000" w:themeColor="text1"/>
                <w:spacing w:val="-10"/>
                <w:sz w:val="24"/>
                <w14:textFill>
                  <w14:solidFill>
                    <w14:schemeClr w14:val="tx1"/>
                  </w14:solidFill>
                </w14:textFill>
              </w:rPr>
              <w:t>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30"/>
              <w:gridCol w:w="2144"/>
              <w:gridCol w:w="1884"/>
              <w:gridCol w:w="2133"/>
              <w:gridCol w:w="1768"/>
            </w:tblGrid>
            <w:tr w14:paraId="65775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Align w:val="center"/>
                </w:tcPr>
                <w:p w14:paraId="04EF9660">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5"/>
                      <w:sz w:val="21"/>
                      <w:szCs w:val="21"/>
                      <w14:textFill>
                        <w14:solidFill>
                          <w14:schemeClr w14:val="tx1"/>
                        </w14:solidFill>
                      </w14:textFill>
                    </w:rPr>
                    <w:t>类别</w:t>
                  </w:r>
                </w:p>
              </w:tc>
              <w:tc>
                <w:tcPr>
                  <w:tcW w:w="1170" w:type="pct"/>
                  <w:vAlign w:val="center"/>
                </w:tcPr>
                <w:p w14:paraId="24ABD6D2">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5"/>
                      <w:sz w:val="21"/>
                      <w:szCs w:val="21"/>
                      <w14:textFill>
                        <w14:solidFill>
                          <w14:schemeClr w14:val="tx1"/>
                        </w14:solidFill>
                      </w14:textFill>
                    </w:rPr>
                    <w:t>项目</w:t>
                  </w:r>
                </w:p>
              </w:tc>
              <w:tc>
                <w:tcPr>
                  <w:tcW w:w="3156" w:type="pct"/>
                  <w:gridSpan w:val="3"/>
                  <w:vAlign w:val="center"/>
                </w:tcPr>
                <w:p w14:paraId="7139AEE0">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乙二醇（(CH</w:t>
                  </w:r>
                  <w:r>
                    <w:rPr>
                      <w:rFonts w:ascii="Times New Roman" w:hAnsi="Times New Roman" w:eastAsia="宋体" w:cs="Times New Roman"/>
                      <w:color w:val="000000" w:themeColor="text1"/>
                      <w:spacing w:val="-2"/>
                      <w:sz w:val="21"/>
                      <w:szCs w:val="21"/>
                      <w:vertAlign w:val="subscript"/>
                      <w14:textFill>
                        <w14:solidFill>
                          <w14:schemeClr w14:val="tx1"/>
                        </w14:solidFill>
                      </w14:textFill>
                    </w:rPr>
                    <w:t>2</w:t>
                  </w:r>
                  <w:r>
                    <w:rPr>
                      <w:rFonts w:ascii="Times New Roman" w:hAnsi="Times New Roman" w:eastAsia="宋体" w:cs="Times New Roman"/>
                      <w:color w:val="000000" w:themeColor="text1"/>
                      <w:spacing w:val="-2"/>
                      <w:sz w:val="21"/>
                      <w:szCs w:val="21"/>
                      <w14:textFill>
                        <w14:solidFill>
                          <w14:schemeClr w14:val="tx1"/>
                        </w14:solidFill>
                      </w14:textFill>
                    </w:rPr>
                    <w:t>OH)</w:t>
                  </w:r>
                  <w:r>
                    <w:rPr>
                      <w:rFonts w:ascii="Times New Roman" w:hAnsi="Times New Roman" w:eastAsia="宋体" w:cs="Times New Roman"/>
                      <w:color w:val="000000" w:themeColor="text1"/>
                      <w:spacing w:val="-2"/>
                      <w:sz w:val="21"/>
                      <w:szCs w:val="21"/>
                      <w:vertAlign w:val="subscript"/>
                      <w14:textFill>
                        <w14:solidFill>
                          <w14:schemeClr w14:val="tx1"/>
                        </w14:solidFill>
                      </w14:textFill>
                    </w:rPr>
                    <w:t>2</w:t>
                  </w:r>
                  <w:r>
                    <w:rPr>
                      <w:rFonts w:ascii="Times New Roman" w:hAnsi="Times New Roman" w:eastAsia="宋体" w:cs="Times New Roman"/>
                      <w:color w:val="000000" w:themeColor="text1"/>
                      <w:spacing w:val="-2"/>
                      <w:sz w:val="21"/>
                      <w:szCs w:val="21"/>
                      <w14:textFill>
                        <w14:solidFill>
                          <w14:schemeClr w14:val="tx1"/>
                        </w14:solidFill>
                      </w14:textFill>
                    </w:rPr>
                    <w:t>）</w:t>
                  </w:r>
                </w:p>
              </w:tc>
            </w:tr>
            <w:tr w14:paraId="521C2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restart"/>
                  <w:vAlign w:val="center"/>
                </w:tcPr>
                <w:p w14:paraId="1DFF7CC2">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5"/>
                      <w:sz w:val="21"/>
                      <w:szCs w:val="21"/>
                      <w14:textFill>
                        <w14:solidFill>
                          <w14:schemeClr w14:val="tx1"/>
                        </w14:solidFill>
                      </w14:textFill>
                    </w:rPr>
                    <w:t>标识</w:t>
                  </w:r>
                </w:p>
              </w:tc>
              <w:tc>
                <w:tcPr>
                  <w:tcW w:w="1170" w:type="pct"/>
                  <w:vAlign w:val="center"/>
                </w:tcPr>
                <w:p w14:paraId="2268CF31">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分子量</w:t>
                  </w:r>
                </w:p>
              </w:tc>
              <w:tc>
                <w:tcPr>
                  <w:tcW w:w="3156" w:type="pct"/>
                  <w:gridSpan w:val="3"/>
                  <w:vAlign w:val="center"/>
                </w:tcPr>
                <w:p w14:paraId="38400DA0">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62.068</w:t>
                  </w:r>
                </w:p>
              </w:tc>
            </w:tr>
            <w:tr w14:paraId="4611C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continue"/>
                  <w:vAlign w:val="center"/>
                </w:tcPr>
                <w:p w14:paraId="3B9239DC">
                  <w:pPr>
                    <w:jc w:val="center"/>
                    <w:rPr>
                      <w:color w:val="000000" w:themeColor="text1"/>
                      <w:sz w:val="21"/>
                      <w:szCs w:val="21"/>
                      <w14:textFill>
                        <w14:solidFill>
                          <w14:schemeClr w14:val="tx1"/>
                        </w14:solidFill>
                      </w14:textFill>
                    </w:rPr>
                  </w:pPr>
                </w:p>
              </w:tc>
              <w:tc>
                <w:tcPr>
                  <w:tcW w:w="1170" w:type="pct"/>
                  <w:vAlign w:val="center"/>
                </w:tcPr>
                <w:p w14:paraId="61BE87C6">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CAS</w:t>
                  </w:r>
                  <w:r>
                    <w:rPr>
                      <w:rFonts w:ascii="Times New Roman" w:hAnsi="Times New Roman" w:eastAsia="宋体" w:cs="Times New Roman"/>
                      <w:color w:val="000000" w:themeColor="text1"/>
                      <w:spacing w:val="-10"/>
                      <w:sz w:val="21"/>
                      <w:szCs w:val="21"/>
                      <w14:textFill>
                        <w14:solidFill>
                          <w14:schemeClr w14:val="tx1"/>
                        </w14:solidFill>
                      </w14:textFill>
                    </w:rPr>
                    <w:t>号</w:t>
                  </w:r>
                </w:p>
              </w:tc>
              <w:tc>
                <w:tcPr>
                  <w:tcW w:w="3156" w:type="pct"/>
                  <w:gridSpan w:val="3"/>
                  <w:vAlign w:val="center"/>
                </w:tcPr>
                <w:p w14:paraId="7269189F">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107-21-</w:t>
                  </w:r>
                  <w:r>
                    <w:rPr>
                      <w:rFonts w:ascii="Times New Roman" w:hAnsi="Times New Roman" w:eastAsia="宋体" w:cs="Times New Roman"/>
                      <w:color w:val="000000" w:themeColor="text1"/>
                      <w:spacing w:val="-10"/>
                      <w:sz w:val="21"/>
                      <w:szCs w:val="21"/>
                      <w14:textFill>
                        <w14:solidFill>
                          <w14:schemeClr w14:val="tx1"/>
                        </w14:solidFill>
                      </w14:textFill>
                    </w:rPr>
                    <w:t>1</w:t>
                  </w:r>
                </w:p>
              </w:tc>
            </w:tr>
            <w:tr w14:paraId="53AD13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restart"/>
                  <w:vAlign w:val="center"/>
                </w:tcPr>
                <w:p w14:paraId="35FEC921">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理化性质</w:t>
                  </w:r>
                </w:p>
              </w:tc>
              <w:tc>
                <w:tcPr>
                  <w:tcW w:w="1170" w:type="pct"/>
                  <w:vAlign w:val="center"/>
                </w:tcPr>
                <w:p w14:paraId="217C282E">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外观与性状</w:t>
                  </w:r>
                </w:p>
              </w:tc>
              <w:tc>
                <w:tcPr>
                  <w:tcW w:w="3156" w:type="pct"/>
                  <w:gridSpan w:val="3"/>
                  <w:vAlign w:val="center"/>
                </w:tcPr>
                <w:p w14:paraId="0A9DF74F">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无色透明液体</w:t>
                  </w:r>
                </w:p>
              </w:tc>
            </w:tr>
            <w:tr w14:paraId="51632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continue"/>
                  <w:vAlign w:val="center"/>
                </w:tcPr>
                <w:p w14:paraId="371150C1">
                  <w:pPr>
                    <w:jc w:val="center"/>
                    <w:rPr>
                      <w:color w:val="000000" w:themeColor="text1"/>
                      <w:sz w:val="21"/>
                      <w:szCs w:val="21"/>
                      <w14:textFill>
                        <w14:solidFill>
                          <w14:schemeClr w14:val="tx1"/>
                        </w14:solidFill>
                      </w14:textFill>
                    </w:rPr>
                  </w:pPr>
                </w:p>
              </w:tc>
              <w:tc>
                <w:tcPr>
                  <w:tcW w:w="1170" w:type="pct"/>
                  <w:vAlign w:val="center"/>
                </w:tcPr>
                <w:p w14:paraId="3A162C56">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相对密度（水</w:t>
                  </w:r>
                  <w:r>
                    <w:rPr>
                      <w:rFonts w:ascii="Times New Roman" w:hAnsi="Times New Roman" w:eastAsia="宋体" w:cs="Times New Roman"/>
                      <w:color w:val="000000" w:themeColor="text1"/>
                      <w:spacing w:val="-5"/>
                      <w:sz w:val="21"/>
                      <w:szCs w:val="21"/>
                      <w14:textFill>
                        <w14:solidFill>
                          <w14:schemeClr w14:val="tx1"/>
                        </w14:solidFill>
                      </w14:textFill>
                    </w:rPr>
                    <w:t>=1）</w:t>
                  </w:r>
                </w:p>
              </w:tc>
              <w:tc>
                <w:tcPr>
                  <w:tcW w:w="1028" w:type="pct"/>
                  <w:vAlign w:val="center"/>
                </w:tcPr>
                <w:p w14:paraId="3C1B2B52">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1.11</w:t>
                  </w:r>
                </w:p>
              </w:tc>
              <w:tc>
                <w:tcPr>
                  <w:tcW w:w="1164" w:type="pct"/>
                  <w:vAlign w:val="center"/>
                </w:tcPr>
                <w:p w14:paraId="6719BF1B">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相对密度（空气</w:t>
                  </w:r>
                  <w:r>
                    <w:rPr>
                      <w:rFonts w:ascii="Times New Roman" w:hAnsi="Times New Roman" w:eastAsia="宋体" w:cs="Times New Roman"/>
                      <w:color w:val="000000" w:themeColor="text1"/>
                      <w:spacing w:val="-5"/>
                      <w:sz w:val="21"/>
                      <w:szCs w:val="21"/>
                      <w14:textFill>
                        <w14:solidFill>
                          <w14:schemeClr w14:val="tx1"/>
                        </w14:solidFill>
                      </w14:textFill>
                    </w:rPr>
                    <w:t>=1）</w:t>
                  </w:r>
                </w:p>
              </w:tc>
              <w:tc>
                <w:tcPr>
                  <w:tcW w:w="964" w:type="pct"/>
                  <w:vAlign w:val="center"/>
                </w:tcPr>
                <w:p w14:paraId="4E96A954">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2.14</w:t>
                  </w:r>
                </w:p>
              </w:tc>
            </w:tr>
            <w:tr w14:paraId="6A137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continue"/>
                  <w:vAlign w:val="center"/>
                </w:tcPr>
                <w:p w14:paraId="30241197">
                  <w:pPr>
                    <w:jc w:val="center"/>
                    <w:rPr>
                      <w:color w:val="000000" w:themeColor="text1"/>
                      <w:sz w:val="21"/>
                      <w:szCs w:val="21"/>
                      <w14:textFill>
                        <w14:solidFill>
                          <w14:schemeClr w14:val="tx1"/>
                        </w14:solidFill>
                      </w14:textFill>
                    </w:rPr>
                  </w:pPr>
                </w:p>
              </w:tc>
              <w:tc>
                <w:tcPr>
                  <w:tcW w:w="1170" w:type="pct"/>
                  <w:vAlign w:val="center"/>
                </w:tcPr>
                <w:p w14:paraId="7AAAFE37">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熔点</w:t>
                  </w:r>
                  <w:r>
                    <w:rPr>
                      <w:rFonts w:ascii="Times New Roman" w:hAnsi="Times New Roman" w:eastAsia="宋体" w:cs="Times New Roman"/>
                      <w:color w:val="000000" w:themeColor="text1"/>
                      <w:spacing w:val="-5"/>
                      <w:sz w:val="21"/>
                      <w:szCs w:val="21"/>
                      <w14:textFill>
                        <w14:solidFill>
                          <w14:schemeClr w14:val="tx1"/>
                        </w14:solidFill>
                      </w14:textFill>
                    </w:rPr>
                    <w:t>（℃）</w:t>
                  </w:r>
                </w:p>
              </w:tc>
              <w:tc>
                <w:tcPr>
                  <w:tcW w:w="1028" w:type="pct"/>
                  <w:vAlign w:val="center"/>
                </w:tcPr>
                <w:p w14:paraId="0311291E">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-13.2</w:t>
                  </w:r>
                </w:p>
              </w:tc>
              <w:tc>
                <w:tcPr>
                  <w:tcW w:w="1164" w:type="pct"/>
                  <w:vAlign w:val="center"/>
                </w:tcPr>
                <w:p w14:paraId="49FC1B30">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沸点</w:t>
                  </w:r>
                  <w:r>
                    <w:rPr>
                      <w:rFonts w:ascii="Times New Roman" w:hAnsi="Times New Roman" w:eastAsia="宋体" w:cs="Times New Roman"/>
                      <w:color w:val="000000" w:themeColor="text1"/>
                      <w:spacing w:val="-5"/>
                      <w:sz w:val="21"/>
                      <w:szCs w:val="21"/>
                      <w14:textFill>
                        <w14:solidFill>
                          <w14:schemeClr w14:val="tx1"/>
                        </w14:solidFill>
                      </w14:textFill>
                    </w:rPr>
                    <w:t>（℃）</w:t>
                  </w:r>
                </w:p>
              </w:tc>
              <w:tc>
                <w:tcPr>
                  <w:tcW w:w="964" w:type="pct"/>
                  <w:vAlign w:val="center"/>
                </w:tcPr>
                <w:p w14:paraId="160A445A">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197.5</w:t>
                  </w:r>
                </w:p>
              </w:tc>
            </w:tr>
            <w:tr w14:paraId="77AC1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continue"/>
                  <w:vAlign w:val="center"/>
                </w:tcPr>
                <w:p w14:paraId="42AA7FA4">
                  <w:pPr>
                    <w:jc w:val="center"/>
                    <w:rPr>
                      <w:color w:val="000000" w:themeColor="text1"/>
                      <w:sz w:val="21"/>
                      <w:szCs w:val="21"/>
                      <w14:textFill>
                        <w14:solidFill>
                          <w14:schemeClr w14:val="tx1"/>
                        </w14:solidFill>
                      </w14:textFill>
                    </w:rPr>
                  </w:pPr>
                </w:p>
              </w:tc>
              <w:tc>
                <w:tcPr>
                  <w:tcW w:w="1170" w:type="pct"/>
                  <w:vAlign w:val="center"/>
                </w:tcPr>
                <w:p w14:paraId="6A71AA44">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饱和蒸气压</w:t>
                  </w:r>
                  <w:r>
                    <w:rPr>
                      <w:rFonts w:ascii="Times New Roman" w:hAnsi="Times New Roman" w:eastAsia="宋体" w:cs="Times New Roman"/>
                      <w:color w:val="000000" w:themeColor="text1"/>
                      <w:spacing w:val="-4"/>
                      <w:sz w:val="21"/>
                      <w:szCs w:val="21"/>
                      <w14:textFill>
                        <w14:solidFill>
                          <w14:schemeClr w14:val="tx1"/>
                        </w14:solidFill>
                      </w14:textFill>
                    </w:rPr>
                    <w:t>（kPa）</w:t>
                  </w:r>
                </w:p>
              </w:tc>
              <w:tc>
                <w:tcPr>
                  <w:tcW w:w="1028" w:type="pct"/>
                  <w:vAlign w:val="center"/>
                </w:tcPr>
                <w:p w14:paraId="4788E52D">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6.21/20℃</w:t>
                  </w:r>
                </w:p>
              </w:tc>
              <w:tc>
                <w:tcPr>
                  <w:tcW w:w="1164" w:type="pct"/>
                  <w:vAlign w:val="center"/>
                </w:tcPr>
                <w:p w14:paraId="01CE9410">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溶解性</w:t>
                  </w:r>
                </w:p>
              </w:tc>
              <w:tc>
                <w:tcPr>
                  <w:tcW w:w="964" w:type="pct"/>
                  <w:vAlign w:val="center"/>
                </w:tcPr>
                <w:p w14:paraId="117EB089">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与水/乙醇/</w:t>
                  </w:r>
                  <w:r>
                    <w:rPr>
                      <w:rFonts w:ascii="Times New Roman" w:hAnsi="Times New Roman" w:eastAsia="宋体" w:cs="Times New Roman"/>
                      <w:color w:val="000000" w:themeColor="text1"/>
                      <w:spacing w:val="-6"/>
                      <w:sz w:val="21"/>
                      <w:szCs w:val="21"/>
                      <w14:textFill>
                        <w14:solidFill>
                          <w14:schemeClr w14:val="tx1"/>
                        </w14:solidFill>
                      </w14:textFill>
                    </w:rPr>
                    <w:t>丙酮</w:t>
                  </w:r>
                </w:p>
                <w:p w14:paraId="20723A5D">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等混溶，微溶于</w:t>
                  </w:r>
                  <w:r>
                    <w:rPr>
                      <w:rFonts w:ascii="Times New Roman" w:hAnsi="Times New Roman" w:eastAsia="宋体" w:cs="Times New Roman"/>
                      <w:color w:val="000000" w:themeColor="text1"/>
                      <w:spacing w:val="-6"/>
                      <w:sz w:val="21"/>
                      <w:szCs w:val="21"/>
                      <w14:textFill>
                        <w14:solidFill>
                          <w14:schemeClr w14:val="tx1"/>
                        </w14:solidFill>
                      </w14:textFill>
                    </w:rPr>
                    <w:t>乙醚</w:t>
                  </w:r>
                </w:p>
              </w:tc>
            </w:tr>
            <w:tr w14:paraId="24C62A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restart"/>
                  <w:vAlign w:val="center"/>
                </w:tcPr>
                <w:p w14:paraId="4E35974F">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燃烧爆炸危险性</w:t>
                  </w:r>
                </w:p>
              </w:tc>
              <w:tc>
                <w:tcPr>
                  <w:tcW w:w="1170" w:type="pct"/>
                  <w:vAlign w:val="center"/>
                </w:tcPr>
                <w:p w14:paraId="7A014257">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爆炸下限</w:t>
                  </w:r>
                  <w:r>
                    <w:rPr>
                      <w:rFonts w:ascii="Times New Roman" w:hAnsi="Times New Roman" w:eastAsia="宋体" w:cs="Times New Roman"/>
                      <w:color w:val="000000" w:themeColor="text1"/>
                      <w:spacing w:val="-5"/>
                      <w:sz w:val="21"/>
                      <w:szCs w:val="21"/>
                      <w14:textFill>
                        <w14:solidFill>
                          <w14:schemeClr w14:val="tx1"/>
                        </w14:solidFill>
                      </w14:textFill>
                    </w:rPr>
                    <w:t>（%）</w:t>
                  </w:r>
                </w:p>
              </w:tc>
              <w:tc>
                <w:tcPr>
                  <w:tcW w:w="1028" w:type="pct"/>
                  <w:vAlign w:val="center"/>
                </w:tcPr>
                <w:p w14:paraId="34862FC5">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5"/>
                      <w:sz w:val="21"/>
                      <w:szCs w:val="21"/>
                      <w14:textFill>
                        <w14:solidFill>
                          <w14:schemeClr w14:val="tx1"/>
                        </w14:solidFill>
                      </w14:textFill>
                    </w:rPr>
                    <w:t>3.2</w:t>
                  </w:r>
                </w:p>
              </w:tc>
              <w:tc>
                <w:tcPr>
                  <w:tcW w:w="1164" w:type="pct"/>
                  <w:vAlign w:val="center"/>
                </w:tcPr>
                <w:p w14:paraId="16CBFD6D">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爆炸上限</w:t>
                  </w:r>
                  <w:r>
                    <w:rPr>
                      <w:rFonts w:ascii="Times New Roman" w:hAnsi="Times New Roman" w:eastAsia="宋体" w:cs="Times New Roman"/>
                      <w:color w:val="000000" w:themeColor="text1"/>
                      <w:spacing w:val="-5"/>
                      <w:sz w:val="21"/>
                      <w:szCs w:val="21"/>
                      <w14:textFill>
                        <w14:solidFill>
                          <w14:schemeClr w14:val="tx1"/>
                        </w14:solidFill>
                      </w14:textFill>
                    </w:rPr>
                    <w:t>（%）</w:t>
                  </w:r>
                </w:p>
              </w:tc>
              <w:tc>
                <w:tcPr>
                  <w:tcW w:w="964" w:type="pct"/>
                  <w:vAlign w:val="center"/>
                </w:tcPr>
                <w:p w14:paraId="3F372D7C">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15.3</w:t>
                  </w:r>
                </w:p>
              </w:tc>
            </w:tr>
            <w:tr w14:paraId="1447F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continue"/>
                  <w:vAlign w:val="center"/>
                </w:tcPr>
                <w:p w14:paraId="6141AF0B">
                  <w:pPr>
                    <w:jc w:val="center"/>
                    <w:rPr>
                      <w:color w:val="000000" w:themeColor="text1"/>
                      <w:sz w:val="21"/>
                      <w:szCs w:val="21"/>
                      <w14:textFill>
                        <w14:solidFill>
                          <w14:schemeClr w14:val="tx1"/>
                        </w14:solidFill>
                      </w14:textFill>
                    </w:rPr>
                  </w:pPr>
                </w:p>
              </w:tc>
              <w:tc>
                <w:tcPr>
                  <w:tcW w:w="1170" w:type="pct"/>
                  <w:vAlign w:val="center"/>
                </w:tcPr>
                <w:p w14:paraId="221F6EE4">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z w:val="21"/>
                      <w:szCs w:val="21"/>
                      <w14:textFill>
                        <w14:solidFill>
                          <w14:schemeClr w14:val="tx1"/>
                        </w14:solidFill>
                      </w14:textFill>
                    </w:rPr>
                    <w:t>闪点</w:t>
                  </w:r>
                  <w:r>
                    <w:rPr>
                      <w:rFonts w:ascii="Times New Roman" w:hAnsi="Times New Roman" w:eastAsia="宋体" w:cs="Times New Roman"/>
                      <w:color w:val="000000" w:themeColor="text1"/>
                      <w:spacing w:val="-5"/>
                      <w:sz w:val="21"/>
                      <w:szCs w:val="21"/>
                      <w14:textFill>
                        <w14:solidFill>
                          <w14:schemeClr w14:val="tx1"/>
                        </w14:solidFill>
                      </w14:textFill>
                    </w:rPr>
                    <w:t>（℃）</w:t>
                  </w:r>
                </w:p>
              </w:tc>
              <w:tc>
                <w:tcPr>
                  <w:tcW w:w="1028" w:type="pct"/>
                  <w:vAlign w:val="center"/>
                </w:tcPr>
                <w:p w14:paraId="72938D44">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5"/>
                      <w:sz w:val="21"/>
                      <w:szCs w:val="21"/>
                      <w14:textFill>
                        <w14:solidFill>
                          <w14:schemeClr w14:val="tx1"/>
                        </w14:solidFill>
                      </w14:textFill>
                    </w:rPr>
                    <w:t>110</w:t>
                  </w:r>
                </w:p>
              </w:tc>
              <w:tc>
                <w:tcPr>
                  <w:tcW w:w="1164" w:type="pct"/>
                  <w:vAlign w:val="center"/>
                </w:tcPr>
                <w:p w14:paraId="3386C79D">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引燃温度</w:t>
                  </w:r>
                  <w:r>
                    <w:rPr>
                      <w:rFonts w:ascii="Times New Roman" w:hAnsi="Times New Roman" w:eastAsia="宋体" w:cs="Times New Roman"/>
                      <w:color w:val="000000" w:themeColor="text1"/>
                      <w:spacing w:val="-5"/>
                      <w:sz w:val="21"/>
                      <w:szCs w:val="21"/>
                      <w14:textFill>
                        <w14:solidFill>
                          <w14:schemeClr w14:val="tx1"/>
                        </w14:solidFill>
                      </w14:textFill>
                    </w:rPr>
                    <w:t>（℃）</w:t>
                  </w:r>
                </w:p>
              </w:tc>
              <w:tc>
                <w:tcPr>
                  <w:tcW w:w="964" w:type="pct"/>
                  <w:vAlign w:val="center"/>
                </w:tcPr>
                <w:p w14:paraId="18DD163C">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281.9</w:t>
                  </w:r>
                </w:p>
              </w:tc>
            </w:tr>
            <w:tr w14:paraId="41738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continue"/>
                  <w:vAlign w:val="center"/>
                </w:tcPr>
                <w:p w14:paraId="69673749">
                  <w:pPr>
                    <w:jc w:val="center"/>
                    <w:rPr>
                      <w:color w:val="000000" w:themeColor="text1"/>
                      <w:sz w:val="21"/>
                      <w:szCs w:val="21"/>
                      <w14:textFill>
                        <w14:solidFill>
                          <w14:schemeClr w14:val="tx1"/>
                        </w14:solidFill>
                      </w14:textFill>
                    </w:rPr>
                  </w:pPr>
                </w:p>
              </w:tc>
              <w:tc>
                <w:tcPr>
                  <w:tcW w:w="1170" w:type="pct"/>
                  <w:vAlign w:val="center"/>
                </w:tcPr>
                <w:p w14:paraId="3F4AF53F">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燃烧性</w:t>
                  </w:r>
                </w:p>
              </w:tc>
              <w:tc>
                <w:tcPr>
                  <w:tcW w:w="3156" w:type="pct"/>
                  <w:gridSpan w:val="3"/>
                  <w:vAlign w:val="center"/>
                </w:tcPr>
                <w:p w14:paraId="462AC651">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5"/>
                      <w:sz w:val="21"/>
                      <w:szCs w:val="21"/>
                      <w14:textFill>
                        <w14:solidFill>
                          <w14:schemeClr w14:val="tx1"/>
                        </w14:solidFill>
                      </w14:textFill>
                    </w:rPr>
                    <w:t>可燃</w:t>
                  </w:r>
                </w:p>
              </w:tc>
            </w:tr>
            <w:tr w14:paraId="54F03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continue"/>
                  <w:vAlign w:val="center"/>
                </w:tcPr>
                <w:p w14:paraId="7B77F6F0">
                  <w:pPr>
                    <w:jc w:val="center"/>
                    <w:rPr>
                      <w:color w:val="000000" w:themeColor="text1"/>
                      <w:sz w:val="21"/>
                      <w:szCs w:val="21"/>
                      <w14:textFill>
                        <w14:solidFill>
                          <w14:schemeClr w14:val="tx1"/>
                        </w14:solidFill>
                      </w14:textFill>
                    </w:rPr>
                  </w:pPr>
                </w:p>
              </w:tc>
              <w:tc>
                <w:tcPr>
                  <w:tcW w:w="1170" w:type="pct"/>
                  <w:vAlign w:val="center"/>
                </w:tcPr>
                <w:p w14:paraId="0221C640">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燃烧产物</w:t>
                  </w:r>
                </w:p>
              </w:tc>
              <w:tc>
                <w:tcPr>
                  <w:tcW w:w="3156" w:type="pct"/>
                  <w:gridSpan w:val="3"/>
                  <w:vAlign w:val="center"/>
                </w:tcPr>
                <w:p w14:paraId="2E5349C6">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一氧化碳、二氧化碳</w:t>
                  </w:r>
                </w:p>
              </w:tc>
            </w:tr>
            <w:tr w14:paraId="45E68B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continue"/>
                  <w:vAlign w:val="center"/>
                </w:tcPr>
                <w:p w14:paraId="6F026E1C">
                  <w:pPr>
                    <w:jc w:val="center"/>
                    <w:rPr>
                      <w:color w:val="000000" w:themeColor="text1"/>
                      <w:sz w:val="21"/>
                      <w:szCs w:val="21"/>
                      <w14:textFill>
                        <w14:solidFill>
                          <w14:schemeClr w14:val="tx1"/>
                        </w14:solidFill>
                      </w14:textFill>
                    </w:rPr>
                  </w:pPr>
                </w:p>
              </w:tc>
              <w:tc>
                <w:tcPr>
                  <w:tcW w:w="1170" w:type="pct"/>
                  <w:vAlign w:val="center"/>
                </w:tcPr>
                <w:p w14:paraId="7BA7E554">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禁忌物</w:t>
                  </w:r>
                </w:p>
              </w:tc>
              <w:tc>
                <w:tcPr>
                  <w:tcW w:w="3156" w:type="pct"/>
                  <w:gridSpan w:val="3"/>
                  <w:vAlign w:val="center"/>
                </w:tcPr>
                <w:p w14:paraId="292DD97E">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强氧化剂、强酸</w:t>
                  </w:r>
                </w:p>
              </w:tc>
            </w:tr>
            <w:tr w14:paraId="7FBC5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continue"/>
                  <w:vAlign w:val="center"/>
                </w:tcPr>
                <w:p w14:paraId="0EA584BC">
                  <w:pPr>
                    <w:jc w:val="center"/>
                    <w:rPr>
                      <w:color w:val="000000" w:themeColor="text1"/>
                      <w:sz w:val="21"/>
                      <w:szCs w:val="21"/>
                      <w14:textFill>
                        <w14:solidFill>
                          <w14:schemeClr w14:val="tx1"/>
                        </w14:solidFill>
                      </w14:textFill>
                    </w:rPr>
                  </w:pPr>
                </w:p>
              </w:tc>
              <w:tc>
                <w:tcPr>
                  <w:tcW w:w="1170" w:type="pct"/>
                  <w:vAlign w:val="center"/>
                </w:tcPr>
                <w:p w14:paraId="24565F5D">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危险特性</w:t>
                  </w:r>
                </w:p>
              </w:tc>
              <w:tc>
                <w:tcPr>
                  <w:tcW w:w="3156" w:type="pct"/>
                  <w:gridSpan w:val="3"/>
                  <w:vAlign w:val="center"/>
                </w:tcPr>
                <w:p w14:paraId="1B563DA6">
                  <w:pPr>
                    <w:pStyle w:val="61"/>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11"/>
                      <w:sz w:val="21"/>
                      <w:szCs w:val="21"/>
                      <w14:textFill>
                        <w14:solidFill>
                          <w14:schemeClr w14:val="tx1"/>
                        </w14:solidFill>
                      </w14:textFill>
                    </w:rPr>
                    <w:t>遇明火、高热或与氧化剂接触。若遇高热，容器内压增大，</w:t>
                  </w:r>
                  <w:r>
                    <w:rPr>
                      <w:rFonts w:ascii="Times New Roman" w:hAnsi="Times New Roman" w:eastAsia="宋体" w:cs="Times New Roman"/>
                      <w:color w:val="000000" w:themeColor="text1"/>
                      <w:spacing w:val="-2"/>
                      <w:sz w:val="21"/>
                      <w:szCs w:val="21"/>
                      <w14:textFill>
                        <w14:solidFill>
                          <w14:schemeClr w14:val="tx1"/>
                        </w14:solidFill>
                      </w14:textFill>
                    </w:rPr>
                    <w:t>有开裂和爆炸的危险。</w:t>
                  </w:r>
                </w:p>
              </w:tc>
            </w:tr>
            <w:tr w14:paraId="3AEE0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Align w:val="center"/>
                </w:tcPr>
                <w:p w14:paraId="5CF14799">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安全防护</w:t>
                  </w:r>
                  <w:r>
                    <w:rPr>
                      <w:rFonts w:ascii="Times New Roman" w:hAnsi="Times New Roman" w:eastAsia="宋体" w:cs="Times New Roman"/>
                      <w:color w:val="000000" w:themeColor="text1"/>
                      <w:spacing w:val="-6"/>
                      <w:sz w:val="21"/>
                      <w:szCs w:val="21"/>
                      <w14:textFill>
                        <w14:solidFill>
                          <w14:schemeClr w14:val="tx1"/>
                        </w14:solidFill>
                      </w14:textFill>
                    </w:rPr>
                    <w:t>措施</w:t>
                  </w:r>
                </w:p>
              </w:tc>
              <w:tc>
                <w:tcPr>
                  <w:tcW w:w="4327" w:type="pct"/>
                  <w:gridSpan w:val="4"/>
                  <w:vAlign w:val="center"/>
                </w:tcPr>
                <w:p w14:paraId="4E33B0AC">
                  <w:pPr>
                    <w:pStyle w:val="61"/>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0"/>
                      <w:sz w:val="21"/>
                      <w:szCs w:val="21"/>
                      <w14:textFill>
                        <w14:solidFill>
                          <w14:schemeClr w14:val="tx1"/>
                        </w14:solidFill>
                      </w14:textFill>
                    </w:rPr>
                    <w:t>呼吸系统防护：一般不需要特殊防护，高浓度接触时可佩带自吸过滤式防毒面具</w:t>
                  </w:r>
                  <w:r>
                    <w:rPr>
                      <w:rFonts w:ascii="Times New Roman" w:hAnsi="Times New Roman" w:eastAsia="宋体" w:cs="Times New Roman"/>
                      <w:color w:val="000000" w:themeColor="text1"/>
                      <w:spacing w:val="-2"/>
                      <w:sz w:val="21"/>
                      <w:szCs w:val="21"/>
                      <w14:textFill>
                        <w14:solidFill>
                          <w14:schemeClr w14:val="tx1"/>
                        </w14:solidFill>
                      </w14:textFill>
                    </w:rPr>
                    <w:t>（半</w:t>
                  </w:r>
                  <w:r>
                    <w:rPr>
                      <w:rFonts w:ascii="Times New Roman" w:hAnsi="Times New Roman" w:eastAsia="宋体" w:cs="Times New Roman"/>
                      <w:color w:val="000000" w:themeColor="text1"/>
                      <w:spacing w:val="-4"/>
                      <w:sz w:val="21"/>
                      <w:szCs w:val="21"/>
                      <w14:textFill>
                        <w14:solidFill>
                          <w14:schemeClr w14:val="tx1"/>
                        </w14:solidFill>
                      </w14:textFill>
                    </w:rPr>
                    <w:t>面罩）。</w:t>
                  </w:r>
                </w:p>
                <w:p w14:paraId="1F13A123">
                  <w:pPr>
                    <w:pStyle w:val="61"/>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眼睛防护：空气中浓度较高时，佩戴化学安全防护眼镜。身体防护：穿一般作业防护服。</w:t>
                  </w:r>
                </w:p>
                <w:p w14:paraId="2366FA3C">
                  <w:pPr>
                    <w:pStyle w:val="61"/>
                    <w:jc w:val="left"/>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其他防护：工作完毕，淋浴更衣。避免长期反复接触。</w:t>
                  </w:r>
                </w:p>
              </w:tc>
            </w:tr>
            <w:tr w14:paraId="03EBA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Align w:val="center"/>
                </w:tcPr>
                <w:p w14:paraId="69FE965C">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急救方法</w:t>
                  </w:r>
                </w:p>
              </w:tc>
              <w:tc>
                <w:tcPr>
                  <w:tcW w:w="4327" w:type="pct"/>
                  <w:gridSpan w:val="4"/>
                  <w:vAlign w:val="center"/>
                </w:tcPr>
                <w:p w14:paraId="5BE24D60">
                  <w:pPr>
                    <w:pStyle w:val="61"/>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皮肤接触：脱去污染的衣着，用大量流动清水冲洗。</w:t>
                  </w:r>
                </w:p>
                <w:p w14:paraId="6DF5AC33">
                  <w:pPr>
                    <w:pStyle w:val="61"/>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眼睛接触：提起眼睑，用流动清水或生理盐水冲洗。就医。</w:t>
                  </w:r>
                </w:p>
                <w:p w14:paraId="51CB9FF3">
                  <w:pPr>
                    <w:pStyle w:val="61"/>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吸入：迅速脱离现场至空气新鲜处。保持呼吸道通畅。如呼吸困难，给输氧。如呼吸停止，立即进行人工呼吸，就医。</w:t>
                  </w:r>
                </w:p>
                <w:p w14:paraId="5588E2C2">
                  <w:pPr>
                    <w:pStyle w:val="61"/>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3"/>
                      <w:sz w:val="21"/>
                      <w:szCs w:val="21"/>
                      <w14:textFill>
                        <w14:solidFill>
                          <w14:schemeClr w14:val="tx1"/>
                        </w14:solidFill>
                      </w14:textFill>
                    </w:rPr>
                    <w:t>食入：饮足量温水，催吐。洗胃，导泄。就医。如呼吸停止，立即进行人工呼吸。</w:t>
                  </w:r>
                  <w:r>
                    <w:rPr>
                      <w:rFonts w:ascii="Times New Roman" w:hAnsi="Times New Roman" w:eastAsia="宋体" w:cs="Times New Roman"/>
                      <w:color w:val="000000" w:themeColor="text1"/>
                      <w:spacing w:val="-4"/>
                      <w:sz w:val="21"/>
                      <w:szCs w:val="21"/>
                      <w14:textFill>
                        <w14:solidFill>
                          <w14:schemeClr w14:val="tx1"/>
                        </w14:solidFill>
                      </w14:textFill>
                    </w:rPr>
                    <w:t>就医。</w:t>
                  </w:r>
                </w:p>
              </w:tc>
            </w:tr>
            <w:tr w14:paraId="61390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restart"/>
                  <w:vAlign w:val="center"/>
                </w:tcPr>
                <w:p w14:paraId="0165B872">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储运条件与泄漏处</w:t>
                  </w:r>
                  <w:r>
                    <w:rPr>
                      <w:rFonts w:ascii="Times New Roman" w:hAnsi="Times New Roman" w:eastAsia="宋体" w:cs="Times New Roman"/>
                      <w:color w:val="000000" w:themeColor="text1"/>
                      <w:spacing w:val="-10"/>
                      <w:sz w:val="21"/>
                      <w:szCs w:val="21"/>
                      <w14:textFill>
                        <w14:solidFill>
                          <w14:schemeClr w14:val="tx1"/>
                        </w14:solidFill>
                      </w14:textFill>
                    </w:rPr>
                    <w:t>理</w:t>
                  </w:r>
                </w:p>
              </w:tc>
              <w:tc>
                <w:tcPr>
                  <w:tcW w:w="1170" w:type="pct"/>
                  <w:vAlign w:val="center"/>
                </w:tcPr>
                <w:p w14:paraId="24DF5C52">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储运条件</w:t>
                  </w:r>
                </w:p>
              </w:tc>
              <w:tc>
                <w:tcPr>
                  <w:tcW w:w="3156" w:type="pct"/>
                  <w:gridSpan w:val="3"/>
                  <w:vAlign w:val="center"/>
                </w:tcPr>
                <w:p w14:paraId="7ADA4248">
                  <w:pPr>
                    <w:pStyle w:val="61"/>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储存于阴凉、通风的库房。远离火种、热源；应与氧化剂、</w:t>
                  </w:r>
                  <w:r>
                    <w:rPr>
                      <w:rFonts w:ascii="Times New Roman" w:hAnsi="Times New Roman" w:eastAsia="宋体" w:cs="Times New Roman"/>
                      <w:color w:val="000000" w:themeColor="text1"/>
                      <w:spacing w:val="-17"/>
                      <w:sz w:val="21"/>
                      <w:szCs w:val="21"/>
                      <w14:textFill>
                        <w14:solidFill>
                          <w14:schemeClr w14:val="tx1"/>
                        </w14:solidFill>
                      </w14:textFill>
                    </w:rPr>
                    <w:t>酸类分开存放，切忌混储，配备相应品种和数量的消防器材。</w:t>
                  </w:r>
                  <w:r>
                    <w:rPr>
                      <w:rFonts w:ascii="Times New Roman" w:hAnsi="Times New Roman" w:eastAsia="宋体" w:cs="Times New Roman"/>
                      <w:color w:val="000000" w:themeColor="text1"/>
                      <w:spacing w:val="-2"/>
                      <w:sz w:val="21"/>
                      <w:szCs w:val="21"/>
                      <w14:textFill>
                        <w14:solidFill>
                          <w14:schemeClr w14:val="tx1"/>
                        </w14:solidFill>
                      </w14:textFill>
                    </w:rPr>
                    <w:t>储区应备有泄漏应急处理设备和合适的收容材料。</w:t>
                  </w:r>
                </w:p>
              </w:tc>
            </w:tr>
            <w:tr w14:paraId="74C02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72" w:type="pct"/>
                  <w:vMerge w:val="continue"/>
                  <w:vAlign w:val="center"/>
                </w:tcPr>
                <w:p w14:paraId="412F056D">
                  <w:pPr>
                    <w:jc w:val="center"/>
                    <w:rPr>
                      <w:color w:val="000000" w:themeColor="text1"/>
                      <w:sz w:val="21"/>
                      <w:szCs w:val="21"/>
                      <w14:textFill>
                        <w14:solidFill>
                          <w14:schemeClr w14:val="tx1"/>
                        </w14:solidFill>
                      </w14:textFill>
                    </w:rPr>
                  </w:pPr>
                </w:p>
              </w:tc>
              <w:tc>
                <w:tcPr>
                  <w:tcW w:w="1170" w:type="pct"/>
                  <w:vAlign w:val="center"/>
                </w:tcPr>
                <w:p w14:paraId="2D5B5090">
                  <w:pPr>
                    <w:pStyle w:val="61"/>
                    <w:jc w:val="center"/>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泄漏处理</w:t>
                  </w:r>
                </w:p>
              </w:tc>
              <w:tc>
                <w:tcPr>
                  <w:tcW w:w="3156" w:type="pct"/>
                  <w:gridSpan w:val="3"/>
                  <w:vAlign w:val="center"/>
                </w:tcPr>
                <w:p w14:paraId="41271821">
                  <w:pPr>
                    <w:pStyle w:val="61"/>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迅速撤离泄漏污染区人员至安全区，并进行隔离，严格限制出入。切断火源。建议应急处理人员戴自吸式过滤式防毒面具（全面罩），穿一般作业工作服。尽可能切断泄漏源。防</w:t>
                  </w:r>
                  <w:r>
                    <w:rPr>
                      <w:rFonts w:ascii="Times New Roman" w:hAnsi="Times New Roman" w:eastAsia="宋体" w:cs="Times New Roman"/>
                      <w:color w:val="000000" w:themeColor="text1"/>
                      <w:spacing w:val="-2"/>
                      <w:sz w:val="21"/>
                      <w:szCs w:val="21"/>
                      <w14:textFill>
                        <w14:solidFill>
                          <w14:schemeClr w14:val="tx1"/>
                        </w14:solidFill>
                      </w14:textFill>
                    </w:rPr>
                    <w:t>止流入下水道、排洪沟等限制性空间。</w:t>
                  </w:r>
                </w:p>
                <w:p w14:paraId="53B1F564">
                  <w:pPr>
                    <w:pStyle w:val="61"/>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小量泄漏：用砂土、蛭石或其他惰性材料吸收。也可以用不</w:t>
                  </w:r>
                  <w:r>
                    <w:rPr>
                      <w:rFonts w:ascii="Times New Roman" w:hAnsi="Times New Roman" w:eastAsia="宋体" w:cs="Times New Roman"/>
                      <w:color w:val="000000" w:themeColor="text1"/>
                      <w:spacing w:val="-2"/>
                      <w:sz w:val="21"/>
                      <w:szCs w:val="21"/>
                      <w14:textFill>
                        <w14:solidFill>
                          <w14:schemeClr w14:val="tx1"/>
                        </w14:solidFill>
                      </w14:textFill>
                    </w:rPr>
                    <w:t>燃性分散剂制成的乳液刷洗，洗液稀释后放入废水系统。</w:t>
                  </w:r>
                </w:p>
                <w:p w14:paraId="21FF1FAF">
                  <w:pPr>
                    <w:pStyle w:val="61"/>
                    <w:rPr>
                      <w:rFonts w:ascii="Times New Roman" w:hAnsi="Times New Roman" w:eastAsia="宋体" w:cs="Times New Roman"/>
                      <w:color w:val="000000" w:themeColor="text1"/>
                      <w:sz w:val="21"/>
                      <w:szCs w:val="21"/>
                      <w14:textFill>
                        <w14:solidFill>
                          <w14:schemeClr w14:val="tx1"/>
                        </w14:solidFill>
                      </w14:textFill>
                    </w:rPr>
                  </w:pPr>
                  <w:r>
                    <w:rPr>
                      <w:rFonts w:ascii="Times New Roman" w:hAnsi="Times New Roman" w:eastAsia="宋体" w:cs="Times New Roman"/>
                      <w:color w:val="000000" w:themeColor="text1"/>
                      <w:spacing w:val="-7"/>
                      <w:sz w:val="21"/>
                      <w:szCs w:val="21"/>
                      <w14:textFill>
                        <w14:solidFill>
                          <w14:schemeClr w14:val="tx1"/>
                        </w14:solidFill>
                      </w14:textFill>
                    </w:rPr>
                    <w:t>大量泄漏：构筑围堤或挖坑收容。用泵转移至槽车或专用收集器内，回收或运至废物处理场所设置。</w:t>
                  </w:r>
                </w:p>
              </w:tc>
            </w:tr>
            <w:tr w14:paraId="3A963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376" w:type="dxa"/>
                  <w:gridSpan w:val="2"/>
                  <w:vAlign w:val="center"/>
                </w:tcPr>
                <w:p w14:paraId="051E5055">
                  <w:pPr>
                    <w:pStyle w:val="61"/>
                    <w:ind w:left="201"/>
                    <w:jc w:val="center"/>
                    <w:rPr>
                      <w:rFonts w:ascii="Times New Roman" w:hAnsi="Times New Roman" w:eastAsia="宋体" w:cs="Times New Roman"/>
                      <w:color w:val="000000" w:themeColor="text1"/>
                      <w:spacing w:val="-4"/>
                      <w:sz w:val="21"/>
                      <w:szCs w:val="21"/>
                      <w14:textFill>
                        <w14:solidFill>
                          <w14:schemeClr w14:val="tx1"/>
                        </w14:solidFill>
                      </w14:textFill>
                    </w:rPr>
                  </w:pPr>
                  <w:r>
                    <w:rPr>
                      <w:rFonts w:ascii="Times New Roman" w:hAnsi="Times New Roman" w:eastAsia="宋体" w:cs="Times New Roman"/>
                      <w:color w:val="000000" w:themeColor="text1"/>
                      <w:spacing w:val="-4"/>
                      <w:sz w:val="21"/>
                      <w:szCs w:val="21"/>
                      <w14:textFill>
                        <w14:solidFill>
                          <w14:schemeClr w14:val="tx1"/>
                        </w14:solidFill>
                      </w14:textFill>
                    </w:rPr>
                    <w:t>灭火方法</w:t>
                  </w:r>
                </w:p>
              </w:tc>
              <w:tc>
                <w:tcPr>
                  <w:tcW w:w="5783" w:type="dxa"/>
                  <w:gridSpan w:val="3"/>
                  <w:vAlign w:val="center"/>
                </w:tcPr>
                <w:p w14:paraId="4E481765">
                  <w:pPr>
                    <w:pStyle w:val="61"/>
                    <w:spacing w:line="320" w:lineRule="exact"/>
                    <w:ind w:left="100" w:right="103"/>
                    <w:rPr>
                      <w:rFonts w:ascii="Times New Roman" w:hAnsi="Times New Roman" w:eastAsia="宋体" w:cs="Times New Roman"/>
                      <w:color w:val="000000" w:themeColor="text1"/>
                      <w:spacing w:val="-7"/>
                      <w:sz w:val="21"/>
                      <w:szCs w:val="21"/>
                      <w14:textFill>
                        <w14:solidFill>
                          <w14:schemeClr w14:val="tx1"/>
                        </w14:solidFill>
                      </w14:textFill>
                    </w:rPr>
                  </w:pPr>
                  <w:r>
                    <w:rPr>
                      <w:rFonts w:ascii="Times New Roman" w:hAnsi="Times New Roman" w:eastAsia="宋体" w:cs="Times New Roman"/>
                      <w:color w:val="000000" w:themeColor="text1"/>
                      <w:spacing w:val="-2"/>
                      <w:sz w:val="21"/>
                      <w:szCs w:val="21"/>
                      <w14:textFill>
                        <w14:solidFill>
                          <w14:schemeClr w14:val="tx1"/>
                        </w14:solidFill>
                      </w14:textFill>
                    </w:rPr>
                    <w:t>尽可能将容器从火场移至空旷处。喷水保持火场容器冷却，直至灭火结束。处在火场中的容器若已变色或从安全泄压装置中产生声音，必须马上撤离。灭火剂：雾状水、泡沫、干粉、二氧化碳、砂土。</w:t>
                  </w:r>
                </w:p>
              </w:tc>
            </w:tr>
          </w:tbl>
          <w:p w14:paraId="1DB44665">
            <w:pPr>
              <w:tabs>
                <w:tab w:val="left" w:pos="1081"/>
              </w:tabs>
              <w:adjustRightInd w:val="0"/>
              <w:snapToGrid w:val="0"/>
              <w:spacing w:line="360" w:lineRule="auto"/>
              <w:ind w:firstLine="480" w:firstLineChars="200"/>
              <w:rPr>
                <w:color w:val="000000" w:themeColor="text1"/>
                <w:sz w:val="24"/>
                <w:lang w:val="en-GB"/>
                <w14:textFill>
                  <w14:solidFill>
                    <w14:schemeClr w14:val="tx1"/>
                  </w14:solidFill>
                </w14:textFill>
              </w:rPr>
            </w:pPr>
            <w:r>
              <w:rPr>
                <w:color w:val="000000" w:themeColor="text1"/>
                <w:sz w:val="24"/>
                <w:lang w:val="en-GB"/>
                <w14:textFill>
                  <w14:solidFill>
                    <w14:schemeClr w14:val="tx1"/>
                  </w14:solidFill>
                </w14:textFill>
              </w:rPr>
              <w:t>7.3.</w:t>
            </w:r>
            <w:r>
              <w:rPr>
                <w:rFonts w:hint="eastAsia"/>
                <w:color w:val="000000" w:themeColor="text1"/>
                <w:sz w:val="24"/>
                <w14:textFill>
                  <w14:solidFill>
                    <w14:schemeClr w14:val="tx1"/>
                  </w14:solidFill>
                </w14:textFill>
              </w:rPr>
              <w:t>3</w:t>
            </w:r>
            <w:r>
              <w:rPr>
                <w:color w:val="000000" w:themeColor="text1"/>
                <w:sz w:val="24"/>
                <w:lang w:val="en-GB"/>
                <w14:textFill>
                  <w14:solidFill>
                    <w14:schemeClr w14:val="tx1"/>
                  </w14:solidFill>
                </w14:textFill>
              </w:rPr>
              <w:t xml:space="preserve"> </w:t>
            </w:r>
            <w:r>
              <w:rPr>
                <w:color w:val="000000" w:themeColor="text1"/>
                <w:sz w:val="24"/>
                <w14:textFill>
                  <w14:solidFill>
                    <w14:schemeClr w14:val="tx1"/>
                  </w14:solidFill>
                </w14:textFill>
              </w:rPr>
              <w:t>天然气储存和使用</w:t>
            </w:r>
            <w:r>
              <w:rPr>
                <w:rFonts w:hint="eastAsia"/>
                <w:color w:val="000000" w:themeColor="text1"/>
                <w:sz w:val="24"/>
                <w14:textFill>
                  <w14:solidFill>
                    <w14:schemeClr w14:val="tx1"/>
                  </w14:solidFill>
                </w14:textFill>
              </w:rPr>
              <w:t>过程</w:t>
            </w:r>
            <w:r>
              <w:rPr>
                <w:color w:val="000000" w:themeColor="text1"/>
                <w:sz w:val="24"/>
                <w:lang w:val="en-GB"/>
                <w14:textFill>
                  <w14:solidFill>
                    <w14:schemeClr w14:val="tx1"/>
                  </w14:solidFill>
                </w14:textFill>
              </w:rPr>
              <w:t>风险识别</w:t>
            </w:r>
          </w:p>
          <w:p w14:paraId="2BE2F23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w:t>
            </w:r>
            <w:r>
              <w:rPr>
                <w:rFonts w:hint="eastAsia"/>
                <w:color w:val="000000" w:themeColor="text1"/>
                <w:sz w:val="24"/>
                <w14:textFill>
                  <w14:solidFill>
                    <w14:schemeClr w14:val="tx1"/>
                  </w14:solidFill>
                </w14:textFill>
              </w:rPr>
              <w:t>使用的天然气</w:t>
            </w:r>
            <w:r>
              <w:rPr>
                <w:color w:val="000000" w:themeColor="text1"/>
                <w:sz w:val="24"/>
                <w14:textFill>
                  <w14:solidFill>
                    <w14:schemeClr w14:val="tx1"/>
                  </w14:solidFill>
                </w14:textFill>
              </w:rPr>
              <w:t>理化性质见下表。</w:t>
            </w:r>
          </w:p>
          <w:p w14:paraId="4AAF6D4B">
            <w:pPr>
              <w:spacing w:before="60" w:after="60"/>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lang w:val="en-US" w:eastAsia="zh-CN"/>
                <w14:textFill>
                  <w14:solidFill>
                    <w14:schemeClr w14:val="tx1"/>
                  </w14:solidFill>
                </w14:textFill>
              </w:rPr>
              <w:t>29</w:t>
            </w:r>
            <w:r>
              <w:rPr>
                <w:b/>
                <w:bCs/>
                <w:color w:val="000000" w:themeColor="text1"/>
                <w:sz w:val="24"/>
                <w14:textFill>
                  <w14:solidFill>
                    <w14:schemeClr w14:val="tx1"/>
                  </w14:solidFill>
                </w14:textFill>
              </w:rPr>
              <w:t xml:space="preserve">  天然气理化性质</w:t>
            </w:r>
          </w:p>
          <w:tbl>
            <w:tblPr>
              <w:tblStyle w:val="2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4"/>
              <w:gridCol w:w="821"/>
              <w:gridCol w:w="731"/>
              <w:gridCol w:w="2666"/>
              <w:gridCol w:w="2105"/>
              <w:gridCol w:w="1422"/>
            </w:tblGrid>
            <w:tr w14:paraId="06EDA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tcBorders>
                    <w:tl2br w:val="nil"/>
                    <w:tr2bl w:val="nil"/>
                  </w:tcBorders>
                  <w:vAlign w:val="center"/>
                </w:tcPr>
                <w:p w14:paraId="284F98F2">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标识</w:t>
                  </w:r>
                </w:p>
              </w:tc>
              <w:tc>
                <w:tcPr>
                  <w:tcW w:w="847" w:type="pct"/>
                  <w:gridSpan w:val="2"/>
                  <w:tcBorders>
                    <w:tl2br w:val="nil"/>
                    <w:tr2bl w:val="nil"/>
                  </w:tcBorders>
                  <w:vAlign w:val="center"/>
                </w:tcPr>
                <w:p w14:paraId="685AD61C">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中文名</w:t>
                  </w:r>
                </w:p>
              </w:tc>
              <w:tc>
                <w:tcPr>
                  <w:tcW w:w="1455" w:type="pct"/>
                  <w:tcBorders>
                    <w:tl2br w:val="nil"/>
                    <w:tr2bl w:val="nil"/>
                  </w:tcBorders>
                  <w:vAlign w:val="center"/>
                </w:tcPr>
                <w:p w14:paraId="1F0A7B1A">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天然气（CH</w:t>
                  </w:r>
                  <w:r>
                    <w:rPr>
                      <w:color w:val="000000" w:themeColor="text1"/>
                      <w:szCs w:val="21"/>
                      <w:vertAlign w:val="subscript"/>
                      <w14:textFill>
                        <w14:solidFill>
                          <w14:schemeClr w14:val="tx1"/>
                        </w14:solidFill>
                      </w14:textFill>
                    </w:rPr>
                    <w:t>4</w:t>
                  </w:r>
                  <w:r>
                    <w:rPr>
                      <w:color w:val="000000" w:themeColor="text1"/>
                      <w:szCs w:val="21"/>
                      <w14:textFill>
                        <w14:solidFill>
                          <w14:schemeClr w14:val="tx1"/>
                        </w14:solidFill>
                      </w14:textFill>
                    </w:rPr>
                    <w:t>）</w:t>
                  </w:r>
                </w:p>
              </w:tc>
              <w:tc>
                <w:tcPr>
                  <w:tcW w:w="1149" w:type="pct"/>
                  <w:tcBorders>
                    <w:tl2br w:val="nil"/>
                    <w:tr2bl w:val="nil"/>
                  </w:tcBorders>
                  <w:vAlign w:val="center"/>
                </w:tcPr>
                <w:p w14:paraId="1A6CEAE5">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CAS号</w:t>
                  </w:r>
                </w:p>
              </w:tc>
              <w:tc>
                <w:tcPr>
                  <w:tcW w:w="775" w:type="pct"/>
                  <w:tcBorders>
                    <w:tl2br w:val="nil"/>
                    <w:tr2bl w:val="nil"/>
                  </w:tcBorders>
                  <w:vAlign w:val="center"/>
                </w:tcPr>
                <w:p w14:paraId="279E249C">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74-82-8</w:t>
                  </w:r>
                </w:p>
              </w:tc>
            </w:tr>
            <w:tr w14:paraId="6B344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vMerge w:val="restart"/>
                  <w:tcBorders>
                    <w:tl2br w:val="nil"/>
                    <w:tr2bl w:val="nil"/>
                  </w:tcBorders>
                  <w:vAlign w:val="center"/>
                </w:tcPr>
                <w:p w14:paraId="0F16E743">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理化性质</w:t>
                  </w:r>
                </w:p>
              </w:tc>
              <w:tc>
                <w:tcPr>
                  <w:tcW w:w="847" w:type="pct"/>
                  <w:gridSpan w:val="2"/>
                  <w:tcBorders>
                    <w:tl2br w:val="nil"/>
                    <w:tr2bl w:val="nil"/>
                  </w:tcBorders>
                  <w:vAlign w:val="center"/>
                </w:tcPr>
                <w:p w14:paraId="78979620">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沸点</w:t>
                  </w:r>
                </w:p>
              </w:tc>
              <w:tc>
                <w:tcPr>
                  <w:tcW w:w="1455" w:type="pct"/>
                  <w:tcBorders>
                    <w:tl2br w:val="nil"/>
                    <w:tr2bl w:val="nil"/>
                  </w:tcBorders>
                  <w:vAlign w:val="center"/>
                </w:tcPr>
                <w:p w14:paraId="03253A95">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-182.5℃</w:t>
                  </w:r>
                </w:p>
              </w:tc>
              <w:tc>
                <w:tcPr>
                  <w:tcW w:w="1149" w:type="pct"/>
                  <w:tcBorders>
                    <w:tl2br w:val="nil"/>
                    <w:tr2bl w:val="nil"/>
                  </w:tcBorders>
                  <w:vAlign w:val="center"/>
                </w:tcPr>
                <w:p w14:paraId="1EE5549E">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相对密度（空气=1）</w:t>
                  </w:r>
                </w:p>
              </w:tc>
              <w:tc>
                <w:tcPr>
                  <w:tcW w:w="775" w:type="pct"/>
                  <w:tcBorders>
                    <w:tl2br w:val="nil"/>
                    <w:tr2bl w:val="nil"/>
                  </w:tcBorders>
                  <w:vAlign w:val="center"/>
                </w:tcPr>
                <w:p w14:paraId="7EEC0A05">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0.55</w:t>
                  </w:r>
                </w:p>
              </w:tc>
            </w:tr>
            <w:tr w14:paraId="6C00F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vMerge w:val="continue"/>
                  <w:tcBorders>
                    <w:tl2br w:val="nil"/>
                    <w:tr2bl w:val="nil"/>
                  </w:tcBorders>
                  <w:vAlign w:val="center"/>
                </w:tcPr>
                <w:p w14:paraId="326DC9A2">
                  <w:pPr>
                    <w:spacing w:before="60" w:after="60"/>
                    <w:jc w:val="center"/>
                    <w:rPr>
                      <w:color w:val="000000" w:themeColor="text1"/>
                      <w:szCs w:val="21"/>
                      <w14:textFill>
                        <w14:solidFill>
                          <w14:schemeClr w14:val="tx1"/>
                        </w14:solidFill>
                      </w14:textFill>
                    </w:rPr>
                  </w:pPr>
                </w:p>
              </w:tc>
              <w:tc>
                <w:tcPr>
                  <w:tcW w:w="847" w:type="pct"/>
                  <w:gridSpan w:val="2"/>
                  <w:tcBorders>
                    <w:tl2br w:val="nil"/>
                    <w:tr2bl w:val="nil"/>
                  </w:tcBorders>
                  <w:vAlign w:val="center"/>
                </w:tcPr>
                <w:p w14:paraId="773CCCCF">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外观性状</w:t>
                  </w:r>
                </w:p>
              </w:tc>
              <w:tc>
                <w:tcPr>
                  <w:tcW w:w="3379" w:type="pct"/>
                  <w:gridSpan w:val="3"/>
                  <w:tcBorders>
                    <w:tl2br w:val="nil"/>
                    <w:tr2bl w:val="nil"/>
                  </w:tcBorders>
                  <w:vAlign w:val="center"/>
                </w:tcPr>
                <w:p w14:paraId="17046504">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无色无臭气体（天然气已加入识别臭味）</w:t>
                  </w:r>
                </w:p>
              </w:tc>
            </w:tr>
            <w:tr w14:paraId="3ADEE2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vMerge w:val="continue"/>
                  <w:tcBorders>
                    <w:tl2br w:val="nil"/>
                    <w:tr2bl w:val="nil"/>
                  </w:tcBorders>
                  <w:vAlign w:val="center"/>
                </w:tcPr>
                <w:p w14:paraId="30CFC960">
                  <w:pPr>
                    <w:spacing w:before="60" w:after="60"/>
                    <w:jc w:val="center"/>
                    <w:rPr>
                      <w:color w:val="000000" w:themeColor="text1"/>
                      <w:szCs w:val="21"/>
                      <w14:textFill>
                        <w14:solidFill>
                          <w14:schemeClr w14:val="tx1"/>
                        </w14:solidFill>
                      </w14:textFill>
                    </w:rPr>
                  </w:pPr>
                </w:p>
              </w:tc>
              <w:tc>
                <w:tcPr>
                  <w:tcW w:w="847" w:type="pct"/>
                  <w:gridSpan w:val="2"/>
                  <w:tcBorders>
                    <w:tl2br w:val="nil"/>
                    <w:tr2bl w:val="nil"/>
                  </w:tcBorders>
                  <w:vAlign w:val="center"/>
                </w:tcPr>
                <w:p w14:paraId="361C3ACB">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溶解性</w:t>
                  </w:r>
                </w:p>
              </w:tc>
              <w:tc>
                <w:tcPr>
                  <w:tcW w:w="1455" w:type="pct"/>
                  <w:tcBorders>
                    <w:tl2br w:val="nil"/>
                    <w:tr2bl w:val="nil"/>
                  </w:tcBorders>
                  <w:vAlign w:val="center"/>
                </w:tcPr>
                <w:p w14:paraId="43FDAE08">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微溶于水，溶于醇、乙醚</w:t>
                  </w:r>
                </w:p>
              </w:tc>
              <w:tc>
                <w:tcPr>
                  <w:tcW w:w="1149" w:type="pct"/>
                  <w:tcBorders>
                    <w:tl2br w:val="nil"/>
                    <w:tr2bl w:val="nil"/>
                  </w:tcBorders>
                  <w:vAlign w:val="center"/>
                </w:tcPr>
                <w:p w14:paraId="0B6D8660">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稳定性</w:t>
                  </w:r>
                </w:p>
              </w:tc>
              <w:tc>
                <w:tcPr>
                  <w:tcW w:w="775" w:type="pct"/>
                  <w:tcBorders>
                    <w:tl2br w:val="nil"/>
                    <w:tr2bl w:val="nil"/>
                  </w:tcBorders>
                  <w:vAlign w:val="center"/>
                </w:tcPr>
                <w:p w14:paraId="7F9893A9">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稳定</w:t>
                  </w:r>
                </w:p>
              </w:tc>
            </w:tr>
            <w:tr w14:paraId="56053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vMerge w:val="restart"/>
                  <w:tcBorders>
                    <w:tl2br w:val="nil"/>
                    <w:tr2bl w:val="nil"/>
                  </w:tcBorders>
                  <w:vAlign w:val="center"/>
                </w:tcPr>
                <w:p w14:paraId="5D2C367C">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燃爆特性</w:t>
                  </w:r>
                </w:p>
              </w:tc>
              <w:tc>
                <w:tcPr>
                  <w:tcW w:w="847" w:type="pct"/>
                  <w:gridSpan w:val="2"/>
                  <w:tcBorders>
                    <w:tl2br w:val="nil"/>
                    <w:tr2bl w:val="nil"/>
                  </w:tcBorders>
                  <w:vAlign w:val="center"/>
                </w:tcPr>
                <w:p w14:paraId="140B93B6">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闪点</w:t>
                  </w:r>
                </w:p>
              </w:tc>
              <w:tc>
                <w:tcPr>
                  <w:tcW w:w="1455" w:type="pct"/>
                  <w:tcBorders>
                    <w:tl2br w:val="nil"/>
                    <w:tr2bl w:val="nil"/>
                  </w:tcBorders>
                  <w:vAlign w:val="center"/>
                </w:tcPr>
                <w:p w14:paraId="08031515">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-188℃</w:t>
                  </w:r>
                </w:p>
              </w:tc>
              <w:tc>
                <w:tcPr>
                  <w:tcW w:w="1149" w:type="pct"/>
                  <w:tcBorders>
                    <w:tl2br w:val="nil"/>
                    <w:tr2bl w:val="nil"/>
                  </w:tcBorders>
                  <w:vAlign w:val="center"/>
                </w:tcPr>
                <w:p w14:paraId="45F7932F">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爆炸极限</w:t>
                  </w:r>
                </w:p>
              </w:tc>
              <w:tc>
                <w:tcPr>
                  <w:tcW w:w="775" w:type="pct"/>
                  <w:tcBorders>
                    <w:tl2br w:val="nil"/>
                    <w:tr2bl w:val="nil"/>
                  </w:tcBorders>
                  <w:vAlign w:val="center"/>
                </w:tcPr>
                <w:p w14:paraId="7C92BE45">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5.3～15%</w:t>
                  </w:r>
                </w:p>
              </w:tc>
            </w:tr>
            <w:tr w14:paraId="21EA9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vMerge w:val="continue"/>
                  <w:tcBorders>
                    <w:tl2br w:val="nil"/>
                    <w:tr2bl w:val="nil"/>
                  </w:tcBorders>
                  <w:vAlign w:val="center"/>
                </w:tcPr>
                <w:p w14:paraId="47BE7E1A">
                  <w:pPr>
                    <w:spacing w:before="60" w:after="60"/>
                    <w:jc w:val="center"/>
                    <w:rPr>
                      <w:color w:val="000000" w:themeColor="text1"/>
                      <w:szCs w:val="21"/>
                      <w14:textFill>
                        <w14:solidFill>
                          <w14:schemeClr w14:val="tx1"/>
                        </w14:solidFill>
                      </w14:textFill>
                    </w:rPr>
                  </w:pPr>
                </w:p>
              </w:tc>
              <w:tc>
                <w:tcPr>
                  <w:tcW w:w="847" w:type="pct"/>
                  <w:gridSpan w:val="2"/>
                  <w:tcBorders>
                    <w:tl2br w:val="nil"/>
                    <w:tr2bl w:val="nil"/>
                  </w:tcBorders>
                  <w:vAlign w:val="center"/>
                </w:tcPr>
                <w:p w14:paraId="56CAE68D">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灭火剂种类</w:t>
                  </w:r>
                </w:p>
              </w:tc>
              <w:tc>
                <w:tcPr>
                  <w:tcW w:w="1455" w:type="pct"/>
                  <w:tcBorders>
                    <w:tl2br w:val="nil"/>
                    <w:tr2bl w:val="nil"/>
                  </w:tcBorders>
                  <w:vAlign w:val="center"/>
                </w:tcPr>
                <w:p w14:paraId="11D754ED">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泡沫、干粉、CO</w:t>
                  </w:r>
                  <w:r>
                    <w:rPr>
                      <w:color w:val="000000" w:themeColor="text1"/>
                      <w:szCs w:val="21"/>
                      <w:vertAlign w:val="subscript"/>
                      <w14:textFill>
                        <w14:solidFill>
                          <w14:schemeClr w14:val="tx1"/>
                        </w14:solidFill>
                      </w14:textFill>
                    </w:rPr>
                    <w:t>2</w:t>
                  </w:r>
                  <w:r>
                    <w:rPr>
                      <w:color w:val="000000" w:themeColor="text1"/>
                      <w:szCs w:val="21"/>
                      <w14:textFill>
                        <w14:solidFill>
                          <w14:schemeClr w14:val="tx1"/>
                        </w14:solidFill>
                      </w14:textFill>
                    </w:rPr>
                    <w:t>、雾状水</w:t>
                  </w:r>
                </w:p>
              </w:tc>
              <w:tc>
                <w:tcPr>
                  <w:tcW w:w="1149" w:type="pct"/>
                  <w:tcBorders>
                    <w:tl2br w:val="nil"/>
                    <w:tr2bl w:val="nil"/>
                  </w:tcBorders>
                  <w:vAlign w:val="center"/>
                </w:tcPr>
                <w:p w14:paraId="1094A9B0">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自燃点</w:t>
                  </w:r>
                </w:p>
              </w:tc>
              <w:tc>
                <w:tcPr>
                  <w:tcW w:w="775" w:type="pct"/>
                  <w:tcBorders>
                    <w:tl2br w:val="nil"/>
                    <w:tr2bl w:val="nil"/>
                  </w:tcBorders>
                  <w:vAlign w:val="center"/>
                </w:tcPr>
                <w:p w14:paraId="64E703FD">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538℃</w:t>
                  </w:r>
                </w:p>
              </w:tc>
            </w:tr>
            <w:tr w14:paraId="1095D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vMerge w:val="continue"/>
                  <w:tcBorders>
                    <w:tl2br w:val="nil"/>
                    <w:tr2bl w:val="nil"/>
                  </w:tcBorders>
                  <w:vAlign w:val="center"/>
                </w:tcPr>
                <w:p w14:paraId="54E0987F">
                  <w:pPr>
                    <w:spacing w:before="60" w:after="60"/>
                    <w:jc w:val="center"/>
                    <w:rPr>
                      <w:color w:val="000000" w:themeColor="text1"/>
                      <w:szCs w:val="21"/>
                      <w14:textFill>
                        <w14:solidFill>
                          <w14:schemeClr w14:val="tx1"/>
                        </w14:solidFill>
                      </w14:textFill>
                    </w:rPr>
                  </w:pPr>
                </w:p>
              </w:tc>
              <w:tc>
                <w:tcPr>
                  <w:tcW w:w="847" w:type="pct"/>
                  <w:gridSpan w:val="2"/>
                  <w:tcBorders>
                    <w:tl2br w:val="nil"/>
                    <w:tr2bl w:val="nil"/>
                  </w:tcBorders>
                  <w:vAlign w:val="center"/>
                </w:tcPr>
                <w:p w14:paraId="381E614B">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火灾危险类别</w:t>
                  </w:r>
                </w:p>
              </w:tc>
              <w:tc>
                <w:tcPr>
                  <w:tcW w:w="1455" w:type="pct"/>
                  <w:tcBorders>
                    <w:tl2br w:val="nil"/>
                    <w:tr2bl w:val="nil"/>
                  </w:tcBorders>
                  <w:vAlign w:val="center"/>
                </w:tcPr>
                <w:p w14:paraId="49AB3EE3">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第2.1类，易燃气体</w:t>
                  </w:r>
                </w:p>
              </w:tc>
              <w:tc>
                <w:tcPr>
                  <w:tcW w:w="1149" w:type="pct"/>
                  <w:tcBorders>
                    <w:tl2br w:val="nil"/>
                    <w:tr2bl w:val="nil"/>
                  </w:tcBorders>
                  <w:vAlign w:val="center"/>
                </w:tcPr>
                <w:p w14:paraId="1E5884E5">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爆炸危险组别类别</w:t>
                  </w:r>
                </w:p>
              </w:tc>
              <w:tc>
                <w:tcPr>
                  <w:tcW w:w="775" w:type="pct"/>
                  <w:tcBorders>
                    <w:tl2br w:val="nil"/>
                    <w:tr2bl w:val="nil"/>
                  </w:tcBorders>
                  <w:vAlign w:val="center"/>
                </w:tcPr>
                <w:p w14:paraId="6347AAFA">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T3/IIA</w:t>
                  </w:r>
                </w:p>
              </w:tc>
            </w:tr>
            <w:tr w14:paraId="0BDCC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vMerge w:val="continue"/>
                  <w:tcBorders>
                    <w:tl2br w:val="nil"/>
                    <w:tr2bl w:val="nil"/>
                  </w:tcBorders>
                  <w:vAlign w:val="center"/>
                </w:tcPr>
                <w:p w14:paraId="7A1762DD">
                  <w:pPr>
                    <w:spacing w:before="60" w:after="60"/>
                    <w:jc w:val="center"/>
                    <w:rPr>
                      <w:color w:val="000000" w:themeColor="text1"/>
                      <w:szCs w:val="21"/>
                      <w14:textFill>
                        <w14:solidFill>
                          <w14:schemeClr w14:val="tx1"/>
                        </w14:solidFill>
                      </w14:textFill>
                    </w:rPr>
                  </w:pPr>
                </w:p>
              </w:tc>
              <w:tc>
                <w:tcPr>
                  <w:tcW w:w="4227" w:type="pct"/>
                  <w:gridSpan w:val="5"/>
                  <w:tcBorders>
                    <w:tl2br w:val="nil"/>
                    <w:tr2bl w:val="nil"/>
                  </w:tcBorders>
                  <w:vAlign w:val="center"/>
                </w:tcPr>
                <w:p w14:paraId="3D1EB1CA">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危险特性：易燃与空气混合能形成爆炸性混合物，遇热源和明火易引起燃烧爆炸，与五氧化溴、氯气、次氯酸、三氟化氮、液氧、二氟化氮及其它强氧化剂接触能发生剧烈反应。燃烧(分解)产物：一氧化碳、二氧化碳。</w:t>
                  </w:r>
                </w:p>
                <w:p w14:paraId="08375A55">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天然气除了有上述危险特性外，还具有下列特性：天然气中含有少量的硫化氢，长期吸入对人的神经系统有毒害：在高压、高温、有水的情况下，对金属可产生硫化氢应力开裂。</w:t>
                  </w:r>
                </w:p>
                <w:p w14:paraId="3A27C99A">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健康危害：甲烷对人基本无毒，但浓度过高使空气中氧含量明显降低，使人窒息。当空气中甲烷达25%～30%，可引起头晕、乏力若不及时脱离，可窒息死亡。</w:t>
                  </w:r>
                </w:p>
              </w:tc>
            </w:tr>
            <w:tr w14:paraId="5B63D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vMerge w:val="restart"/>
                  <w:tcBorders>
                    <w:tl2br w:val="nil"/>
                    <w:tr2bl w:val="nil"/>
                  </w:tcBorders>
                  <w:vAlign w:val="center"/>
                </w:tcPr>
                <w:p w14:paraId="403E3959">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健康危害</w:t>
                  </w:r>
                </w:p>
              </w:tc>
              <w:tc>
                <w:tcPr>
                  <w:tcW w:w="448" w:type="pct"/>
                  <w:vMerge w:val="restart"/>
                  <w:tcBorders>
                    <w:tl2br w:val="nil"/>
                    <w:tr2bl w:val="nil"/>
                  </w:tcBorders>
                  <w:vAlign w:val="center"/>
                </w:tcPr>
                <w:p w14:paraId="3C24B2B7">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短期暴露影响</w:t>
                  </w:r>
                </w:p>
              </w:tc>
              <w:tc>
                <w:tcPr>
                  <w:tcW w:w="3778" w:type="pct"/>
                  <w:gridSpan w:val="4"/>
                  <w:tcBorders>
                    <w:tl2br w:val="nil"/>
                    <w:tr2bl w:val="nil"/>
                  </w:tcBorders>
                  <w:vAlign w:val="center"/>
                </w:tcPr>
                <w:p w14:paraId="44F708FE">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皮肤接触：皮肤接触液化本品，可致冻伤。</w:t>
                  </w:r>
                </w:p>
              </w:tc>
            </w:tr>
            <w:tr w14:paraId="02411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vMerge w:val="continue"/>
                  <w:tcBorders>
                    <w:tl2br w:val="nil"/>
                    <w:tr2bl w:val="nil"/>
                  </w:tcBorders>
                  <w:vAlign w:val="center"/>
                </w:tcPr>
                <w:p w14:paraId="1AAD4A6F">
                  <w:pPr>
                    <w:spacing w:before="60" w:after="60"/>
                    <w:jc w:val="center"/>
                    <w:rPr>
                      <w:color w:val="000000" w:themeColor="text1"/>
                      <w:szCs w:val="21"/>
                      <w14:textFill>
                        <w14:solidFill>
                          <w14:schemeClr w14:val="tx1"/>
                        </w14:solidFill>
                      </w14:textFill>
                    </w:rPr>
                  </w:pPr>
                </w:p>
              </w:tc>
              <w:tc>
                <w:tcPr>
                  <w:tcW w:w="448" w:type="pct"/>
                  <w:vMerge w:val="continue"/>
                  <w:tcBorders>
                    <w:tl2br w:val="nil"/>
                    <w:tr2bl w:val="nil"/>
                  </w:tcBorders>
                  <w:vAlign w:val="center"/>
                </w:tcPr>
                <w:p w14:paraId="415C0DF0">
                  <w:pPr>
                    <w:spacing w:before="60" w:after="60"/>
                    <w:jc w:val="center"/>
                    <w:rPr>
                      <w:color w:val="000000" w:themeColor="text1"/>
                      <w:szCs w:val="21"/>
                      <w14:textFill>
                        <w14:solidFill>
                          <w14:schemeClr w14:val="tx1"/>
                        </w14:solidFill>
                      </w14:textFill>
                    </w:rPr>
                  </w:pPr>
                </w:p>
              </w:tc>
              <w:tc>
                <w:tcPr>
                  <w:tcW w:w="3778" w:type="pct"/>
                  <w:gridSpan w:val="4"/>
                  <w:tcBorders>
                    <w:tl2br w:val="nil"/>
                    <w:tr2bl w:val="nil"/>
                  </w:tcBorders>
                  <w:vAlign w:val="center"/>
                </w:tcPr>
                <w:p w14:paraId="529A6F68">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眼睛接触：一般不需要特别防护，高浓度接触时可带安全防护眼镜。</w:t>
                  </w:r>
                </w:p>
              </w:tc>
            </w:tr>
            <w:tr w14:paraId="4DC347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vMerge w:val="continue"/>
                  <w:tcBorders>
                    <w:tl2br w:val="nil"/>
                    <w:tr2bl w:val="nil"/>
                  </w:tcBorders>
                  <w:vAlign w:val="center"/>
                </w:tcPr>
                <w:p w14:paraId="5D83A98F">
                  <w:pPr>
                    <w:spacing w:before="60" w:after="60"/>
                    <w:jc w:val="center"/>
                    <w:rPr>
                      <w:color w:val="000000" w:themeColor="text1"/>
                      <w:szCs w:val="21"/>
                      <w14:textFill>
                        <w14:solidFill>
                          <w14:schemeClr w14:val="tx1"/>
                        </w14:solidFill>
                      </w14:textFill>
                    </w:rPr>
                  </w:pPr>
                </w:p>
              </w:tc>
              <w:tc>
                <w:tcPr>
                  <w:tcW w:w="448" w:type="pct"/>
                  <w:vMerge w:val="continue"/>
                  <w:tcBorders>
                    <w:tl2br w:val="nil"/>
                    <w:tr2bl w:val="nil"/>
                  </w:tcBorders>
                  <w:vAlign w:val="center"/>
                </w:tcPr>
                <w:p w14:paraId="5A006F0D">
                  <w:pPr>
                    <w:spacing w:before="60" w:after="60"/>
                    <w:jc w:val="center"/>
                    <w:rPr>
                      <w:color w:val="000000" w:themeColor="text1"/>
                      <w:szCs w:val="21"/>
                      <w14:textFill>
                        <w14:solidFill>
                          <w14:schemeClr w14:val="tx1"/>
                        </w14:solidFill>
                      </w14:textFill>
                    </w:rPr>
                  </w:pPr>
                </w:p>
              </w:tc>
              <w:tc>
                <w:tcPr>
                  <w:tcW w:w="3778" w:type="pct"/>
                  <w:gridSpan w:val="4"/>
                  <w:tcBorders>
                    <w:tl2br w:val="nil"/>
                    <w:tr2bl w:val="nil"/>
                  </w:tcBorders>
                  <w:vAlign w:val="center"/>
                </w:tcPr>
                <w:p w14:paraId="54C9454C">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吸入：在高浓度时因缺氧窒息而引起中毒。</w:t>
                  </w:r>
                </w:p>
              </w:tc>
            </w:tr>
            <w:tr w14:paraId="78C7E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tcBorders>
                    <w:tl2br w:val="nil"/>
                    <w:tr2bl w:val="nil"/>
                  </w:tcBorders>
                  <w:vAlign w:val="center"/>
                </w:tcPr>
                <w:p w14:paraId="3D5F663C">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泄漏处理</w:t>
                  </w:r>
                </w:p>
              </w:tc>
              <w:tc>
                <w:tcPr>
                  <w:tcW w:w="4227" w:type="pct"/>
                  <w:gridSpan w:val="5"/>
                  <w:tcBorders>
                    <w:tl2br w:val="nil"/>
                    <w:tr2bl w:val="nil"/>
                  </w:tcBorders>
                  <w:vAlign w:val="center"/>
                </w:tcPr>
                <w:p w14:paraId="09E9EEA4">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迅速撤离泄露污染区人员至上风处，隔离直至气体散尽，切断火源，建议应急处理人员戴自给式呼吸器，穿一般消防护服。切断气源，喷雾状水稀释、溶解，抽排(室内)或强力通风(室外)。如有可能，将漏出气用排风机送至空旷地方或装设适当喷头烧掉。也可以将漏气的容器移至空旷处，注意通风。漏气容器不能再用，且要经过技术处理清除可能剩下的气体。</w:t>
                  </w:r>
                </w:p>
              </w:tc>
            </w:tr>
            <w:tr w14:paraId="6164B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2" w:type="pct"/>
                  <w:tcBorders>
                    <w:tl2br w:val="nil"/>
                    <w:tr2bl w:val="nil"/>
                  </w:tcBorders>
                  <w:vAlign w:val="center"/>
                </w:tcPr>
                <w:p w14:paraId="1097C87C">
                  <w:pPr>
                    <w:spacing w:before="60" w:after="6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储运</w:t>
                  </w:r>
                </w:p>
              </w:tc>
              <w:tc>
                <w:tcPr>
                  <w:tcW w:w="4227" w:type="pct"/>
                  <w:gridSpan w:val="5"/>
                  <w:tcBorders>
                    <w:tl2br w:val="nil"/>
                    <w:tr2bl w:val="nil"/>
                  </w:tcBorders>
                  <w:vAlign w:val="center"/>
                </w:tcPr>
                <w:p w14:paraId="0C0F9A5C">
                  <w:pPr>
                    <w:spacing w:before="60" w:after="60"/>
                    <w:rPr>
                      <w:color w:val="000000" w:themeColor="text1"/>
                      <w:szCs w:val="21"/>
                      <w14:textFill>
                        <w14:solidFill>
                          <w14:schemeClr w14:val="tx1"/>
                        </w14:solidFill>
                      </w14:textFill>
                    </w:rPr>
                  </w:pPr>
                  <w:r>
                    <w:rPr>
                      <w:color w:val="000000" w:themeColor="text1"/>
                      <w:szCs w:val="21"/>
                      <w14:textFill>
                        <w14:solidFill>
                          <w14:schemeClr w14:val="tx1"/>
                        </w14:solidFill>
                      </w14:textFill>
                    </w:rPr>
                    <w:t>易燃压缩气体。储存于阴凉、通风仓间内。仓温不宜超过30℃。远离火种、热源，防止阳光直射，应与氧气、压缩空气、卤素(氟、氯、溴)等分开存放。</w:t>
                  </w:r>
                </w:p>
              </w:tc>
            </w:tr>
          </w:tbl>
          <w:p w14:paraId="4900162B">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7.3.</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污水事故排放风险识别</w:t>
            </w:r>
          </w:p>
          <w:p w14:paraId="1C12CE1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污水处理站影响方式或环节：非正常运转导致废水超标排放，对污水处理站造成冲击；废水收集池泄露导致废水泄露至地面，进入雨水系统，继而影响周边地表水系统，或废水由池壁渗入地下水系统中。</w:t>
            </w:r>
          </w:p>
          <w:p w14:paraId="0822216A">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 xml:space="preserve">7.3.5 </w:t>
            </w:r>
            <w:r>
              <w:rPr>
                <w:color w:val="000000" w:themeColor="text1"/>
                <w:sz w:val="24"/>
                <w14:textFill>
                  <w14:solidFill>
                    <w14:schemeClr w14:val="tx1"/>
                  </w14:solidFill>
                </w14:textFill>
              </w:rPr>
              <w:t>危险物质向环境转移的途径识别</w:t>
            </w:r>
          </w:p>
          <w:p w14:paraId="0DCC70F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①泄漏腐蚀事故</w:t>
            </w:r>
          </w:p>
          <w:p w14:paraId="74BEF80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硝酸溶液具腐蚀性、强刺激性、可致人体灼伤，在存放和使用过程中由于操作不当而泄漏造成腐蚀以及致人体灼伤。</w:t>
            </w:r>
          </w:p>
          <w:p w14:paraId="5A82F315">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②火灾爆炸事故</w:t>
            </w:r>
          </w:p>
          <w:p w14:paraId="12DA77E2">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天然气、乙二醇</w:t>
            </w:r>
            <w:r>
              <w:rPr>
                <w:color w:val="000000" w:themeColor="text1"/>
                <w:sz w:val="24"/>
                <w14:textFill>
                  <w14:solidFill>
                    <w14:schemeClr w14:val="tx1"/>
                  </w14:solidFill>
                </w14:textFill>
              </w:rPr>
              <w:t>泄漏遇明火、高热可燃，甚至引发爆炸事故。在扑灭火灾过程中还会产生消防废水，如处理不当可能会造成地表水水体污染。</w:t>
            </w:r>
          </w:p>
          <w:p w14:paraId="63398CDF">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③废水事故排放</w:t>
            </w:r>
          </w:p>
          <w:p w14:paraId="1C5229D7">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项目排放的废水主要为</w:t>
            </w:r>
            <w:r>
              <w:rPr>
                <w:rFonts w:hint="eastAsia"/>
                <w:color w:val="000000" w:themeColor="text1"/>
                <w:sz w:val="24"/>
                <w14:textFill>
                  <w14:solidFill>
                    <w14:schemeClr w14:val="tx1"/>
                  </w14:solidFill>
                </w14:textFill>
              </w:rPr>
              <w:t>酿造废水、</w:t>
            </w:r>
            <w:r>
              <w:rPr>
                <w:color w:val="000000" w:themeColor="text1"/>
                <w:sz w:val="24"/>
                <w14:textFill>
                  <w14:solidFill>
                    <w14:schemeClr w14:val="tx1"/>
                  </w14:solidFill>
                </w14:textFill>
              </w:rPr>
              <w:t>CIP系统冲洗废水和</w:t>
            </w:r>
            <w:r>
              <w:rPr>
                <w:rFonts w:hint="eastAsia"/>
                <w:color w:val="000000" w:themeColor="text1"/>
                <w:sz w:val="24"/>
                <w14:textFill>
                  <w14:solidFill>
                    <w14:schemeClr w14:val="tx1"/>
                  </w14:solidFill>
                </w14:textFill>
              </w:rPr>
              <w:t>设备</w:t>
            </w:r>
            <w:r>
              <w:rPr>
                <w:color w:val="000000" w:themeColor="text1"/>
                <w:sz w:val="24"/>
                <w14:textFill>
                  <w14:solidFill>
                    <w14:schemeClr w14:val="tx1"/>
                  </w14:solidFill>
                </w14:textFill>
              </w:rPr>
              <w:t>清洗废水等生产废水，当项目废水处理设施正常运行时，生产废水污染物能够达标排放，不会产生明显影响。若废水处理设施出现故障，发生事故排放，未经处理的废水直接排入园区污水管网，将会对污水处理厂的进水水质产生影响</w:t>
            </w:r>
            <w:r>
              <w:rPr>
                <w:rFonts w:hint="eastAsia"/>
                <w:color w:val="000000" w:themeColor="text1"/>
                <w:sz w:val="24"/>
                <w14:textFill>
                  <w14:solidFill>
                    <w14:schemeClr w14:val="tx1"/>
                  </w14:solidFill>
                </w14:textFill>
              </w:rPr>
              <w:t>。</w:t>
            </w:r>
          </w:p>
          <w:p w14:paraId="007F5669">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w:t>
            </w:r>
            <w:r>
              <w:rPr>
                <w:rFonts w:hint="eastAsia"/>
                <w:b/>
                <w:bCs/>
                <w:color w:val="000000" w:themeColor="text1"/>
                <w:sz w:val="24"/>
                <w14:textFill>
                  <w14:solidFill>
                    <w14:schemeClr w14:val="tx1"/>
                  </w14:solidFill>
                </w14:textFill>
              </w:rPr>
              <w:t>4</w:t>
            </w:r>
            <w:r>
              <w:rPr>
                <w:b/>
                <w:bCs/>
                <w:color w:val="000000" w:themeColor="text1"/>
                <w:sz w:val="24"/>
                <w14:textFill>
                  <w14:solidFill>
                    <w14:schemeClr w14:val="tx1"/>
                  </w14:solidFill>
                </w14:textFill>
              </w:rPr>
              <w:t>-</w:t>
            </w:r>
            <w:r>
              <w:rPr>
                <w:rFonts w:hint="eastAsia"/>
                <w:b/>
                <w:bCs/>
                <w:color w:val="000000" w:themeColor="text1"/>
                <w:sz w:val="24"/>
                <w14:textFill>
                  <w14:solidFill>
                    <w14:schemeClr w14:val="tx1"/>
                  </w14:solidFill>
                </w14:textFill>
              </w:rPr>
              <w:t>3</w:t>
            </w:r>
            <w:r>
              <w:rPr>
                <w:rFonts w:hint="eastAsia"/>
                <w:b/>
                <w:bCs/>
                <w:color w:val="000000" w:themeColor="text1"/>
                <w:sz w:val="24"/>
                <w:lang w:val="en-US" w:eastAsia="zh-CN"/>
                <w14:textFill>
                  <w14:solidFill>
                    <w14:schemeClr w14:val="tx1"/>
                  </w14:solidFill>
                </w14:textFill>
              </w:rPr>
              <w:t>0</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项目风险识别汇总表</w:t>
            </w:r>
          </w:p>
          <w:tbl>
            <w:tblPr>
              <w:tblStyle w:val="25"/>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68"/>
              <w:gridCol w:w="1735"/>
              <w:gridCol w:w="1761"/>
              <w:gridCol w:w="1389"/>
              <w:gridCol w:w="1397"/>
              <w:gridCol w:w="1608"/>
            </w:tblGrid>
            <w:tr w14:paraId="47A6C2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92" w:type="pct"/>
                  <w:vAlign w:val="center"/>
                </w:tcPr>
                <w:p w14:paraId="75D7CC78">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危险单元</w:t>
                  </w:r>
                </w:p>
              </w:tc>
              <w:tc>
                <w:tcPr>
                  <w:tcW w:w="947" w:type="pct"/>
                  <w:vAlign w:val="center"/>
                </w:tcPr>
                <w:p w14:paraId="0D2611B1">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风险源</w:t>
                  </w:r>
                </w:p>
              </w:tc>
              <w:tc>
                <w:tcPr>
                  <w:tcW w:w="961" w:type="pct"/>
                  <w:vAlign w:val="center"/>
                </w:tcPr>
                <w:p w14:paraId="71235B5E">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危险物质</w:t>
                  </w:r>
                </w:p>
              </w:tc>
              <w:tc>
                <w:tcPr>
                  <w:tcW w:w="758" w:type="pct"/>
                  <w:vAlign w:val="center"/>
                </w:tcPr>
                <w:p w14:paraId="0486BDB6">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环境风险类</w:t>
                  </w:r>
                </w:p>
                <w:p w14:paraId="063BDF30">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型</w:t>
                  </w:r>
                </w:p>
              </w:tc>
              <w:tc>
                <w:tcPr>
                  <w:tcW w:w="762" w:type="pct"/>
                  <w:vAlign w:val="center"/>
                </w:tcPr>
                <w:p w14:paraId="17C6D2F5">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环境影响途</w:t>
                  </w:r>
                </w:p>
                <w:p w14:paraId="10181356">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径</w:t>
                  </w:r>
                </w:p>
              </w:tc>
              <w:tc>
                <w:tcPr>
                  <w:tcW w:w="877" w:type="pct"/>
                  <w:vAlign w:val="center"/>
                </w:tcPr>
                <w:p w14:paraId="5634F338">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可能受影响的</w:t>
                  </w:r>
                </w:p>
                <w:p w14:paraId="6D58D923">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环境敏感目标</w:t>
                  </w:r>
                </w:p>
              </w:tc>
            </w:tr>
            <w:tr w14:paraId="114B0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92" w:type="pct"/>
                  <w:vAlign w:val="center"/>
                </w:tcPr>
                <w:p w14:paraId="14475A57">
                  <w:pPr>
                    <w:pStyle w:val="61"/>
                    <w:jc w:val="cente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pacing w:val="-4"/>
                      <w:szCs w:val="21"/>
                      <w:lang w:val="en-US"/>
                      <w14:textFill>
                        <w14:solidFill>
                          <w14:schemeClr w14:val="tx1"/>
                        </w14:solidFill>
                      </w14:textFill>
                    </w:rPr>
                    <w:t>原料</w:t>
                  </w:r>
                  <w:r>
                    <w:rPr>
                      <w:rFonts w:ascii="Times New Roman" w:hAnsi="Times New Roman" w:eastAsia="宋体" w:cs="Times New Roman"/>
                      <w:color w:val="000000" w:themeColor="text1"/>
                      <w:spacing w:val="-4"/>
                      <w:szCs w:val="21"/>
                      <w14:textFill>
                        <w14:solidFill>
                          <w14:schemeClr w14:val="tx1"/>
                        </w14:solidFill>
                      </w14:textFill>
                    </w:rPr>
                    <w:t>库</w:t>
                  </w:r>
                </w:p>
              </w:tc>
              <w:tc>
                <w:tcPr>
                  <w:tcW w:w="947" w:type="pct"/>
                  <w:vAlign w:val="center"/>
                </w:tcPr>
                <w:p w14:paraId="728EEEDF">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硝酸储罐</w:t>
                  </w:r>
                </w:p>
              </w:tc>
              <w:tc>
                <w:tcPr>
                  <w:tcW w:w="961" w:type="pct"/>
                  <w:vAlign w:val="center"/>
                </w:tcPr>
                <w:p w14:paraId="3C3ED2C1">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5"/>
                      <w:szCs w:val="21"/>
                      <w14:textFill>
                        <w14:solidFill>
                          <w14:schemeClr w14:val="tx1"/>
                        </w14:solidFill>
                      </w14:textFill>
                    </w:rPr>
                    <w:t>硝酸</w:t>
                  </w:r>
                </w:p>
              </w:tc>
              <w:tc>
                <w:tcPr>
                  <w:tcW w:w="758" w:type="pct"/>
                  <w:vAlign w:val="center"/>
                </w:tcPr>
                <w:p w14:paraId="18271D84">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5"/>
                      <w:szCs w:val="21"/>
                      <w14:textFill>
                        <w14:solidFill>
                          <w14:schemeClr w14:val="tx1"/>
                        </w14:solidFill>
                      </w14:textFill>
                    </w:rPr>
                    <w:t>泄漏</w:t>
                  </w:r>
                </w:p>
              </w:tc>
              <w:tc>
                <w:tcPr>
                  <w:tcW w:w="762" w:type="pct"/>
                  <w:vAlign w:val="center"/>
                </w:tcPr>
                <w:p w14:paraId="1AEA666B">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水</w:t>
                  </w:r>
                </w:p>
              </w:tc>
              <w:tc>
                <w:tcPr>
                  <w:tcW w:w="877" w:type="pct"/>
                  <w:vAlign w:val="center"/>
                </w:tcPr>
                <w:p w14:paraId="4AA6ACDB">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周围居民、区</w:t>
                  </w:r>
                  <w:r>
                    <w:rPr>
                      <w:rFonts w:ascii="Times New Roman" w:hAnsi="Times New Roman" w:eastAsia="宋体" w:cs="Times New Roman"/>
                      <w:color w:val="000000" w:themeColor="text1"/>
                      <w:spacing w:val="-2"/>
                      <w:szCs w:val="21"/>
                      <w14:textFill>
                        <w14:solidFill>
                          <w14:schemeClr w14:val="tx1"/>
                        </w14:solidFill>
                      </w14:textFill>
                    </w:rPr>
                    <w:t>域地表水、地</w:t>
                  </w:r>
                  <w:r>
                    <w:rPr>
                      <w:rFonts w:ascii="Times New Roman" w:hAnsi="Times New Roman" w:eastAsia="宋体" w:cs="Times New Roman"/>
                      <w:color w:val="000000" w:themeColor="text1"/>
                      <w:spacing w:val="-6"/>
                      <w:szCs w:val="21"/>
                      <w14:textFill>
                        <w14:solidFill>
                          <w14:schemeClr w14:val="tx1"/>
                        </w14:solidFill>
                      </w14:textFill>
                    </w:rPr>
                    <w:t>下水</w:t>
                  </w:r>
                </w:p>
              </w:tc>
            </w:tr>
            <w:tr w14:paraId="258D0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92" w:type="pct"/>
                  <w:vAlign w:val="center"/>
                </w:tcPr>
                <w:p w14:paraId="31B1DDF2">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天然气输送</w:t>
                  </w:r>
                </w:p>
              </w:tc>
              <w:tc>
                <w:tcPr>
                  <w:tcW w:w="947" w:type="pct"/>
                  <w:vAlign w:val="center"/>
                </w:tcPr>
                <w:p w14:paraId="6B2FFF58">
                  <w:pPr>
                    <w:pStyle w:val="61"/>
                    <w:jc w:val="center"/>
                    <w:rPr>
                      <w:rFonts w:ascii="Times New Roman" w:hAnsi="Times New Roman" w:eastAsia="宋体" w:cs="Times New Roman"/>
                      <w:color w:val="000000" w:themeColor="text1"/>
                      <w:szCs w:val="21"/>
                      <w:lang w:val="en-US"/>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天然气</w:t>
                  </w:r>
                  <w:r>
                    <w:rPr>
                      <w:rFonts w:hint="eastAsia" w:ascii="Times New Roman" w:hAnsi="Times New Roman" w:eastAsia="宋体" w:cs="Times New Roman"/>
                      <w:color w:val="000000" w:themeColor="text1"/>
                      <w:szCs w:val="21"/>
                      <w:lang w:val="en-US"/>
                      <w14:textFill>
                        <w14:solidFill>
                          <w14:schemeClr w14:val="tx1"/>
                        </w14:solidFill>
                      </w14:textFill>
                    </w:rPr>
                    <w:t>管道</w:t>
                  </w:r>
                </w:p>
              </w:tc>
              <w:tc>
                <w:tcPr>
                  <w:tcW w:w="961" w:type="pct"/>
                  <w:vAlign w:val="center"/>
                </w:tcPr>
                <w:p w14:paraId="70AA76B3">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天然气</w:t>
                  </w:r>
                </w:p>
              </w:tc>
              <w:tc>
                <w:tcPr>
                  <w:tcW w:w="758" w:type="pct"/>
                  <w:vAlign w:val="center"/>
                </w:tcPr>
                <w:p w14:paraId="240D5627">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泄漏/</w:t>
                  </w:r>
                  <w:r>
                    <w:rPr>
                      <w:rFonts w:ascii="Times New Roman" w:hAnsi="Times New Roman" w:eastAsia="宋体" w:cs="Times New Roman"/>
                      <w:color w:val="000000" w:themeColor="text1"/>
                      <w:spacing w:val="-6"/>
                      <w:szCs w:val="21"/>
                      <w14:textFill>
                        <w14:solidFill>
                          <w14:schemeClr w14:val="tx1"/>
                        </w14:solidFill>
                      </w14:textFill>
                    </w:rPr>
                    <w:t>火灾</w:t>
                  </w:r>
                </w:p>
              </w:tc>
              <w:tc>
                <w:tcPr>
                  <w:tcW w:w="762" w:type="pct"/>
                  <w:vAlign w:val="center"/>
                </w:tcPr>
                <w:p w14:paraId="7363A40F">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大气、水</w:t>
                  </w:r>
                </w:p>
              </w:tc>
              <w:tc>
                <w:tcPr>
                  <w:tcW w:w="877" w:type="pct"/>
                  <w:vMerge w:val="restart"/>
                  <w:vAlign w:val="center"/>
                </w:tcPr>
                <w:p w14:paraId="06E6A505">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周围居民、区域环境空气、</w:t>
                  </w:r>
                  <w:r>
                    <w:rPr>
                      <w:rFonts w:ascii="Times New Roman" w:hAnsi="Times New Roman" w:eastAsia="宋体" w:cs="Times New Roman"/>
                      <w:color w:val="000000" w:themeColor="text1"/>
                      <w:spacing w:val="-4"/>
                      <w:szCs w:val="21"/>
                      <w14:textFill>
                        <w14:solidFill>
                          <w14:schemeClr w14:val="tx1"/>
                        </w14:solidFill>
                      </w14:textFill>
                    </w:rPr>
                    <w:t>地表水</w:t>
                  </w:r>
                  <w:r>
                    <w:rPr>
                      <w:rFonts w:hint="eastAsia" w:ascii="Times New Roman" w:hAnsi="Times New Roman" w:eastAsia="宋体" w:cs="Times New Roman"/>
                      <w:color w:val="000000" w:themeColor="text1"/>
                      <w:spacing w:val="-4"/>
                      <w:szCs w:val="21"/>
                      <w14:textFill>
                        <w14:solidFill>
                          <w14:schemeClr w14:val="tx1"/>
                        </w14:solidFill>
                      </w14:textFill>
                    </w:rPr>
                    <w:t>、</w:t>
                  </w:r>
                  <w:r>
                    <w:rPr>
                      <w:rFonts w:ascii="Times New Roman" w:hAnsi="Times New Roman" w:eastAsia="宋体" w:cs="Times New Roman"/>
                      <w:color w:val="000000" w:themeColor="text1"/>
                      <w:spacing w:val="-4"/>
                      <w:szCs w:val="21"/>
                      <w14:textFill>
                        <w14:solidFill>
                          <w14:schemeClr w14:val="tx1"/>
                        </w14:solidFill>
                      </w14:textFill>
                    </w:rPr>
                    <w:t>地下</w:t>
                  </w:r>
                  <w:r>
                    <w:rPr>
                      <w:rFonts w:ascii="Times New Roman" w:hAnsi="Times New Roman" w:eastAsia="宋体" w:cs="Times New Roman"/>
                      <w:color w:val="000000" w:themeColor="text1"/>
                      <w:szCs w:val="21"/>
                      <w14:textFill>
                        <w14:solidFill>
                          <w14:schemeClr w14:val="tx1"/>
                        </w14:solidFill>
                      </w14:textFill>
                    </w:rPr>
                    <w:t>水</w:t>
                  </w:r>
                </w:p>
              </w:tc>
            </w:tr>
            <w:tr w14:paraId="23408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92" w:type="pct"/>
                  <w:vAlign w:val="center"/>
                </w:tcPr>
                <w:p w14:paraId="537E21CD">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废水处理设施</w:t>
                  </w:r>
                </w:p>
              </w:tc>
              <w:tc>
                <w:tcPr>
                  <w:tcW w:w="947" w:type="pct"/>
                  <w:vAlign w:val="center"/>
                </w:tcPr>
                <w:p w14:paraId="747EE061">
                  <w:pPr>
                    <w:pStyle w:val="61"/>
                    <w:jc w:val="center"/>
                    <w:rPr>
                      <w:rFonts w:ascii="Times New Roman" w:hAnsi="Times New Roman" w:eastAsia="宋体" w:cs="Times New Roman"/>
                      <w:color w:val="000000" w:themeColor="text1"/>
                      <w:szCs w:val="21"/>
                      <w:lang w:val="en-US"/>
                      <w14:textFill>
                        <w14:solidFill>
                          <w14:schemeClr w14:val="tx1"/>
                        </w14:solidFill>
                      </w14:textFill>
                    </w:rPr>
                  </w:pPr>
                  <w:r>
                    <w:rPr>
                      <w:rFonts w:hint="eastAsia" w:ascii="Times New Roman" w:hAnsi="Times New Roman" w:eastAsia="宋体" w:cs="Times New Roman"/>
                      <w:color w:val="000000" w:themeColor="text1"/>
                      <w:szCs w:val="21"/>
                      <w:lang w:val="en-US"/>
                      <w14:textFill>
                        <w14:solidFill>
                          <w14:schemeClr w14:val="tx1"/>
                        </w14:solidFill>
                      </w14:textFill>
                    </w:rPr>
                    <w:t>污水处理站</w:t>
                  </w:r>
                </w:p>
              </w:tc>
              <w:tc>
                <w:tcPr>
                  <w:tcW w:w="961" w:type="pct"/>
                  <w:vAlign w:val="center"/>
                </w:tcPr>
                <w:p w14:paraId="50206C73">
                  <w:pPr>
                    <w:pStyle w:val="61"/>
                    <w:jc w:val="center"/>
                    <w:rPr>
                      <w:rFonts w:ascii="Times New Roman" w:hAnsi="Times New Roman" w:eastAsia="宋体" w:cs="Times New Roman"/>
                      <w:color w:val="000000" w:themeColor="text1"/>
                      <w:szCs w:val="21"/>
                      <w:lang w:val="en-US"/>
                      <w14:textFill>
                        <w14:solidFill>
                          <w14:schemeClr w14:val="tx1"/>
                        </w14:solidFill>
                      </w14:textFill>
                    </w:rPr>
                  </w:pPr>
                  <w:r>
                    <w:rPr>
                      <w:rFonts w:hint="eastAsia" w:ascii="Times New Roman" w:hAnsi="Times New Roman" w:eastAsia="宋体" w:cs="Times New Roman"/>
                      <w:color w:val="000000" w:themeColor="text1"/>
                      <w:szCs w:val="21"/>
                      <w:lang w:val="en-US"/>
                      <w14:textFill>
                        <w14:solidFill>
                          <w14:schemeClr w14:val="tx1"/>
                        </w14:solidFill>
                      </w14:textFill>
                    </w:rPr>
                    <w:t>废水</w:t>
                  </w:r>
                </w:p>
              </w:tc>
              <w:tc>
                <w:tcPr>
                  <w:tcW w:w="758" w:type="pct"/>
                  <w:vAlign w:val="center"/>
                </w:tcPr>
                <w:p w14:paraId="2CB21259">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5"/>
                      <w:szCs w:val="21"/>
                      <w14:textFill>
                        <w14:solidFill>
                          <w14:schemeClr w14:val="tx1"/>
                        </w14:solidFill>
                      </w14:textFill>
                    </w:rPr>
                    <w:t>泄漏</w:t>
                  </w:r>
                </w:p>
              </w:tc>
              <w:tc>
                <w:tcPr>
                  <w:tcW w:w="762" w:type="pct"/>
                  <w:vAlign w:val="center"/>
                </w:tcPr>
                <w:p w14:paraId="392021C2">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水</w:t>
                  </w:r>
                </w:p>
              </w:tc>
              <w:tc>
                <w:tcPr>
                  <w:tcW w:w="877" w:type="pct"/>
                  <w:vMerge w:val="continue"/>
                  <w:vAlign w:val="center"/>
                </w:tcPr>
                <w:p w14:paraId="08342ABD">
                  <w:pPr>
                    <w:pStyle w:val="61"/>
                    <w:jc w:val="center"/>
                    <w:rPr>
                      <w:rFonts w:ascii="Times New Roman" w:hAnsi="Times New Roman" w:eastAsia="宋体" w:cs="Times New Roman"/>
                      <w:color w:val="000000" w:themeColor="text1"/>
                      <w:szCs w:val="21"/>
                      <w14:textFill>
                        <w14:solidFill>
                          <w14:schemeClr w14:val="tx1"/>
                        </w14:solidFill>
                      </w14:textFill>
                    </w:rPr>
                  </w:pPr>
                </w:p>
              </w:tc>
            </w:tr>
            <w:tr w14:paraId="50C8C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92" w:type="pct"/>
                  <w:vAlign w:val="center"/>
                </w:tcPr>
                <w:p w14:paraId="0F8143F5">
                  <w:pPr>
                    <w:tabs>
                      <w:tab w:val="left" w:pos="1081"/>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制冷系统</w:t>
                  </w:r>
                </w:p>
              </w:tc>
              <w:tc>
                <w:tcPr>
                  <w:tcW w:w="947" w:type="pct"/>
                  <w:vAlign w:val="center"/>
                </w:tcPr>
                <w:p w14:paraId="2E3495EA">
                  <w:pPr>
                    <w:pStyle w:val="61"/>
                    <w:jc w:val="center"/>
                    <w:rPr>
                      <w:rFonts w:ascii="宋体" w:hAnsi="宋体" w:eastAsia="宋体" w:cs="宋体"/>
                      <w:color w:val="000000" w:themeColor="text1"/>
                      <w:szCs w:val="21"/>
                      <w:lang w:val="en-US"/>
                      <w14:textFill>
                        <w14:solidFill>
                          <w14:schemeClr w14:val="tx1"/>
                        </w14:solidFill>
                      </w14:textFill>
                    </w:rPr>
                  </w:pPr>
                  <w:r>
                    <w:rPr>
                      <w:rFonts w:hint="eastAsia" w:ascii="宋体" w:hAnsi="宋体" w:eastAsia="宋体" w:cs="宋体"/>
                      <w:color w:val="000000" w:themeColor="text1"/>
                      <w:spacing w:val="-4"/>
                      <w14:textFill>
                        <w14:solidFill>
                          <w14:schemeClr w14:val="tx1"/>
                        </w14:solidFill>
                      </w14:textFill>
                    </w:rPr>
                    <w:t>乙二醇储罐</w:t>
                  </w:r>
                </w:p>
              </w:tc>
              <w:tc>
                <w:tcPr>
                  <w:tcW w:w="961" w:type="pct"/>
                  <w:vAlign w:val="center"/>
                </w:tcPr>
                <w:p w14:paraId="5B54283E">
                  <w:pPr>
                    <w:pStyle w:val="61"/>
                    <w:jc w:val="center"/>
                    <w:rPr>
                      <w:rFonts w:ascii="宋体" w:hAnsi="宋体" w:eastAsia="宋体" w:cs="宋体"/>
                      <w:color w:val="000000" w:themeColor="text1"/>
                      <w:szCs w:val="21"/>
                      <w:lang w:val="en-US"/>
                      <w14:textFill>
                        <w14:solidFill>
                          <w14:schemeClr w14:val="tx1"/>
                        </w14:solidFill>
                      </w14:textFill>
                    </w:rPr>
                  </w:pPr>
                  <w:r>
                    <w:rPr>
                      <w:rFonts w:hint="eastAsia" w:ascii="宋体" w:hAnsi="宋体" w:eastAsia="宋体" w:cs="宋体"/>
                      <w:color w:val="000000" w:themeColor="text1"/>
                      <w:spacing w:val="-4"/>
                      <w14:textFill>
                        <w14:solidFill>
                          <w14:schemeClr w14:val="tx1"/>
                        </w14:solidFill>
                      </w14:textFill>
                    </w:rPr>
                    <w:t>乙二醇</w:t>
                  </w:r>
                </w:p>
              </w:tc>
              <w:tc>
                <w:tcPr>
                  <w:tcW w:w="758" w:type="pct"/>
                  <w:vAlign w:val="center"/>
                </w:tcPr>
                <w:p w14:paraId="54F196CD">
                  <w:pPr>
                    <w:pStyle w:val="61"/>
                    <w:jc w:val="center"/>
                    <w:rPr>
                      <w:rFonts w:ascii="宋体" w:hAnsi="宋体" w:eastAsia="宋体" w:cs="宋体"/>
                      <w:color w:val="000000" w:themeColor="text1"/>
                      <w:spacing w:val="-5"/>
                      <w:szCs w:val="21"/>
                      <w14:textFill>
                        <w14:solidFill>
                          <w14:schemeClr w14:val="tx1"/>
                        </w14:solidFill>
                      </w14:textFill>
                    </w:rPr>
                  </w:pPr>
                  <w:r>
                    <w:rPr>
                      <w:rFonts w:hint="eastAsia" w:ascii="宋体" w:hAnsi="宋体" w:eastAsia="宋体" w:cs="宋体"/>
                      <w:color w:val="000000" w:themeColor="text1"/>
                      <w:spacing w:val="-2"/>
                      <w14:textFill>
                        <w14:solidFill>
                          <w14:schemeClr w14:val="tx1"/>
                        </w14:solidFill>
                      </w14:textFill>
                    </w:rPr>
                    <w:t>泄漏/</w:t>
                  </w:r>
                  <w:r>
                    <w:rPr>
                      <w:rFonts w:hint="eastAsia" w:ascii="宋体" w:hAnsi="宋体" w:eastAsia="宋体" w:cs="宋体"/>
                      <w:color w:val="000000" w:themeColor="text1"/>
                      <w:spacing w:val="-6"/>
                      <w14:textFill>
                        <w14:solidFill>
                          <w14:schemeClr w14:val="tx1"/>
                        </w14:solidFill>
                      </w14:textFill>
                    </w:rPr>
                    <w:t>火灾</w:t>
                  </w:r>
                </w:p>
              </w:tc>
              <w:tc>
                <w:tcPr>
                  <w:tcW w:w="762" w:type="pct"/>
                  <w:vAlign w:val="center"/>
                </w:tcPr>
                <w:p w14:paraId="3A2C56D9">
                  <w:pPr>
                    <w:pStyle w:val="61"/>
                    <w:jc w:val="center"/>
                    <w:rPr>
                      <w:rFonts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pacing w:val="-4"/>
                      <w14:textFill>
                        <w14:solidFill>
                          <w14:schemeClr w14:val="tx1"/>
                        </w14:solidFill>
                      </w14:textFill>
                    </w:rPr>
                    <w:t>大气、水</w:t>
                  </w:r>
                </w:p>
              </w:tc>
              <w:tc>
                <w:tcPr>
                  <w:tcW w:w="877" w:type="pct"/>
                  <w:vMerge w:val="continue"/>
                  <w:vAlign w:val="center"/>
                </w:tcPr>
                <w:p w14:paraId="3870567F">
                  <w:pPr>
                    <w:pStyle w:val="61"/>
                    <w:jc w:val="center"/>
                    <w:rPr>
                      <w:rFonts w:ascii="Times New Roman" w:hAnsi="Times New Roman" w:eastAsia="宋体" w:cs="Times New Roman"/>
                      <w:color w:val="000000" w:themeColor="text1"/>
                      <w:szCs w:val="21"/>
                      <w14:textFill>
                        <w14:solidFill>
                          <w14:schemeClr w14:val="tx1"/>
                        </w14:solidFill>
                      </w14:textFill>
                    </w:rPr>
                  </w:pPr>
                </w:p>
              </w:tc>
            </w:tr>
            <w:tr w14:paraId="19D98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692" w:type="pct"/>
                  <w:vAlign w:val="center"/>
                </w:tcPr>
                <w:p w14:paraId="5FD1AE32">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危废库</w:t>
                  </w:r>
                </w:p>
              </w:tc>
              <w:tc>
                <w:tcPr>
                  <w:tcW w:w="947" w:type="pct"/>
                  <w:vAlign w:val="center"/>
                </w:tcPr>
                <w:p w14:paraId="715E8CC9">
                  <w:pPr>
                    <w:pStyle w:val="61"/>
                    <w:jc w:val="cente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14:textFill>
                        <w14:solidFill>
                          <w14:schemeClr w14:val="tx1"/>
                        </w14:solidFill>
                      </w14:textFill>
                    </w:rPr>
                    <w:t>废润滑油</w:t>
                  </w:r>
                </w:p>
              </w:tc>
              <w:tc>
                <w:tcPr>
                  <w:tcW w:w="961" w:type="pct"/>
                  <w:vAlign w:val="center"/>
                </w:tcPr>
                <w:p w14:paraId="2CBAA198">
                  <w:pPr>
                    <w:pStyle w:val="61"/>
                    <w:jc w:val="cente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pacing w:val="-4"/>
                      <w:szCs w:val="21"/>
                      <w:lang w:val="en-US"/>
                      <w14:textFill>
                        <w14:solidFill>
                          <w14:schemeClr w14:val="tx1"/>
                        </w14:solidFill>
                      </w14:textFill>
                    </w:rPr>
                    <w:t>润滑油</w:t>
                  </w:r>
                </w:p>
              </w:tc>
              <w:tc>
                <w:tcPr>
                  <w:tcW w:w="758" w:type="pct"/>
                  <w:vAlign w:val="center"/>
                </w:tcPr>
                <w:p w14:paraId="68811443">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2"/>
                      <w:szCs w:val="21"/>
                      <w14:textFill>
                        <w14:solidFill>
                          <w14:schemeClr w14:val="tx1"/>
                        </w14:solidFill>
                      </w14:textFill>
                    </w:rPr>
                    <w:t>泄漏</w:t>
                  </w:r>
                </w:p>
              </w:tc>
              <w:tc>
                <w:tcPr>
                  <w:tcW w:w="762" w:type="pct"/>
                  <w:vAlign w:val="center"/>
                </w:tcPr>
                <w:p w14:paraId="76A9EA6C">
                  <w:pPr>
                    <w:pStyle w:val="61"/>
                    <w:jc w:val="cente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pacing w:val="-4"/>
                      <w:szCs w:val="21"/>
                      <w14:textFill>
                        <w14:solidFill>
                          <w14:schemeClr w14:val="tx1"/>
                        </w14:solidFill>
                      </w14:textFill>
                    </w:rPr>
                    <w:t>大气、水</w:t>
                  </w:r>
                </w:p>
              </w:tc>
              <w:tc>
                <w:tcPr>
                  <w:tcW w:w="877" w:type="pct"/>
                  <w:vMerge w:val="continue"/>
                  <w:vAlign w:val="center"/>
                </w:tcPr>
                <w:p w14:paraId="76F93FA1">
                  <w:pPr>
                    <w:jc w:val="center"/>
                    <w:rPr>
                      <w:color w:val="000000" w:themeColor="text1"/>
                      <w:szCs w:val="21"/>
                      <w14:textFill>
                        <w14:solidFill>
                          <w14:schemeClr w14:val="tx1"/>
                        </w14:solidFill>
                      </w14:textFill>
                    </w:rPr>
                  </w:pPr>
                </w:p>
              </w:tc>
            </w:tr>
          </w:tbl>
          <w:p w14:paraId="71B8687D">
            <w:pPr>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7.4环境风险分析</w:t>
            </w:r>
          </w:p>
          <w:p w14:paraId="6AC4FEB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（1）火灾事故分析</w:t>
            </w:r>
          </w:p>
          <w:p w14:paraId="1AB652E2">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①大气环境</w:t>
            </w:r>
          </w:p>
          <w:p w14:paraId="39887609">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项目采用的</w:t>
            </w:r>
            <w:r>
              <w:rPr>
                <w:rFonts w:hint="eastAsia"/>
                <w:bCs/>
                <w:color w:val="000000" w:themeColor="text1"/>
                <w:sz w:val="24"/>
                <w14:textFill>
                  <w14:solidFill>
                    <w14:schemeClr w14:val="tx1"/>
                  </w14:solidFill>
                </w14:textFill>
              </w:rPr>
              <w:t>酒类产品</w:t>
            </w:r>
            <w:r>
              <w:rPr>
                <w:bCs/>
                <w:color w:val="000000" w:themeColor="text1"/>
                <w:sz w:val="24"/>
                <w14:textFill>
                  <w14:solidFill>
                    <w14:schemeClr w14:val="tx1"/>
                  </w14:solidFill>
                </w14:textFill>
              </w:rPr>
              <w:t>中的乙醇等物质具有易燃性，在生产过程中有火灾风险，一旦发生火灾事故，将对环境造成较大影响。浓烟及有毒废气：火灾时放出大量辐射热的同时，还散发大量浓烟，它是由燃烧物质释放出的高温蒸汽和毒气，被分解的未燃物质和被火燃加热而带入上升气流中的空气和污染物质的混合物，它不但含有大量的热量，而且还含有蒸汽、有毒气体、对火场周围的人员生命安全和周围的大气环境质量造成污染和破坏。</w:t>
            </w:r>
          </w:p>
          <w:p w14:paraId="7FE044E2">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②地表水环境</w:t>
            </w:r>
          </w:p>
          <w:p w14:paraId="0E1BE775">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发生小面积火灾情况，可采用干粉灭火器、消防沙灭火，不会产生消防废水；大面积火灾需使用消防水灭火时，产生大量消防废水，若收集不当将会对地表水产生不利影响。</w:t>
            </w:r>
          </w:p>
          <w:p w14:paraId="0A35491B">
            <w:pPr>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本项目厂区内存放有灭火器。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64E986F0">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w:t>
            </w:r>
            <w:r>
              <w:rPr>
                <w:rFonts w:hint="eastAsia" w:ascii="宋体" w:hAnsi="宋体"/>
                <w:color w:val="000000" w:themeColor="text1"/>
                <w:sz w:val="24"/>
                <w14:textFill>
                  <w14:solidFill>
                    <w14:schemeClr w14:val="tx1"/>
                  </w14:solidFill>
                </w14:textFill>
              </w:rPr>
              <w:t>天然气泄漏分析</w:t>
            </w:r>
          </w:p>
          <w:p w14:paraId="7450591C">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①泄漏天然气对人群健康危害影响</w:t>
            </w:r>
          </w:p>
          <w:p w14:paraId="11EA8EF3">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本项目的气源基本不含硫化氢，泄漏后主要是甲烷气体对周边环境的影响。甲烷的密度比空气的一半还小，稀释扩散很快，随着距泄漏点距离的增加，甲烷测试浓度下降非常快，一个泄漏点泄漏的甲烷对环境、人和动物的影响是局部影响，不会造成人员窒息现象。同时，本项目配备天然气浓度超限报警装置，一旦发生气体泄露，可及时发现并进行处理，经分析，事故状态下，不会造成人员窒息现象。</w:t>
            </w:r>
          </w:p>
          <w:p w14:paraId="215A0307">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②次生污染物对环境影响</w:t>
            </w:r>
          </w:p>
          <w:p w14:paraId="7FFED0B7">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在事故状态下，若发生火灾或者爆炸事故，天然气燃烧产生的污染物主要是二氧化碳、水，仅在事故刚发生时有少量的甲烷、乙烷等释放，且很快扩散，对环境空气产生的影响较小。当项目发生火灾时，立即用干粉灭火器（主要是含磷酸铵盐）灭火。磷酸铵盐无毒、无害、不溶于水。因此，项目灭火后可将磷酸铵盐清扫收集用作绿化肥料。</w:t>
            </w:r>
          </w:p>
          <w:p w14:paraId="6B8D992A">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③对环境敏感点的影响分析</w:t>
            </w:r>
          </w:p>
          <w:p w14:paraId="27BD91B8">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ascii="宋体" w:hAnsi="宋体"/>
                <w:color w:val="000000" w:themeColor="text1"/>
                <w:sz w:val="24"/>
                <w14:textFill>
                  <w14:solidFill>
                    <w14:schemeClr w14:val="tx1"/>
                  </w14:solidFill>
                </w14:textFill>
              </w:rPr>
              <w:t>天然气事故状态下，通过采取相应的风险防范措施和建立突发事故应急预案后，发生事故的概率较低，事故的影响也能降至可接受水平。</w:t>
            </w:r>
          </w:p>
          <w:p w14:paraId="14D5A72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）污水处理设施出现故障</w:t>
            </w:r>
          </w:p>
          <w:p w14:paraId="036E9F02">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营运期生产废水产生浓度较高，经厂区污水处理站后进入市政污水管网，在污水处理站运行正常的情况下，项目废水可实现达标排放。但在运行过程中，若发生事故（停电等）、检修、超负荷溢流以及操作不当等，将导致污水处理站不能正常运行，可能造成废水外排，从而对地表水环境造成影响。</w:t>
            </w:r>
          </w:p>
          <w:p w14:paraId="1B4A184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）污水处理设施废水渗漏</w:t>
            </w:r>
          </w:p>
          <w:p w14:paraId="765E06B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非正常工况下，若污水处理站底部发生破裂，防渗系统被破坏，废水发生短时间泄露造成污染物下渗，将会对土壤及地下水环境造成污染。</w:t>
            </w:r>
          </w:p>
          <w:p w14:paraId="7DBD4018">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（5）原料、产品泄漏</w:t>
            </w:r>
          </w:p>
          <w:p w14:paraId="46EC6CCE">
            <w:pPr>
              <w:adjustRightInd w:val="0"/>
              <w:snapToGrid w:val="0"/>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项目薄荷醇溶液</w:t>
            </w:r>
            <w:r>
              <w:rPr>
                <w:color w:val="000000" w:themeColor="text1"/>
                <w:sz w:val="24"/>
                <w14:textFill>
                  <w14:solidFill>
                    <w14:schemeClr w14:val="tx1"/>
                  </w14:solidFill>
                </w14:textFill>
              </w:rPr>
              <w:t>等原料以及产品储存和使用</w:t>
            </w:r>
            <w:r>
              <w:rPr>
                <w:rFonts w:hint="eastAsia"/>
                <w:color w:val="000000" w:themeColor="text1"/>
                <w:sz w:val="24"/>
                <w14:textFill>
                  <w14:solidFill>
                    <w14:schemeClr w14:val="tx1"/>
                  </w14:solidFill>
                </w14:textFill>
              </w:rPr>
              <w:t>，如果泄漏会对地表水、地下水产生影响。</w:t>
            </w:r>
          </w:p>
          <w:p w14:paraId="2ECC642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7.4环境风险防范措施及应急要求</w:t>
            </w:r>
          </w:p>
          <w:p w14:paraId="12171823">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7.4.1风险防范措施</w:t>
            </w:r>
          </w:p>
          <w:p w14:paraId="5A7FC4B3">
            <w:pPr>
              <w:adjustRightInd w:val="0"/>
              <w:snapToGrid w:val="0"/>
              <w:spacing w:line="360" w:lineRule="auto"/>
              <w:ind w:firstLine="480" w:firstLineChars="200"/>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1</w:t>
            </w:r>
            <w:r>
              <w:rPr>
                <w:rFonts w:hint="eastAsia" w:ascii="宋体" w:hAnsi="宋体" w:cs="宋体"/>
                <w:color w:val="000000" w:themeColor="text1"/>
                <w:kern w:val="0"/>
                <w:sz w:val="24"/>
                <w14:textFill>
                  <w14:solidFill>
                    <w14:schemeClr w14:val="tx1"/>
                  </w14:solidFill>
                </w14:textFill>
              </w:rPr>
              <w:t xml:space="preserve">）总图布置和建筑安全防范措施 </w:t>
            </w:r>
          </w:p>
          <w:p w14:paraId="6BE23164">
            <w:pPr>
              <w:adjustRightInd w:val="0"/>
              <w:snapToGrid w:val="0"/>
              <w:spacing w:line="360" w:lineRule="auto"/>
              <w:ind w:firstLine="480" w:firstLineChars="200"/>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①厂区配备灭火器材、安全消防通道等。各建筑物的室内消防，除按有关规定设置消火栓给水系统外，还按《建筑灭火器配置设计规范》</w:t>
            </w:r>
            <w:r>
              <w:rPr>
                <w:color w:val="000000" w:themeColor="text1"/>
                <w:kern w:val="0"/>
                <w:sz w:val="24"/>
                <w14:textFill>
                  <w14:solidFill>
                    <w14:schemeClr w14:val="tx1"/>
                  </w14:solidFill>
                </w14:textFill>
              </w:rPr>
              <w:t xml:space="preserve">GB50140-2005 </w:t>
            </w:r>
            <w:r>
              <w:rPr>
                <w:rFonts w:hint="eastAsia" w:ascii="宋体" w:hAnsi="宋体" w:cs="宋体"/>
                <w:color w:val="000000" w:themeColor="text1"/>
                <w:kern w:val="0"/>
                <w:sz w:val="24"/>
                <w14:textFill>
                  <w14:solidFill>
                    <w14:schemeClr w14:val="tx1"/>
                  </w14:solidFill>
                </w14:textFill>
              </w:rPr>
              <w:t>的要求，配置规定数量的</w:t>
            </w:r>
            <w:r>
              <w:rPr>
                <w:color w:val="000000" w:themeColor="text1"/>
                <w:kern w:val="0"/>
                <w:sz w:val="24"/>
                <w14:textFill>
                  <w14:solidFill>
                    <w14:schemeClr w14:val="tx1"/>
                  </w14:solidFill>
                </w14:textFill>
              </w:rPr>
              <w:t>ABC</w:t>
            </w:r>
            <w:r>
              <w:rPr>
                <w:rFonts w:hint="eastAsia" w:ascii="宋体" w:hAnsi="宋体" w:cs="宋体"/>
                <w:color w:val="000000" w:themeColor="text1"/>
                <w:kern w:val="0"/>
                <w:sz w:val="24"/>
                <w14:textFill>
                  <w14:solidFill>
                    <w14:schemeClr w14:val="tx1"/>
                  </w14:solidFill>
                </w14:textFill>
              </w:rPr>
              <w:t xml:space="preserve">型手提式干粉灭火器。 </w:t>
            </w:r>
          </w:p>
          <w:p w14:paraId="588AE4CA">
            <w:pPr>
              <w:adjustRightInd w:val="0"/>
              <w:snapToGrid w:val="0"/>
              <w:spacing w:line="360" w:lineRule="auto"/>
              <w:ind w:firstLine="480" w:firstLineChars="200"/>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②总平面布置应进行功能分区，分区内部和相互之间保持一定通道和间距；设施的布置应保证生产人员安全操作及疏散方便；建、构筑物之间的防火间距应符合</w:t>
            </w:r>
            <w:r>
              <w:rPr>
                <w:color w:val="000000" w:themeColor="text1"/>
                <w:kern w:val="0"/>
                <w:sz w:val="24"/>
                <w14:textFill>
                  <w14:solidFill>
                    <w14:schemeClr w14:val="tx1"/>
                  </w14:solidFill>
                </w14:textFill>
              </w:rPr>
              <w:t>GBJ16-87</w:t>
            </w:r>
            <w:r>
              <w:rPr>
                <w:rFonts w:hint="eastAsia" w:ascii="宋体" w:hAnsi="宋体" w:cs="宋体"/>
                <w:color w:val="000000" w:themeColor="text1"/>
                <w:kern w:val="0"/>
                <w:sz w:val="24"/>
                <w14:textFill>
                  <w14:solidFill>
                    <w14:schemeClr w14:val="tx1"/>
                  </w14:solidFill>
                </w14:textFill>
              </w:rPr>
              <w:t>（</w:t>
            </w:r>
            <w:r>
              <w:rPr>
                <w:color w:val="000000" w:themeColor="text1"/>
                <w:kern w:val="0"/>
                <w:sz w:val="24"/>
                <w14:textFill>
                  <w14:solidFill>
                    <w14:schemeClr w14:val="tx1"/>
                  </w14:solidFill>
                </w14:textFill>
              </w:rPr>
              <w:t>2001</w:t>
            </w:r>
            <w:r>
              <w:rPr>
                <w:rFonts w:hint="eastAsia" w:ascii="宋体" w:hAnsi="宋体" w:cs="宋体"/>
                <w:color w:val="000000" w:themeColor="text1"/>
                <w:kern w:val="0"/>
                <w:sz w:val="24"/>
                <w14:textFill>
                  <w14:solidFill>
                    <w14:schemeClr w14:val="tx1"/>
                  </w14:solidFill>
                </w14:textFill>
              </w:rPr>
              <w:t>年版）的有关规定；无电力线路跨越装置区。</w:t>
            </w:r>
          </w:p>
          <w:p w14:paraId="515786C0">
            <w:pPr>
              <w:adjustRightInd w:val="0"/>
              <w:snapToGrid w:val="0"/>
              <w:spacing w:line="360" w:lineRule="auto"/>
              <w:ind w:firstLine="480" w:firstLineChars="200"/>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③项目建设有废水处理站，事故废水可依托废水处理站调节池。</w:t>
            </w:r>
          </w:p>
          <w:p w14:paraId="4B31E947">
            <w:pPr>
              <w:adjustRightInd w:val="0"/>
              <w:snapToGrid w:val="0"/>
              <w:spacing w:line="360" w:lineRule="auto"/>
              <w:ind w:firstLine="480" w:firstLineChars="200"/>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④严格落实厂区分区防渗和雨污分流排水体制；对危废暂存间、综合仓库（酸洗清洗剂储存区）、废水处理设施区、排水管线、事故应急池、初期雨水收集池等采取重点防渗处理；液体原料分类存放，硝酸溶液储罐储存，暂存区设置围堰和导排流管道，连接事故收集池；物料暂存区域安装应急喷淋稀释装置。按照环评及设计方案规范建设初期雨水、废水收集处理设施和防泄漏收集沟槽、事故收集池、应急切断阀门等各类环境风险防控设施；厂区污水、雨水排口分别设置应急切断截留阀门等末端事故缓冲设施等。</w:t>
            </w:r>
          </w:p>
          <w:p w14:paraId="4EC1978D">
            <w:pPr>
              <w:adjustRightInd w:val="0"/>
              <w:snapToGrid w:val="0"/>
              <w:spacing w:line="360" w:lineRule="auto"/>
              <w:ind w:firstLine="480" w:firstLineChars="200"/>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在事故状态下，为防止消防废水等从雨排口或清下水排口直接排出，在排水管网全部设置切断装置，必要时立即切断所有排水管网，严防未经处理的事故废水排入区域地表水体。</w:t>
            </w:r>
          </w:p>
          <w:p w14:paraId="0376769D">
            <w:pPr>
              <w:adjustRightInd w:val="0"/>
              <w:snapToGrid w:val="0"/>
              <w:spacing w:line="360" w:lineRule="auto"/>
              <w:ind w:firstLine="480" w:firstLineChars="200"/>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项目在主要生产场所及储存区设置水泥硬化地面等防透漏措施，及时收集泄漏物质，防止物质对地下水和土壤的污染。</w:t>
            </w:r>
          </w:p>
          <w:p w14:paraId="44CAC756">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（2）工艺、设备及自动控制安全防范措施</w:t>
            </w:r>
          </w:p>
          <w:p w14:paraId="3B3E318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设计中应选用安全可靠的工艺技术、设备，设备材质、选型应与物料特点、工艺参数相匹配；阀门、管件、接头等应选取定点生产厂家的优质产品，保证装置长期安全稳定运行。使项目投产后的安全性有可靠保证。</w:t>
            </w:r>
          </w:p>
          <w:p w14:paraId="546AC120">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（3）消防及故障报警系统 </w:t>
            </w:r>
          </w:p>
          <w:p w14:paraId="0ACD57FA">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①厂区消防设计应严格遵循《建筑设计防火规范》（GB50016-20</w:t>
            </w:r>
            <w:r>
              <w:rPr>
                <w:rFonts w:hint="eastAsia"/>
                <w:color w:val="000000" w:themeColor="text1"/>
                <w:sz w:val="24"/>
                <w:lang w:val="en-US" w:eastAsia="zh-CN"/>
                <w14:textFill>
                  <w14:solidFill>
                    <w14:schemeClr w14:val="tx1"/>
                  </w14:solidFill>
                </w14:textFill>
              </w:rPr>
              <w:t>14</w:t>
            </w:r>
            <w:r>
              <w:rPr>
                <w:color w:val="000000" w:themeColor="text1"/>
                <w:sz w:val="24"/>
                <w14:textFill>
                  <w14:solidFill>
                    <w14:schemeClr w14:val="tx1"/>
                  </w14:solidFill>
                </w14:textFill>
              </w:rPr>
              <w:t>）、《建筑灭火器配置设计规范》（GB50140-2005）。</w:t>
            </w:r>
          </w:p>
          <w:p w14:paraId="46F88FE6">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 xml:space="preserve">②生产装置区、储存区除设置固定式、半固定式灭火设施外，还应设置小型灭火器材。甲乙类厂房、储存区、变电所等重要及有火灾危险场所应设智能干烟探测器。  </w:t>
            </w:r>
          </w:p>
          <w:p w14:paraId="3A4CD4AF">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生产装置、储存装置应设置火灾自动报警和消防灭火设施。加强储酒区安全管理，严禁吸烟和动用明火，按照消防设施安全规范，加强对明火安全的管理，防止铁器撞击，防止产生静电火花，罐区电气设备、锅炉设备要符合防火防爆要求等，具体应做好：在醒目位置设立“严禁烟火”、“禁火区”等警戒标语和标牌。禁止任何人携带火种（如打火机、烟头等）和易产生碰撞火花的钉鞋器具等进入区域内。</w:t>
            </w:r>
          </w:p>
          <w:p w14:paraId="571B45B4">
            <w:pPr>
              <w:tabs>
                <w:tab w:val="left" w:pos="1081"/>
              </w:tabs>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④对危险场所的消防设施应进行定期检查，确保消防设施始终处于完好状态。应采取消防联动措施，当火灾确认后，能自动/手动启动消防泵等设备。</w:t>
            </w:r>
          </w:p>
          <w:p w14:paraId="76885F32">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（4）污水处理站事故风险防范措施</w:t>
            </w:r>
          </w:p>
          <w:p w14:paraId="537C6062">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在运行过程中，若发生事故（停电等）、检修、超负荷溢流以及</w:t>
            </w:r>
            <w:r>
              <w:rPr>
                <w:rFonts w:hint="eastAsia"/>
                <w:color w:val="000000" w:themeColor="text1"/>
                <w:kern w:val="0"/>
                <w:sz w:val="24"/>
                <w:lang w:eastAsia="zh-CN"/>
                <w14:textFill>
                  <w14:solidFill>
                    <w14:schemeClr w14:val="tx1"/>
                  </w14:solidFill>
                </w14:textFill>
              </w:rPr>
              <w:t>操作不当等</w:t>
            </w:r>
            <w:r>
              <w:rPr>
                <w:color w:val="000000" w:themeColor="text1"/>
                <w:kern w:val="0"/>
                <w:sz w:val="24"/>
                <w14:textFill>
                  <w14:solidFill>
                    <w14:schemeClr w14:val="tx1"/>
                  </w14:solidFill>
                </w14:textFill>
              </w:rPr>
              <w:t>，将导致污水处理设施不能正常运行，可能造成废水外排，从而对地表水体造成影响。为防范废水事故排放，评价提出以下防范措施：</w:t>
            </w:r>
          </w:p>
          <w:p w14:paraId="55AADC24">
            <w:pPr>
              <w:adjustRightInd w:val="0"/>
              <w:snapToGrid w:val="0"/>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①易发生故障的设备（泵类）配套备用设备，并对备用设备进行定期检查。</w:t>
            </w:r>
          </w:p>
          <w:p w14:paraId="6023AA87">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 xml:space="preserve">②参考《水体污染防控紧急措施设计导则》，事故储存设施总有效容积计算公式为： </w:t>
            </w:r>
          </w:p>
          <w:p w14:paraId="5026870D">
            <w:pPr>
              <w:widowControl/>
              <w:spacing w:line="360" w:lineRule="auto"/>
              <w:ind w:firstLine="480" w:firstLineChars="200"/>
              <w:jc w:val="center"/>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V总=（V1+V2-V3）</w:t>
            </w:r>
            <w:r>
              <w:rPr>
                <w:color w:val="000000" w:themeColor="text1"/>
                <w:kern w:val="0"/>
                <w:sz w:val="24"/>
                <w:vertAlign w:val="subscript"/>
                <w14:textFill>
                  <w14:solidFill>
                    <w14:schemeClr w14:val="tx1"/>
                  </w14:solidFill>
                </w14:textFill>
              </w:rPr>
              <w:t>max</w:t>
            </w:r>
            <w:r>
              <w:rPr>
                <w:color w:val="000000" w:themeColor="text1"/>
                <w:kern w:val="0"/>
                <w:sz w:val="24"/>
                <w14:textFill>
                  <w14:solidFill>
                    <w14:schemeClr w14:val="tx1"/>
                  </w14:solidFill>
                </w14:textFill>
              </w:rPr>
              <w:t>+V4+V5</w:t>
            </w:r>
          </w:p>
          <w:p w14:paraId="5F98A152">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式中：V1—收集系统范围内发生事故的一个罐组或一套装置的物料量m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（储存相同物料的罐组按一个最大储罐计，装置物料量按存留最大物料量的一台反应器或中间储罐计）；本项目液体物料最大物料储存量为</w:t>
            </w:r>
            <w:r>
              <w:rPr>
                <w:rFonts w:hint="eastAsia"/>
                <w:color w:val="000000" w:themeColor="text1"/>
                <w:kern w:val="0"/>
                <w:sz w:val="24"/>
                <w14:textFill>
                  <w14:solidFill>
                    <w14:schemeClr w14:val="tx1"/>
                  </w14:solidFill>
                </w14:textFill>
              </w:rPr>
              <w:t>60</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p>
          <w:p w14:paraId="3EF173A9">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V2—发生事故的储罐或装置的消防水量，m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p>
          <w:p w14:paraId="0893FF63">
            <w:pPr>
              <w:widowControl/>
              <w:spacing w:line="360" w:lineRule="auto"/>
              <w:ind w:firstLine="480" w:firstLineChars="200"/>
              <w:jc w:val="center"/>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V2=∑Q</w:t>
            </w:r>
            <w:r>
              <w:rPr>
                <w:color w:val="000000" w:themeColor="text1"/>
                <w:kern w:val="0"/>
                <w:sz w:val="24"/>
                <w:vertAlign w:val="subscript"/>
                <w14:textFill>
                  <w14:solidFill>
                    <w14:schemeClr w14:val="tx1"/>
                  </w14:solidFill>
                </w14:textFill>
              </w:rPr>
              <w:t>消</w:t>
            </w:r>
            <w:r>
              <w:rPr>
                <w:color w:val="000000" w:themeColor="text1"/>
                <w:kern w:val="0"/>
                <w:sz w:val="24"/>
                <w14:textFill>
                  <w14:solidFill>
                    <w14:schemeClr w14:val="tx1"/>
                  </w14:solidFill>
                </w14:textFill>
              </w:rPr>
              <w:t>t</w:t>
            </w:r>
            <w:r>
              <w:rPr>
                <w:color w:val="000000" w:themeColor="text1"/>
                <w:kern w:val="0"/>
                <w:sz w:val="24"/>
                <w:vertAlign w:val="subscript"/>
                <w14:textFill>
                  <w14:solidFill>
                    <w14:schemeClr w14:val="tx1"/>
                  </w14:solidFill>
                </w14:textFill>
              </w:rPr>
              <w:t>消</w:t>
            </w:r>
          </w:p>
          <w:p w14:paraId="545FE4BE">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Q 消—发生事故时的储罐或装置同时使用的消防设施给水流量，m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/h；综合考虑灭火喷淋消防给水量，取10L/s；</w:t>
            </w:r>
          </w:p>
          <w:p w14:paraId="213FCE5A">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t消—消防设施对应的设计消防历时（h），取2.0h；</w:t>
            </w:r>
          </w:p>
          <w:p w14:paraId="7F47E96C">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经计算，消防用水量为72m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p>
          <w:p w14:paraId="6FCA31C2">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V3—发生事故时可以转输到其他设施的物料量，m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；不考虑，V3为0。</w:t>
            </w:r>
          </w:p>
          <w:p w14:paraId="634FB300">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V4—发生事故时仍必须进入该收集系统的生产废水量，m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按项目一个周期事故停车计最大一次事故污水量。根据《化学工业污水处理与回用设计规范》，“污水处理场宜设非正常情况下超过进水指标的事故污水储存池，储存池容积可按8h~12h平均时流量计。”按照污水处理站12h最大废水量计，取</w:t>
            </w:r>
            <w:r>
              <w:rPr>
                <w:rFonts w:hint="eastAsia"/>
                <w:color w:val="000000" w:themeColor="text1"/>
                <w:kern w:val="0"/>
                <w:sz w:val="24"/>
                <w14:textFill>
                  <w14:solidFill>
                    <w14:schemeClr w14:val="tx1"/>
                  </w14:solidFill>
                </w14:textFill>
              </w:rPr>
              <w:t>20.789</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p>
          <w:p w14:paraId="028A22AF">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V5—发生事故时可能进入该收集系统的降雨量，m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p>
          <w:p w14:paraId="4A25073F">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 xml:space="preserve">项目所在地设计暴雨强度： </w:t>
            </w:r>
          </w:p>
          <w:p w14:paraId="21A45CAE">
            <w:pPr>
              <w:widowControl/>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drawing>
                <wp:anchor distT="0" distB="0" distL="0" distR="0" simplePos="0" relativeHeight="251675648" behindDoc="0" locked="0" layoutInCell="1" allowOverlap="1">
                  <wp:simplePos x="0" y="0"/>
                  <wp:positionH relativeFrom="column">
                    <wp:posOffset>1848485</wp:posOffset>
                  </wp:positionH>
                  <wp:positionV relativeFrom="paragraph">
                    <wp:posOffset>41910</wp:posOffset>
                  </wp:positionV>
                  <wp:extent cx="1616075" cy="424815"/>
                  <wp:effectExtent l="0" t="0" r="3175" b="13335"/>
                  <wp:wrapTopAndBottom/>
                  <wp:docPr id="1068" name="图片 6"/>
                  <wp:cNvGraphicFramePr/>
                  <a:graphic xmlns:a="http://schemas.openxmlformats.org/drawingml/2006/main">
                    <a:graphicData uri="http://schemas.openxmlformats.org/drawingml/2006/picture">
                      <pic:pic xmlns:pic="http://schemas.openxmlformats.org/drawingml/2006/picture">
                        <pic:nvPicPr>
                          <pic:cNvPr id="1068" name="图片 6"/>
                          <pic:cNvPicPr/>
                        </pic:nvPicPr>
                        <pic:blipFill>
                          <a:blip r:embed="rId57" cstate="print"/>
                          <a:srcRect/>
                          <a:stretch>
                            <a:fillRect/>
                          </a:stretch>
                        </pic:blipFill>
                        <pic:spPr>
                          <a:xfrm>
                            <a:off x="0" y="0"/>
                            <a:ext cx="1616074" cy="424815"/>
                          </a:xfrm>
                          <a:prstGeom prst="rect">
                            <a:avLst/>
                          </a:prstGeom>
                          <a:ln>
                            <a:noFill/>
                          </a:ln>
                        </pic:spPr>
                      </pic:pic>
                    </a:graphicData>
                  </a:graphic>
                </wp:anchor>
              </w:drawing>
            </w:r>
            <w:r>
              <w:rPr>
                <w:color w:val="000000" w:themeColor="text1"/>
                <w:kern w:val="0"/>
                <w:sz w:val="24"/>
                <w14:textFill>
                  <w14:solidFill>
                    <w14:schemeClr w14:val="tx1"/>
                  </w14:solidFill>
                </w14:textFill>
              </w:rPr>
              <w:t>q—设计暴雨强度（L/s•公顷）；</w:t>
            </w:r>
          </w:p>
          <w:p w14:paraId="0DFB8719">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P—重现期（年），取2年；</w:t>
            </w:r>
          </w:p>
          <w:p w14:paraId="7E90398D">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t—降雨历时，取15min；</w:t>
            </w:r>
          </w:p>
          <w:p w14:paraId="0E68C7AB">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经计算，暴雨强度为237.32L/s•公顷；结合项目平面布置图，项目初期雨水收集面积约为</w:t>
            </w:r>
            <w:r>
              <w:rPr>
                <w:rFonts w:hint="eastAsia"/>
                <w:color w:val="000000" w:themeColor="text1"/>
                <w:kern w:val="0"/>
                <w:sz w:val="24"/>
                <w14:textFill>
                  <w14:solidFill>
                    <w14:schemeClr w14:val="tx1"/>
                  </w14:solidFill>
                </w14:textFill>
              </w:rPr>
              <w:t>15471</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2</w:t>
            </w:r>
            <w:r>
              <w:rPr>
                <w:color w:val="000000" w:themeColor="text1"/>
                <w:kern w:val="0"/>
                <w:sz w:val="24"/>
                <w14:textFill>
                  <w14:solidFill>
                    <w14:schemeClr w14:val="tx1"/>
                  </w14:solidFill>
                </w14:textFill>
              </w:rPr>
              <w:t>，径流系数取0.9，则V5为</w:t>
            </w:r>
            <w:r>
              <w:rPr>
                <w:rFonts w:hint="eastAsia"/>
                <w:color w:val="000000" w:themeColor="text1"/>
                <w:kern w:val="0"/>
                <w:sz w:val="24"/>
                <w14:textFill>
                  <w14:solidFill>
                    <w14:schemeClr w14:val="tx1"/>
                  </w14:solidFill>
                </w14:textFill>
              </w:rPr>
              <w:t>297.398</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w:t>
            </w:r>
          </w:p>
          <w:p w14:paraId="52178337">
            <w:pPr>
              <w:widowControl/>
              <w:spacing w:line="360" w:lineRule="auto"/>
              <w:ind w:firstLine="480" w:firstLineChars="200"/>
              <w:rPr>
                <w:color w:val="000000" w:themeColor="text1"/>
                <w:sz w:val="24"/>
                <w14:textFill>
                  <w14:solidFill>
                    <w14:schemeClr w14:val="tx1"/>
                  </w14:solidFill>
                </w14:textFill>
              </w:rPr>
            </w:pPr>
            <w:r>
              <w:rPr>
                <w:color w:val="000000" w:themeColor="text1"/>
                <w:kern w:val="0"/>
                <w:sz w:val="24"/>
                <w14:textFill>
                  <w14:solidFill>
                    <w14:schemeClr w14:val="tx1"/>
                  </w14:solidFill>
                </w14:textFill>
              </w:rPr>
              <w:t>所需事故池容积为：V总=（</w:t>
            </w:r>
            <w:r>
              <w:rPr>
                <w:rFonts w:hint="eastAsia"/>
                <w:color w:val="000000" w:themeColor="text1"/>
                <w:kern w:val="0"/>
                <w:sz w:val="24"/>
                <w14:textFill>
                  <w14:solidFill>
                    <w14:schemeClr w14:val="tx1"/>
                  </w14:solidFill>
                </w14:textFill>
              </w:rPr>
              <w:t>60</w:t>
            </w:r>
            <w:r>
              <w:rPr>
                <w:color w:val="000000" w:themeColor="text1"/>
                <w:kern w:val="0"/>
                <w:sz w:val="24"/>
                <w14:textFill>
                  <w14:solidFill>
                    <w14:schemeClr w14:val="tx1"/>
                  </w14:solidFill>
                </w14:textFill>
              </w:rPr>
              <w:t>+72-0）+</w:t>
            </w:r>
            <w:r>
              <w:rPr>
                <w:rFonts w:hint="eastAsia"/>
                <w:color w:val="000000" w:themeColor="text1"/>
                <w:kern w:val="0"/>
                <w:sz w:val="24"/>
                <w14:textFill>
                  <w14:solidFill>
                    <w14:schemeClr w14:val="tx1"/>
                  </w14:solidFill>
                </w14:textFill>
              </w:rPr>
              <w:t>20.789</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297.398</w:t>
            </w:r>
            <w:r>
              <w:rPr>
                <w:color w:val="000000" w:themeColor="text1"/>
                <w:kern w:val="0"/>
                <w:sz w:val="24"/>
                <w14:textFill>
                  <w14:solidFill>
                    <w14:schemeClr w14:val="tx1"/>
                  </w14:solidFill>
                </w14:textFill>
              </w:rPr>
              <w:t>=</w:t>
            </w:r>
            <w:r>
              <w:rPr>
                <w:rFonts w:hint="eastAsia"/>
                <w:color w:val="000000" w:themeColor="text1"/>
                <w:kern w:val="0"/>
                <w:sz w:val="24"/>
                <w14:textFill>
                  <w14:solidFill>
                    <w14:schemeClr w14:val="tx1"/>
                  </w14:solidFill>
                </w14:textFill>
              </w:rPr>
              <w:t>450.1877</w:t>
            </w:r>
            <w:r>
              <w:rPr>
                <w:color w:val="000000" w:themeColor="text1"/>
                <w:kern w:val="0"/>
                <w:sz w:val="24"/>
                <w14:textFill>
                  <w14:solidFill>
                    <w14:schemeClr w14:val="tx1"/>
                  </w14:solidFill>
                </w14:textFill>
              </w:rPr>
              <w:t>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。项目设计1座</w:t>
            </w:r>
            <w:r>
              <w:rPr>
                <w:rFonts w:hint="eastAsia"/>
                <w:color w:val="000000" w:themeColor="text1"/>
                <w:kern w:val="0"/>
                <w:sz w:val="24"/>
                <w14:textFill>
                  <w14:solidFill>
                    <w14:schemeClr w14:val="tx1"/>
                  </w14:solidFill>
                </w14:textFill>
              </w:rPr>
              <w:t>5</w:t>
            </w:r>
            <w:r>
              <w:rPr>
                <w:color w:val="000000" w:themeColor="text1"/>
                <w:kern w:val="0"/>
                <w:sz w:val="24"/>
                <w14:textFill>
                  <w14:solidFill>
                    <w14:schemeClr w14:val="tx1"/>
                  </w14:solidFill>
                </w14:textFill>
              </w:rPr>
              <w:t>00m</w:t>
            </w:r>
            <w:r>
              <w:rPr>
                <w:color w:val="000000" w:themeColor="text1"/>
                <w:kern w:val="0"/>
                <w:sz w:val="24"/>
                <w:vertAlign w:val="superscript"/>
                <w14:textFill>
                  <w14:solidFill>
                    <w14:schemeClr w14:val="tx1"/>
                  </w14:solidFill>
                </w14:textFill>
              </w:rPr>
              <w:t>3</w:t>
            </w:r>
            <w:r>
              <w:rPr>
                <w:color w:val="000000" w:themeColor="text1"/>
                <w:kern w:val="0"/>
                <w:sz w:val="24"/>
                <w14:textFill>
                  <w14:solidFill>
                    <w14:schemeClr w14:val="tx1"/>
                  </w14:solidFill>
                </w14:textFill>
              </w:rPr>
              <w:t>事故水池，事故池建设应按照《危险废物贮存污染控制标准》（GB18597-2023）中的相关要求做好防渗措施；生产车间和污水站应设置收集槽，以保证事故发生时，废水能够收集到事故池内。</w:t>
            </w:r>
          </w:p>
          <w:p w14:paraId="6C1C3FBA">
            <w:pPr>
              <w:widowControl/>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当事故发生启用消防水系统时，应打开消防水导排系统，将消防废水引入事故池，将被污染的消防废水控制在厂区内。待事故结束后检测其水质，并咨询有关专家意见，将废水在厂区内收集处理，处理达标后再排入污水处理厂处理。</w:t>
            </w:r>
          </w:p>
          <w:p w14:paraId="4B79E7F5">
            <w:pPr>
              <w:widowControl/>
              <w:spacing w:line="360" w:lineRule="auto"/>
              <w:ind w:firstLine="480" w:firstLineChars="200"/>
              <w:rPr>
                <w:color w:val="000000" w:themeColor="text1"/>
                <w:kern w:val="0"/>
                <w:sz w:val="24"/>
                <w14:textFill>
                  <w14:solidFill>
                    <w14:schemeClr w14:val="tx1"/>
                  </w14:solidFill>
                </w14:textFill>
              </w:rPr>
            </w:pPr>
            <w:r>
              <w:rPr>
                <w:color w:val="000000" w:themeColor="text1"/>
                <w:kern w:val="0"/>
                <w:sz w:val="24"/>
                <w14:textFill>
                  <w14:solidFill>
                    <w14:schemeClr w14:val="tx1"/>
                  </w14:solidFill>
                </w14:textFill>
              </w:rPr>
              <w:t>③污水处理设施制定严格的操作规范和管理制度，工作人员上岗前进行职业技能培训。</w:t>
            </w:r>
          </w:p>
          <w:p w14:paraId="1534E33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7.4.2风险应急要求</w:t>
            </w:r>
          </w:p>
          <w:p w14:paraId="40D4919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（1）最早发现者应迅速报警。接警后迅速组织撤离泄漏污染区人员至安全区，并进行隔离，严格限制出入。切断火源、电源，并迅速通知应急救援中心采取相应救援措施。</w:t>
            </w:r>
          </w:p>
          <w:p w14:paraId="4F70353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2）值班人员应尽可能的查明泄漏点、佩戴空气呼吸器、穿防毒服，进入现场采取堵漏措施，尽可能的降低事故程度。防止流入下水道、防洪沟等限制性空间。应急救援组和专业救援队伍到现场后，工作人员尽可能详细的向他们汇报现场情况。</w:t>
            </w:r>
          </w:p>
          <w:p w14:paraId="7EF8FEC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（3）若发生小量泄漏：用消防砂或其他惰性材料吸收。</w:t>
            </w:r>
          </w:p>
          <w:p w14:paraId="2AA89EC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（4）若泄漏量大时，用泡沫覆盖，降低蒸汽灾害。喷雾状水或泡沫冷却和稀释蒸汽，保护现场人员。</w:t>
            </w:r>
          </w:p>
          <w:p w14:paraId="461D085A">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（5）事故不可控时，启动公司应急救援预案，本环评要求企业定期进行事故演练。</w:t>
            </w:r>
          </w:p>
          <w:p w14:paraId="5DD8EE95">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（6）禁止使用金属器具敲打所泄漏管线和设备，避免二次事故的发生。</w:t>
            </w:r>
          </w:p>
          <w:p w14:paraId="55A02EB4">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（7）现场禁止吸烟，进食饮水。工作完毕后，沐浴更衣。</w:t>
            </w:r>
          </w:p>
          <w:p w14:paraId="0793CC5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7.4.3风险应急预案</w:t>
            </w:r>
          </w:p>
          <w:p w14:paraId="52DB52C5">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国家环保局（90）环管字第057号文《关于对重大环境污染事故隐患进行风险评价的通知》的要求，通过对污染事故的风险评价，各有关企业单位应加强安全生产管理，制定重大环境事故发生的应急预案，消除事故隐患的实施及突发性事故应急办法等。本项目应根据生产特点和事故隐患分析，制定突发事故应急预案，见下表。</w:t>
            </w:r>
          </w:p>
          <w:p w14:paraId="485046C3">
            <w:pPr>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3</w:t>
            </w:r>
            <w:r>
              <w:rPr>
                <w:rFonts w:hint="eastAsia"/>
                <w:b/>
                <w:bCs/>
                <w:color w:val="000000" w:themeColor="text1"/>
                <w:sz w:val="24"/>
                <w:lang w:val="en-US" w:eastAsia="zh-CN"/>
                <w14:textFill>
                  <w14:solidFill>
                    <w14:schemeClr w14:val="tx1"/>
                  </w14:solidFill>
                </w14:textFill>
              </w:rPr>
              <w:t>1</w:t>
            </w:r>
            <w:r>
              <w:rPr>
                <w:rFonts w:hint="eastAsia"/>
                <w:b/>
                <w:bCs/>
                <w:color w:val="000000" w:themeColor="text1"/>
                <w:sz w:val="24"/>
                <w14:textFill>
                  <w14:solidFill>
                    <w14:schemeClr w14:val="tx1"/>
                  </w14:solidFill>
                </w14:textFill>
              </w:rPr>
              <w:t xml:space="preserve">  </w:t>
            </w:r>
            <w:r>
              <w:rPr>
                <w:b/>
                <w:bCs/>
                <w:color w:val="000000" w:themeColor="text1"/>
                <w:sz w:val="24"/>
                <w14:textFill>
                  <w14:solidFill>
                    <w14:schemeClr w14:val="tx1"/>
                  </w14:solidFill>
                </w14:textFill>
              </w:rPr>
              <w:t>应急预案内容表</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6"/>
              <w:gridCol w:w="2255"/>
              <w:gridCol w:w="6120"/>
            </w:tblGrid>
            <w:tr w14:paraId="4ACF2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2B5FD89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230" w:type="pct"/>
                  <w:vAlign w:val="center"/>
                </w:tcPr>
                <w:p w14:paraId="1CE8280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3339" w:type="pct"/>
                  <w:vAlign w:val="center"/>
                </w:tcPr>
                <w:p w14:paraId="3352491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内容及要求</w:t>
                  </w:r>
                </w:p>
              </w:tc>
            </w:tr>
            <w:tr w14:paraId="37414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73C8EE1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230" w:type="pct"/>
                  <w:vAlign w:val="center"/>
                </w:tcPr>
                <w:p w14:paraId="7FAC231E">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应急计划区</w:t>
                  </w:r>
                </w:p>
              </w:tc>
              <w:tc>
                <w:tcPr>
                  <w:tcW w:w="3339" w:type="pct"/>
                  <w:vAlign w:val="center"/>
                </w:tcPr>
                <w:p w14:paraId="3525C84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危险目标：危废暂存间、原料区、成品区、环境保护目标</w:t>
                  </w:r>
                </w:p>
              </w:tc>
            </w:tr>
            <w:tr w14:paraId="52F8A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39F91ED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1230" w:type="pct"/>
                  <w:vAlign w:val="center"/>
                </w:tcPr>
                <w:p w14:paraId="4B92E17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应急组织机构、人员</w:t>
                  </w:r>
                </w:p>
              </w:tc>
              <w:tc>
                <w:tcPr>
                  <w:tcW w:w="3339" w:type="pct"/>
                  <w:vAlign w:val="center"/>
                </w:tcPr>
                <w:p w14:paraId="33D213C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工厂、地区应急组织机构、人员</w:t>
                  </w:r>
                </w:p>
              </w:tc>
            </w:tr>
            <w:tr w14:paraId="7CE18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6D40D8B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1230" w:type="pct"/>
                  <w:vAlign w:val="center"/>
                </w:tcPr>
                <w:p w14:paraId="37A5170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预案分级响应条件</w:t>
                  </w:r>
                </w:p>
              </w:tc>
              <w:tc>
                <w:tcPr>
                  <w:tcW w:w="3339" w:type="pct"/>
                  <w:vAlign w:val="center"/>
                </w:tcPr>
                <w:p w14:paraId="312BA2D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规定预案的级别及分级响应程序</w:t>
                  </w:r>
                </w:p>
              </w:tc>
            </w:tr>
            <w:tr w14:paraId="3E1483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46600C2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1230" w:type="pct"/>
                  <w:vAlign w:val="center"/>
                </w:tcPr>
                <w:p w14:paraId="40E127C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应急救援保障</w:t>
                  </w:r>
                </w:p>
              </w:tc>
              <w:tc>
                <w:tcPr>
                  <w:tcW w:w="3339" w:type="pct"/>
                  <w:vAlign w:val="center"/>
                </w:tcPr>
                <w:p w14:paraId="2142240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应急设施、设备与器材等</w:t>
                  </w:r>
                </w:p>
              </w:tc>
            </w:tr>
            <w:tr w14:paraId="079CC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3AFE995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5</w:t>
                  </w:r>
                </w:p>
              </w:tc>
              <w:tc>
                <w:tcPr>
                  <w:tcW w:w="1230" w:type="pct"/>
                  <w:vAlign w:val="center"/>
                </w:tcPr>
                <w:p w14:paraId="49D1043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报警、通讯联络方式</w:t>
                  </w:r>
                </w:p>
              </w:tc>
              <w:tc>
                <w:tcPr>
                  <w:tcW w:w="3339" w:type="pct"/>
                  <w:vAlign w:val="center"/>
                </w:tcPr>
                <w:p w14:paraId="5606EC7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规定应急状态下的报警通讯方式，通知方式和交通保障、管制</w:t>
                  </w:r>
                </w:p>
              </w:tc>
            </w:tr>
            <w:tr w14:paraId="586C8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1F51178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6</w:t>
                  </w:r>
                </w:p>
              </w:tc>
              <w:tc>
                <w:tcPr>
                  <w:tcW w:w="1230" w:type="pct"/>
                  <w:vAlign w:val="center"/>
                </w:tcPr>
                <w:p w14:paraId="19692CC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应急环境监测、抢险、救援及控制措施</w:t>
                  </w:r>
                </w:p>
              </w:tc>
              <w:tc>
                <w:tcPr>
                  <w:tcW w:w="3339" w:type="pct"/>
                  <w:vAlign w:val="center"/>
                </w:tcPr>
                <w:p w14:paraId="7D4521D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由专业队伍负责对事故现场进行侦查监测，对事故性质、参数与后果进行评估，为指挥部门提供决策依据</w:t>
                  </w:r>
                </w:p>
              </w:tc>
            </w:tr>
            <w:tr w14:paraId="2F495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3D9AB49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7</w:t>
                  </w:r>
                </w:p>
              </w:tc>
              <w:tc>
                <w:tcPr>
                  <w:tcW w:w="1230" w:type="pct"/>
                  <w:vAlign w:val="center"/>
                </w:tcPr>
                <w:p w14:paraId="2452BE6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应急检测、防护措施、清除措施和器材</w:t>
                  </w:r>
                </w:p>
              </w:tc>
              <w:tc>
                <w:tcPr>
                  <w:tcW w:w="3339" w:type="pct"/>
                  <w:vAlign w:val="center"/>
                </w:tcPr>
                <w:p w14:paraId="1FF70A7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事故现场、邻近区域、控制防火区域、控制和清除污染措施及相应设备</w:t>
                  </w:r>
                </w:p>
              </w:tc>
            </w:tr>
            <w:tr w14:paraId="50C36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1D7226B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8</w:t>
                  </w:r>
                </w:p>
              </w:tc>
              <w:tc>
                <w:tcPr>
                  <w:tcW w:w="1230" w:type="pct"/>
                  <w:vAlign w:val="center"/>
                </w:tcPr>
                <w:p w14:paraId="6FEC354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人员紧急撤离、疏散，应急剂量控制、撤离组织计划</w:t>
                  </w:r>
                </w:p>
              </w:tc>
              <w:tc>
                <w:tcPr>
                  <w:tcW w:w="3339" w:type="pct"/>
                  <w:vAlign w:val="center"/>
                </w:tcPr>
                <w:p w14:paraId="65CE7F9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事故现场、工厂邻近区、受事故影响的区域人员及公众对毒物应急剂量控制规定，撤离组织计划及救护，医疗救护与公众健康</w:t>
                  </w:r>
                </w:p>
              </w:tc>
            </w:tr>
            <w:tr w14:paraId="515AD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5CEF83C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9</w:t>
                  </w:r>
                </w:p>
              </w:tc>
              <w:tc>
                <w:tcPr>
                  <w:tcW w:w="1230" w:type="pct"/>
                  <w:vAlign w:val="center"/>
                </w:tcPr>
                <w:p w14:paraId="47ED63F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事故应急救援关闭程序与恢复措施</w:t>
                  </w:r>
                </w:p>
              </w:tc>
              <w:tc>
                <w:tcPr>
                  <w:tcW w:w="3339" w:type="pct"/>
                  <w:vAlign w:val="center"/>
                </w:tcPr>
                <w:p w14:paraId="4FEE442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规定应急状态终止程序；事故现场善后处理，恢复措施；邻近区域解除事故警戒及善后恢复措施</w:t>
                  </w:r>
                </w:p>
              </w:tc>
            </w:tr>
            <w:tr w14:paraId="277D0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2A560C2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10</w:t>
                  </w:r>
                </w:p>
              </w:tc>
              <w:tc>
                <w:tcPr>
                  <w:tcW w:w="1230" w:type="pct"/>
                  <w:vAlign w:val="center"/>
                </w:tcPr>
                <w:p w14:paraId="75166B3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应急培训计划</w:t>
                  </w:r>
                </w:p>
              </w:tc>
              <w:tc>
                <w:tcPr>
                  <w:tcW w:w="3339" w:type="pct"/>
                  <w:vAlign w:val="center"/>
                </w:tcPr>
                <w:p w14:paraId="3EA82A3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应急计划制定后，平时安排人员培训与演练</w:t>
                  </w:r>
                </w:p>
              </w:tc>
            </w:tr>
            <w:tr w14:paraId="76D79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29" w:type="pct"/>
                  <w:vAlign w:val="center"/>
                </w:tcPr>
                <w:p w14:paraId="20E1E9E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11</w:t>
                  </w:r>
                </w:p>
              </w:tc>
              <w:tc>
                <w:tcPr>
                  <w:tcW w:w="1230" w:type="pct"/>
                  <w:vAlign w:val="center"/>
                </w:tcPr>
                <w:p w14:paraId="14B0A8F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公众教育和信息</w:t>
                  </w:r>
                </w:p>
              </w:tc>
              <w:tc>
                <w:tcPr>
                  <w:tcW w:w="3339" w:type="pct"/>
                  <w:vAlign w:val="center"/>
                </w:tcPr>
                <w:p w14:paraId="2A3EBA6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对工厂邻近地区开展公众教育、培训和发布有关信息</w:t>
                  </w:r>
                </w:p>
              </w:tc>
            </w:tr>
          </w:tbl>
          <w:p w14:paraId="1C5FFE15">
            <w:pPr>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7.5分析结论</w:t>
            </w:r>
          </w:p>
          <w:p w14:paraId="19755197">
            <w:pPr>
              <w:tabs>
                <w:tab w:val="left" w:pos="1081"/>
              </w:tabs>
              <w:adjustRightInd w:val="0"/>
              <w:snapToGrid w:val="0"/>
              <w:spacing w:line="360" w:lineRule="auto"/>
              <w:ind w:firstLine="480" w:firstLineChars="200"/>
              <w:rPr>
                <w:color w:val="000000" w:themeColor="text1"/>
                <w:sz w:val="24"/>
                <w:lang w:val="en-GB"/>
                <w14:textFill>
                  <w14:solidFill>
                    <w14:schemeClr w14:val="tx1"/>
                  </w14:solidFill>
                </w14:textFill>
              </w:rPr>
            </w:pPr>
            <w:r>
              <w:rPr>
                <w:color w:val="000000" w:themeColor="text1"/>
                <w:sz w:val="24"/>
                <w:lang w:val="en-GB"/>
                <w14:textFill>
                  <w14:solidFill>
                    <w14:schemeClr w14:val="tx1"/>
                  </w14:solidFill>
                </w14:textFill>
              </w:rPr>
              <w:t>综上所述，本项目营运期涉及的主要风险物质为</w:t>
            </w:r>
            <w:r>
              <w:rPr>
                <w:rFonts w:hint="eastAsia"/>
                <w:color w:val="000000" w:themeColor="text1"/>
                <w:sz w:val="24"/>
                <w14:textFill>
                  <w14:solidFill>
                    <w14:schemeClr w14:val="tx1"/>
                  </w14:solidFill>
                </w14:textFill>
              </w:rPr>
              <w:t>酒类</w:t>
            </w:r>
            <w:r>
              <w:rPr>
                <w:color w:val="000000" w:themeColor="text1"/>
                <w:sz w:val="24"/>
                <w:lang w:val="en-GB"/>
                <w14:textFill>
                  <w14:solidFill>
                    <w14:schemeClr w14:val="tx1"/>
                  </w14:solidFill>
                </w14:textFill>
              </w:rPr>
              <w:t>（乙醇）</w:t>
            </w:r>
            <w:r>
              <w:rPr>
                <w:rFonts w:hint="eastAsia"/>
                <w:color w:val="000000" w:themeColor="text1"/>
                <w:sz w:val="24"/>
                <w:lang w:val="en-GB"/>
                <w14:textFill>
                  <w14:solidFill>
                    <w14:schemeClr w14:val="tx1"/>
                  </w14:solidFill>
                </w14:textFill>
              </w:rPr>
              <w:t>、</w:t>
            </w:r>
            <w:r>
              <w:rPr>
                <w:rFonts w:hint="eastAsia"/>
                <w:color w:val="000000" w:themeColor="text1"/>
                <w:sz w:val="24"/>
                <w14:textFill>
                  <w14:solidFill>
                    <w14:schemeClr w14:val="tx1"/>
                  </w14:solidFill>
                </w14:textFill>
              </w:rPr>
              <w:t>天然气等</w:t>
            </w:r>
            <w:r>
              <w:rPr>
                <w:color w:val="000000" w:themeColor="text1"/>
                <w:sz w:val="24"/>
                <w:lang w:val="en-GB"/>
                <w14:textFill>
                  <w14:solidFill>
                    <w14:schemeClr w14:val="tx1"/>
                  </w14:solidFill>
                </w14:textFill>
              </w:rPr>
              <w:t>，在落实本次环评提出的风险防范措施后，其发生事故的概率降低，环境危害较小，环境风险影响可以接受。</w:t>
            </w:r>
          </w:p>
          <w:p w14:paraId="1BE96F80">
            <w:pPr>
              <w:tabs>
                <w:tab w:val="left" w:pos="1081"/>
              </w:tabs>
              <w:adjustRightInd w:val="0"/>
              <w:snapToGrid w:val="0"/>
              <w:spacing w:line="360" w:lineRule="auto"/>
              <w:jc w:val="center"/>
              <w:rPr>
                <w:b/>
                <w:bCs/>
                <w:color w:val="000000" w:themeColor="text1"/>
                <w:sz w:val="24"/>
                <w:lang w:val="en-GB"/>
                <w14:textFill>
                  <w14:solidFill>
                    <w14:schemeClr w14:val="tx1"/>
                  </w14:solidFill>
                </w14:textFill>
              </w:rPr>
            </w:pPr>
            <w:r>
              <w:rPr>
                <w:b/>
                <w:bCs/>
                <w:color w:val="000000" w:themeColor="text1"/>
                <w:sz w:val="24"/>
                <w:lang w:val="en-GB"/>
                <w14:textFill>
                  <w14:solidFill>
                    <w14:schemeClr w14:val="tx1"/>
                  </w14:solidFill>
                </w14:textFill>
              </w:rPr>
              <w:t>表4-</w:t>
            </w:r>
            <w:r>
              <w:rPr>
                <w:rFonts w:hint="eastAsia"/>
                <w:b/>
                <w:bCs/>
                <w:color w:val="000000" w:themeColor="text1"/>
                <w:sz w:val="24"/>
                <w14:textFill>
                  <w14:solidFill>
                    <w14:schemeClr w14:val="tx1"/>
                  </w14:solidFill>
                </w14:textFill>
              </w:rPr>
              <w:t>3</w:t>
            </w:r>
            <w:r>
              <w:rPr>
                <w:rFonts w:hint="eastAsia"/>
                <w:b/>
                <w:bCs/>
                <w:color w:val="000000" w:themeColor="text1"/>
                <w:sz w:val="24"/>
                <w:lang w:val="en-US" w:eastAsia="zh-CN"/>
                <w14:textFill>
                  <w14:solidFill>
                    <w14:schemeClr w14:val="tx1"/>
                  </w14:solidFill>
                </w14:textFill>
              </w:rPr>
              <w:t>2</w:t>
            </w:r>
            <w:r>
              <w:rPr>
                <w:b/>
                <w:bCs/>
                <w:color w:val="000000" w:themeColor="text1"/>
                <w:sz w:val="24"/>
                <w:lang w:val="en-GB"/>
                <w14:textFill>
                  <w14:solidFill>
                    <w14:schemeClr w14:val="tx1"/>
                  </w14:solidFill>
                </w14:textFill>
              </w:rPr>
              <w:t xml:space="preserve">  环境风险简单分析内容表</w:t>
            </w:r>
          </w:p>
          <w:tbl>
            <w:tblPr>
              <w:tblStyle w:val="25"/>
              <w:tblW w:w="4999"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989"/>
              <w:gridCol w:w="1111"/>
              <w:gridCol w:w="2491"/>
              <w:gridCol w:w="885"/>
              <w:gridCol w:w="2690"/>
            </w:tblGrid>
            <w:tr w14:paraId="0DDC98A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5" w:type="pct"/>
                  <w:vAlign w:val="center"/>
                </w:tcPr>
                <w:p w14:paraId="277D67DE">
                  <w:pPr>
                    <w:jc w:val="center"/>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项</w:t>
                  </w:r>
                  <w:r>
                    <w:rPr>
                      <w:color w:val="000000" w:themeColor="text1"/>
                      <w:spacing w:val="6"/>
                      <w:szCs w:val="21"/>
                      <w14:textFill>
                        <w14:solidFill>
                          <w14:schemeClr w14:val="tx1"/>
                        </w14:solidFill>
                      </w14:textFill>
                    </w:rPr>
                    <w:t>目名称</w:t>
                  </w:r>
                </w:p>
              </w:tc>
              <w:tc>
                <w:tcPr>
                  <w:tcW w:w="3914" w:type="pct"/>
                  <w:gridSpan w:val="4"/>
                  <w:vAlign w:val="center"/>
                </w:tcPr>
                <w:p w14:paraId="3CFD215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华陀酒业（河南）有限公司酒品、饮料及医疗器械生产项目</w:t>
                  </w:r>
                </w:p>
              </w:tc>
            </w:tr>
            <w:tr w14:paraId="79C300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5" w:type="pct"/>
                  <w:vAlign w:val="center"/>
                </w:tcPr>
                <w:p w14:paraId="24A974B1">
                  <w:pPr>
                    <w:jc w:val="center"/>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建</w:t>
                  </w:r>
                  <w:r>
                    <w:rPr>
                      <w:color w:val="000000" w:themeColor="text1"/>
                      <w:spacing w:val="6"/>
                      <w:szCs w:val="21"/>
                      <w14:textFill>
                        <w14:solidFill>
                          <w14:schemeClr w14:val="tx1"/>
                        </w14:solidFill>
                      </w14:textFill>
                    </w:rPr>
                    <w:t>设地点</w:t>
                  </w:r>
                </w:p>
              </w:tc>
              <w:tc>
                <w:tcPr>
                  <w:tcW w:w="3914" w:type="pct"/>
                  <w:gridSpan w:val="4"/>
                  <w:vAlign w:val="center"/>
                </w:tcPr>
                <w:p w14:paraId="48B7AC2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南阳市镇平县玉都工业园区新星路8号</w:t>
                  </w:r>
                </w:p>
              </w:tc>
            </w:tr>
            <w:tr w14:paraId="2D04EC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5" w:type="pct"/>
                  <w:vAlign w:val="center"/>
                </w:tcPr>
                <w:p w14:paraId="02ADB75C">
                  <w:pPr>
                    <w:jc w:val="center"/>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地</w:t>
                  </w:r>
                  <w:r>
                    <w:rPr>
                      <w:color w:val="000000" w:themeColor="text1"/>
                      <w:spacing w:val="7"/>
                      <w:szCs w:val="21"/>
                      <w14:textFill>
                        <w14:solidFill>
                          <w14:schemeClr w14:val="tx1"/>
                        </w14:solidFill>
                      </w14:textFill>
                    </w:rPr>
                    <w:t>理坐标</w:t>
                  </w:r>
                </w:p>
              </w:tc>
              <w:tc>
                <w:tcPr>
                  <w:tcW w:w="606" w:type="pct"/>
                  <w:vAlign w:val="center"/>
                </w:tcPr>
                <w:p w14:paraId="47A8FCB2">
                  <w:pPr>
                    <w:jc w:val="center"/>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经</w:t>
                  </w:r>
                  <w:r>
                    <w:rPr>
                      <w:color w:val="000000" w:themeColor="text1"/>
                      <w:spacing w:val="3"/>
                      <w:szCs w:val="21"/>
                      <w14:textFill>
                        <w14:solidFill>
                          <w14:schemeClr w14:val="tx1"/>
                        </w14:solidFill>
                      </w14:textFill>
                    </w:rPr>
                    <w:t>度</w:t>
                  </w:r>
                </w:p>
              </w:tc>
              <w:tc>
                <w:tcPr>
                  <w:tcW w:w="1359" w:type="pct"/>
                  <w:vAlign w:val="center"/>
                </w:tcPr>
                <w:p w14:paraId="438679A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112度12分32.912秒</w:t>
                  </w:r>
                </w:p>
              </w:tc>
              <w:tc>
                <w:tcPr>
                  <w:tcW w:w="483" w:type="pct"/>
                  <w:vAlign w:val="center"/>
                </w:tcPr>
                <w:p w14:paraId="38EA2FD8">
                  <w:pPr>
                    <w:jc w:val="center"/>
                    <w:rPr>
                      <w:color w:val="000000" w:themeColor="text1"/>
                      <w:szCs w:val="21"/>
                      <w14:textFill>
                        <w14:solidFill>
                          <w14:schemeClr w14:val="tx1"/>
                        </w14:solidFill>
                      </w14:textFill>
                    </w:rPr>
                  </w:pPr>
                  <w:r>
                    <w:rPr>
                      <w:color w:val="000000" w:themeColor="text1"/>
                      <w:spacing w:val="4"/>
                      <w:szCs w:val="21"/>
                      <w14:textFill>
                        <w14:solidFill>
                          <w14:schemeClr w14:val="tx1"/>
                        </w14:solidFill>
                      </w14:textFill>
                    </w:rPr>
                    <w:t>纬度</w:t>
                  </w:r>
                </w:p>
              </w:tc>
              <w:tc>
                <w:tcPr>
                  <w:tcW w:w="1463" w:type="pct"/>
                  <w:vAlign w:val="center"/>
                </w:tcPr>
                <w:p w14:paraId="4792A7A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33度03分41.717秒</w:t>
                  </w:r>
                </w:p>
              </w:tc>
            </w:tr>
            <w:tr w14:paraId="5CC0718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5" w:type="pct"/>
                  <w:vAlign w:val="center"/>
                </w:tcPr>
                <w:p w14:paraId="7DB4DA4F">
                  <w:pPr>
                    <w:jc w:val="center"/>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主要危险</w:t>
                  </w:r>
                  <w:r>
                    <w:rPr>
                      <w:color w:val="000000" w:themeColor="text1"/>
                      <w:spacing w:val="7"/>
                      <w:szCs w:val="21"/>
                      <w14:textFill>
                        <w14:solidFill>
                          <w14:schemeClr w14:val="tx1"/>
                        </w14:solidFill>
                      </w14:textFill>
                    </w:rPr>
                    <w:t>物质及分布</w:t>
                  </w:r>
                </w:p>
              </w:tc>
              <w:tc>
                <w:tcPr>
                  <w:tcW w:w="3914" w:type="pct"/>
                  <w:gridSpan w:val="4"/>
                  <w:vAlign w:val="center"/>
                </w:tcPr>
                <w:p w14:paraId="13661073">
                  <w:pPr>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本项目在生产过程中存在的主要环境风险为酒类在储存、输送过程中发生的风险事故；天然气储存和使用过程中如遇</w:t>
                  </w:r>
                  <w:r>
                    <w:rPr>
                      <w:color w:val="000000" w:themeColor="text1"/>
                      <w:szCs w:val="21"/>
                      <w:lang w:val="en-GB"/>
                      <w14:textFill>
                        <w14:solidFill>
                          <w14:schemeClr w14:val="tx1"/>
                        </w14:solidFill>
                      </w14:textFill>
                    </w:rPr>
                    <w:t>易燃物质或明火等可能引起火灾</w:t>
                  </w:r>
                  <w:r>
                    <w:rPr>
                      <w:color w:val="000000" w:themeColor="text1"/>
                      <w:szCs w:val="21"/>
                      <w14:textFill>
                        <w14:solidFill>
                          <w14:schemeClr w14:val="tx1"/>
                        </w14:solidFill>
                      </w14:textFill>
                    </w:rPr>
                    <w:t>；乙二醇使用不当而泄漏引起火灾爆炸事故；污水处理站非正常运行或污水处理站泄露等对周边水体产生影响。</w:t>
                  </w:r>
                </w:p>
              </w:tc>
            </w:tr>
            <w:tr w14:paraId="710D91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5" w:type="pct"/>
                  <w:vAlign w:val="center"/>
                </w:tcPr>
                <w:p w14:paraId="4A28BABF">
                  <w:pPr>
                    <w:jc w:val="center"/>
                    <w:rPr>
                      <w:color w:val="000000" w:themeColor="text1"/>
                      <w:szCs w:val="21"/>
                      <w14:textFill>
                        <w14:solidFill>
                          <w14:schemeClr w14:val="tx1"/>
                        </w14:solidFill>
                      </w14:textFill>
                    </w:rPr>
                  </w:pPr>
                  <w:r>
                    <w:rPr>
                      <w:color w:val="000000" w:themeColor="text1"/>
                      <w:spacing w:val="9"/>
                      <w:szCs w:val="21"/>
                      <w14:textFill>
                        <w14:solidFill>
                          <w14:schemeClr w14:val="tx1"/>
                        </w14:solidFill>
                      </w14:textFill>
                    </w:rPr>
                    <w:t>环</w:t>
                  </w:r>
                  <w:r>
                    <w:rPr>
                      <w:color w:val="000000" w:themeColor="text1"/>
                      <w:spacing w:val="8"/>
                      <w:szCs w:val="21"/>
                      <w14:textFill>
                        <w14:solidFill>
                          <w14:schemeClr w14:val="tx1"/>
                        </w14:solidFill>
                      </w14:textFill>
                    </w:rPr>
                    <w:t>境影响途径</w:t>
                  </w:r>
                  <w:r>
                    <w:rPr>
                      <w:color w:val="000000" w:themeColor="text1"/>
                      <w:spacing w:val="15"/>
                      <w:szCs w:val="21"/>
                      <w14:textFill>
                        <w14:solidFill>
                          <w14:schemeClr w14:val="tx1"/>
                        </w14:solidFill>
                      </w14:textFill>
                    </w:rPr>
                    <w:t>及危害后果(</w:t>
                  </w:r>
                  <w:r>
                    <w:rPr>
                      <w:color w:val="000000" w:themeColor="text1"/>
                      <w:spacing w:val="14"/>
                      <w:szCs w:val="21"/>
                      <w14:textFill>
                        <w14:solidFill>
                          <w14:schemeClr w14:val="tx1"/>
                        </w14:solidFill>
                      </w14:textFill>
                    </w:rPr>
                    <w:t>大</w:t>
                  </w:r>
                  <w:r>
                    <w:rPr>
                      <w:color w:val="000000" w:themeColor="text1"/>
                      <w:szCs w:val="21"/>
                      <w14:textFill>
                        <w14:solidFill>
                          <w14:schemeClr w14:val="tx1"/>
                        </w14:solidFill>
                      </w14:textFill>
                    </w:rPr>
                    <w:t xml:space="preserve"> </w:t>
                  </w:r>
                  <w:r>
                    <w:rPr>
                      <w:color w:val="000000" w:themeColor="text1"/>
                      <w:spacing w:val="1"/>
                      <w:szCs w:val="21"/>
                      <w14:textFill>
                        <w14:solidFill>
                          <w14:schemeClr w14:val="tx1"/>
                        </w14:solidFill>
                      </w14:textFill>
                    </w:rPr>
                    <w:t>气、地表</w:t>
                  </w:r>
                  <w:r>
                    <w:rPr>
                      <w:color w:val="000000" w:themeColor="text1"/>
                      <w:szCs w:val="21"/>
                      <w14:textFill>
                        <w14:solidFill>
                          <w14:schemeClr w14:val="tx1"/>
                        </w14:solidFill>
                      </w14:textFill>
                    </w:rPr>
                    <w:t xml:space="preserve">水、地 </w:t>
                  </w:r>
                  <w:r>
                    <w:rPr>
                      <w:color w:val="000000" w:themeColor="text1"/>
                      <w:spacing w:val="7"/>
                      <w:szCs w:val="21"/>
                      <w14:textFill>
                        <w14:solidFill>
                          <w14:schemeClr w14:val="tx1"/>
                        </w14:solidFill>
                      </w14:textFill>
                    </w:rPr>
                    <w:t>下</w:t>
                  </w:r>
                  <w:r>
                    <w:rPr>
                      <w:color w:val="000000" w:themeColor="text1"/>
                      <w:spacing w:val="6"/>
                      <w:szCs w:val="21"/>
                      <w14:textFill>
                        <w14:solidFill>
                          <w14:schemeClr w14:val="tx1"/>
                        </w14:solidFill>
                      </w14:textFill>
                    </w:rPr>
                    <w:t>水、土壤等)</w:t>
                  </w:r>
                </w:p>
              </w:tc>
              <w:tc>
                <w:tcPr>
                  <w:tcW w:w="3914" w:type="pct"/>
                  <w:gridSpan w:val="4"/>
                  <w:vAlign w:val="center"/>
                </w:tcPr>
                <w:p w14:paraId="45632C83">
                  <w:pPr>
                    <w:adjustRightInd w:val="0"/>
                    <w:snapToGrid w:val="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①大气环境</w:t>
                  </w:r>
                </w:p>
                <w:p w14:paraId="7C3E37AC">
                  <w:pPr>
                    <w:adjustRightInd w:val="0"/>
                    <w:snapToGrid w:val="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项目采用的</w:t>
                  </w:r>
                  <w:r>
                    <w:rPr>
                      <w:rFonts w:hint="eastAsia"/>
                      <w:bCs/>
                      <w:color w:val="000000" w:themeColor="text1"/>
                      <w:szCs w:val="21"/>
                      <w14:textFill>
                        <w14:solidFill>
                          <w14:schemeClr w14:val="tx1"/>
                        </w14:solidFill>
                      </w14:textFill>
                    </w:rPr>
                    <w:t>酒类产品</w:t>
                  </w:r>
                  <w:r>
                    <w:rPr>
                      <w:bCs/>
                      <w:color w:val="000000" w:themeColor="text1"/>
                      <w:szCs w:val="21"/>
                      <w14:textFill>
                        <w14:solidFill>
                          <w14:schemeClr w14:val="tx1"/>
                        </w14:solidFill>
                      </w14:textFill>
                    </w:rPr>
                    <w:t>中的乙醇等物质具有易燃性，在生产过程中有火灾风险，一旦发生火灾事故，将对环境造成较大影响。浓烟及有毒废气：火灾时放出大量辐射热的同时，还散发大量浓烟，它是由燃烧物质释放出的高温蒸汽和毒气，被分解的未燃物质和被火燃加热而带入上升气流中的空气和污染物质的混合物，它不但含有大量的热量，而且还含有蒸汽、有毒气体、对火场周围的人员生命安全和周围的大气环境质量造成污染和破坏。</w:t>
                  </w:r>
                </w:p>
                <w:p w14:paraId="009972AD">
                  <w:pPr>
                    <w:adjustRightInd w:val="0"/>
                    <w:snapToGrid w:val="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②地表水环境</w:t>
                  </w:r>
                </w:p>
                <w:p w14:paraId="2B65460C">
                  <w:pPr>
                    <w:adjustRightInd w:val="0"/>
                    <w:snapToGrid w:val="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发生小面积火灾情况，可采用干粉灭火器、消防沙灭火，不会产生消防废水；大面积火灾需使用消防水灭火时，产生大量消防废水，若收集不当将会对地表水产生不利影响。</w:t>
                  </w:r>
                </w:p>
                <w:p w14:paraId="3654FF2C">
                  <w:pPr>
                    <w:adjustRightInd w:val="0"/>
                    <w:snapToGrid w:val="0"/>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本项目厂区内存放有灭火器。发生小范围火灾事故时，使用干粉灭火器及时灭火；发生大范围火灾事故时，使用消防水及时灭火。若发生大范围火灾事故时，使用消防水进行灭火，会产生消防废水，建设单位应及时用沙袋封堵厂区雨水总排口，截留有限的消防废水。待事故结束后，委托有资质单位对截留的消防废水水质进行检测，若水质满足污水处理厂进水水质要求，将消防废水外运经市政污水管网排入市政污水管网；若水质不能满足污水处理厂进水水质要求，将消防废水外运委托有资质单位处理。</w:t>
                  </w:r>
                </w:p>
                <w:p w14:paraId="5ACF0156">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r>
                    <w:rPr>
                      <w:rFonts w:hint="eastAsia" w:ascii="宋体" w:hAnsi="宋体"/>
                      <w:color w:val="000000" w:themeColor="text1"/>
                      <w:szCs w:val="21"/>
                      <w14:textFill>
                        <w14:solidFill>
                          <w14:schemeClr w14:val="tx1"/>
                        </w14:solidFill>
                      </w14:textFill>
                    </w:rPr>
                    <w:t>天然气泄漏分析</w:t>
                  </w:r>
                </w:p>
                <w:p w14:paraId="3CF77606">
                  <w:pPr>
                    <w:adjustRightInd w:val="0"/>
                    <w:snapToGrid w:val="0"/>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①泄漏天然气对人群健康危害影响</w:t>
                  </w:r>
                </w:p>
                <w:p w14:paraId="10978E98">
                  <w:pPr>
                    <w:adjustRightInd w:val="0"/>
                    <w:snapToGrid w:val="0"/>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本项目的气源基本不含硫化氢，泄漏后主要是甲烷气体对周边环境的影响。甲烷的密度比空气的一半还小，稀释扩散很快，随着距泄漏点距离的增加，甲烷测试浓度下降非常快，一个泄漏点泄漏的甲烷对环境、人和动物的影响是局部影响，不会造成人员窒息现象。同时，本项目配备天然气浓度超限报警装置，一旦发生气体泄露，可及时发现并进行处理，经分析，事故状态下，不会造成人员窒息现象。</w:t>
                  </w:r>
                </w:p>
                <w:p w14:paraId="7E3F0D7B">
                  <w:pPr>
                    <w:adjustRightInd w:val="0"/>
                    <w:snapToGrid w:val="0"/>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②次生污染物对环境影响</w:t>
                  </w:r>
                </w:p>
                <w:p w14:paraId="12B2459D">
                  <w:pPr>
                    <w:adjustRightInd w:val="0"/>
                    <w:snapToGrid w:val="0"/>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在事故状态下，若发生火灾或者爆炸事故，天然气燃烧产生的污染物主要是二氧化碳、水，仅在事故刚发生时有少量的甲烷、乙烷等释放，且很快扩散，对环境空气产生的影响较小。当项目发生火灾时，立即用干粉灭火器（主要是含磷酸铵盐）灭火。磷酸铵盐无毒、无害、不溶于水。因此，项目灭火后可将磷酸铵盐清扫收集用作绿化肥料。</w:t>
                  </w:r>
                </w:p>
                <w:p w14:paraId="13CD86FF">
                  <w:pPr>
                    <w:adjustRightInd w:val="0"/>
                    <w:snapToGrid w:val="0"/>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③对环境敏感点的影响分析</w:t>
                  </w:r>
                </w:p>
                <w:p w14:paraId="37041EDF">
                  <w:pPr>
                    <w:adjustRightInd w:val="0"/>
                    <w:snapToGrid w:val="0"/>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天然气事故状态下，通过采取相应的风险防范措施和建立突发事故应急预案后，发生事故的概率较低，事故的影响也能降至可接受水平。</w:t>
                  </w:r>
                </w:p>
                <w:p w14:paraId="57FC0B89">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）污水处理设施出现故障</w:t>
                  </w:r>
                </w:p>
                <w:p w14:paraId="77EE4A0E">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本项目营运期生产废水产生浓度较高，经厂区污水处理站后进入市政污水管网，在污水处理站运行正常的情况下，项目废水可实现达标排放。但在运行过程中，若发生事故（停电等）、检修、超负荷溢流以及操作不当等，将导致污水处理站不能正常运行，可能造成废水外排，从而对地表水环境造成影响。</w:t>
                  </w:r>
                </w:p>
                <w:p w14:paraId="179EF53B">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）污水处理设施废水渗漏</w:t>
                  </w:r>
                </w:p>
                <w:p w14:paraId="66907F2E">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非正常工况下，若污水处理站底部发生破裂，防渗系统被破坏，废水发生短时间泄露造成污染物下渗，将会对土壤及地下水环境造成污染。</w:t>
                  </w:r>
                </w:p>
                <w:p w14:paraId="5ECDC3EB">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（5）原料、产品泄漏</w:t>
                  </w:r>
                </w:p>
                <w:p w14:paraId="2C1D829F">
                  <w:pPr>
                    <w:adjustRightInd w:val="0"/>
                    <w:snapToGrid w:val="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项目薄荷醇溶液</w:t>
                  </w:r>
                  <w:r>
                    <w:rPr>
                      <w:color w:val="000000" w:themeColor="text1"/>
                      <w:szCs w:val="21"/>
                      <w14:textFill>
                        <w14:solidFill>
                          <w14:schemeClr w14:val="tx1"/>
                        </w14:solidFill>
                      </w14:textFill>
                    </w:rPr>
                    <w:t>等原料以及产品储存和使用</w:t>
                  </w:r>
                  <w:r>
                    <w:rPr>
                      <w:rFonts w:hint="eastAsia"/>
                      <w:color w:val="000000" w:themeColor="text1"/>
                      <w:szCs w:val="21"/>
                      <w14:textFill>
                        <w14:solidFill>
                          <w14:schemeClr w14:val="tx1"/>
                        </w14:solidFill>
                      </w14:textFill>
                    </w:rPr>
                    <w:t>，如果泄漏会对地表水、地下水产生影响。</w:t>
                  </w:r>
                </w:p>
              </w:tc>
            </w:tr>
            <w:tr w14:paraId="40222A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1085" w:type="pct"/>
                  <w:vAlign w:val="center"/>
                </w:tcPr>
                <w:p w14:paraId="3B961732">
                  <w:pPr>
                    <w:jc w:val="center"/>
                    <w:rPr>
                      <w:color w:val="000000" w:themeColor="text1"/>
                      <w:szCs w:val="21"/>
                      <w14:textFill>
                        <w14:solidFill>
                          <w14:schemeClr w14:val="tx1"/>
                        </w14:solidFill>
                      </w14:textFill>
                    </w:rPr>
                  </w:pPr>
                  <w:r>
                    <w:rPr>
                      <w:color w:val="000000" w:themeColor="text1"/>
                      <w:spacing w:val="8"/>
                      <w:szCs w:val="21"/>
                      <w14:textFill>
                        <w14:solidFill>
                          <w14:schemeClr w14:val="tx1"/>
                        </w14:solidFill>
                      </w14:textFill>
                    </w:rPr>
                    <w:t>风险防范措施</w:t>
                  </w:r>
                  <w:r>
                    <w:rPr>
                      <w:color w:val="000000" w:themeColor="text1"/>
                      <w:spacing w:val="7"/>
                      <w:szCs w:val="21"/>
                      <w14:textFill>
                        <w14:solidFill>
                          <w14:schemeClr w14:val="tx1"/>
                        </w14:solidFill>
                      </w14:textFill>
                    </w:rPr>
                    <w:t>及要求</w:t>
                  </w:r>
                </w:p>
              </w:tc>
              <w:tc>
                <w:tcPr>
                  <w:tcW w:w="3914" w:type="pct"/>
                  <w:gridSpan w:val="4"/>
                  <w:vAlign w:val="center"/>
                </w:tcPr>
                <w:p w14:paraId="5EB631EC">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1</w:t>
                  </w:r>
                  <w:r>
                    <w:rPr>
                      <w:rFonts w:hint="eastAsia" w:ascii="宋体" w:hAnsi="宋体" w:cs="宋体"/>
                      <w:color w:val="000000" w:themeColor="text1"/>
                      <w:kern w:val="0"/>
                      <w:szCs w:val="21"/>
                      <w14:textFill>
                        <w14:solidFill>
                          <w14:schemeClr w14:val="tx1"/>
                        </w14:solidFill>
                      </w14:textFill>
                    </w:rPr>
                    <w:t xml:space="preserve">）总图布置和建筑安全防范措施 </w:t>
                  </w:r>
                </w:p>
                <w:p w14:paraId="0CD32007">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①厂区配备灭火器材、安全消防通道等。各建筑物的室内消防，除按有关规定设置消火栓给水系统外，还按《建筑灭火器配置设计规范》</w:t>
                  </w:r>
                  <w:r>
                    <w:rPr>
                      <w:color w:val="000000" w:themeColor="text1"/>
                      <w:kern w:val="0"/>
                      <w:szCs w:val="21"/>
                      <w14:textFill>
                        <w14:solidFill>
                          <w14:schemeClr w14:val="tx1"/>
                        </w14:solidFill>
                      </w14:textFill>
                    </w:rPr>
                    <w:t xml:space="preserve">GB50140-2005 </w:t>
                  </w:r>
                  <w:r>
                    <w:rPr>
                      <w:rFonts w:hint="eastAsia" w:ascii="宋体" w:hAnsi="宋体" w:cs="宋体"/>
                      <w:color w:val="000000" w:themeColor="text1"/>
                      <w:kern w:val="0"/>
                      <w:szCs w:val="21"/>
                      <w14:textFill>
                        <w14:solidFill>
                          <w14:schemeClr w14:val="tx1"/>
                        </w14:solidFill>
                      </w14:textFill>
                    </w:rPr>
                    <w:t>的要求，配置规定数量的</w:t>
                  </w:r>
                  <w:r>
                    <w:rPr>
                      <w:color w:val="000000" w:themeColor="text1"/>
                      <w:kern w:val="0"/>
                      <w:szCs w:val="21"/>
                      <w14:textFill>
                        <w14:solidFill>
                          <w14:schemeClr w14:val="tx1"/>
                        </w14:solidFill>
                      </w14:textFill>
                    </w:rPr>
                    <w:t>ABC</w:t>
                  </w:r>
                  <w:r>
                    <w:rPr>
                      <w:rFonts w:hint="eastAsia" w:ascii="宋体" w:hAnsi="宋体" w:cs="宋体"/>
                      <w:color w:val="000000" w:themeColor="text1"/>
                      <w:kern w:val="0"/>
                      <w:szCs w:val="21"/>
                      <w14:textFill>
                        <w14:solidFill>
                          <w14:schemeClr w14:val="tx1"/>
                        </w14:solidFill>
                      </w14:textFill>
                    </w:rPr>
                    <w:t xml:space="preserve">型手提式干粉灭火器。 </w:t>
                  </w:r>
                </w:p>
                <w:p w14:paraId="2974DA07">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②总平面布置应进行功能分区，分区内部和相互之间保持一定通道和间距；设施的布置应保证生产人员安全操作及疏散方便；建、构筑物之间的防火间距应符合</w:t>
                  </w:r>
                  <w:r>
                    <w:rPr>
                      <w:color w:val="000000" w:themeColor="text1"/>
                      <w:kern w:val="0"/>
                      <w:szCs w:val="21"/>
                      <w14:textFill>
                        <w14:solidFill>
                          <w14:schemeClr w14:val="tx1"/>
                        </w14:solidFill>
                      </w14:textFill>
                    </w:rPr>
                    <w:t>GBJ16-87</w:t>
                  </w:r>
                  <w:r>
                    <w:rPr>
                      <w:rFonts w:hint="eastAsia" w:ascii="宋体" w:hAnsi="宋体" w:cs="宋体"/>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2001</w:t>
                  </w:r>
                  <w:r>
                    <w:rPr>
                      <w:rFonts w:hint="eastAsia" w:ascii="宋体" w:hAnsi="宋体" w:cs="宋体"/>
                      <w:color w:val="000000" w:themeColor="text1"/>
                      <w:kern w:val="0"/>
                      <w:szCs w:val="21"/>
                      <w14:textFill>
                        <w14:solidFill>
                          <w14:schemeClr w14:val="tx1"/>
                        </w14:solidFill>
                      </w14:textFill>
                    </w:rPr>
                    <w:t>年版）的有关规定；无电力线路跨越装置区。</w:t>
                  </w:r>
                </w:p>
                <w:p w14:paraId="19C50069">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③项目建设有废水处理站，事故废水可依托废水处理站调节池。</w:t>
                  </w:r>
                </w:p>
                <w:p w14:paraId="48D3BCDE">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④严格落实厂区分区防渗和雨污分流排水体制；对危废暂存间、综合仓库（酸洗清洗剂储存区）、废水处理设施区、排水管线、事故应急池、初期雨水收集池等采取重点防渗处理；液体原料分类存放，硝酸溶液储罐储存，暂存区设置围堰和导排流管道，连接事故收集池；物料暂存区域安装应急喷淋稀释装置。按照环评及设计方案规范建设初期雨水、废水收集处理设施和防泄漏收集沟槽、事故收集池、应急切断阀门等各类环境风险防控设施；厂区污水、雨水排口分别设置应急切断截留阀门等末端事故缓冲设施等。</w:t>
                  </w:r>
                </w:p>
                <w:p w14:paraId="53113DAF">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在事故状态下，为防止消防废水等从雨排口或清下水排口直接排出，在排水管网全部设置切断装置，必要时立即切断所有排水管网，严防未经处理的事故废水排入区域地表水体。</w:t>
                  </w:r>
                </w:p>
                <w:p w14:paraId="6822A8A7">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项目在主要生产场所及储存区设置水泥硬化地面等防透漏措施，及时收集泄漏物质，防止物质对地下水和土壤的污染。</w:t>
                  </w:r>
                </w:p>
                <w:p w14:paraId="2158FE66">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（2）工艺、设备及自动控制安全防范措施</w:t>
                  </w:r>
                </w:p>
                <w:p w14:paraId="5269CD0E">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设计中应选用安全可靠的工艺技术、设备，设备材质、选型应与物料特点、工艺参数相匹配；阀门、管件、接头等应选取定点生产厂家的优质产品，保证装置长期安全稳定运行。使项目投产后的安全性有可靠保证。</w:t>
                  </w:r>
                </w:p>
                <w:p w14:paraId="226F4AFF">
                  <w:pPr>
                    <w:tabs>
                      <w:tab w:val="left" w:pos="1081"/>
                    </w:tabs>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 xml:space="preserve">（3）消防及故障报警系统 </w:t>
                  </w:r>
                </w:p>
                <w:p w14:paraId="2024D086">
                  <w:pPr>
                    <w:tabs>
                      <w:tab w:val="left" w:pos="1081"/>
                    </w:tabs>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①厂区消防设计应严格遵循《建筑设计防火规范》（GB50016-20</w:t>
                  </w:r>
                  <w:r>
                    <w:rPr>
                      <w:rFonts w:hint="eastAsia"/>
                      <w:color w:val="000000" w:themeColor="text1"/>
                      <w:szCs w:val="21"/>
                      <w:lang w:val="en-US" w:eastAsia="zh-CN"/>
                      <w14:textFill>
                        <w14:solidFill>
                          <w14:schemeClr w14:val="tx1"/>
                        </w14:solidFill>
                      </w14:textFill>
                    </w:rPr>
                    <w:t>14</w:t>
                  </w:r>
                  <w:r>
                    <w:rPr>
                      <w:color w:val="000000" w:themeColor="text1"/>
                      <w:szCs w:val="21"/>
                      <w14:textFill>
                        <w14:solidFill>
                          <w14:schemeClr w14:val="tx1"/>
                        </w14:solidFill>
                      </w14:textFill>
                    </w:rPr>
                    <w:t>）、《建筑灭火器配置设计规范》（GB50140-2005）。</w:t>
                  </w:r>
                </w:p>
                <w:p w14:paraId="1C30FA62">
                  <w:pPr>
                    <w:tabs>
                      <w:tab w:val="left" w:pos="1081"/>
                    </w:tabs>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 xml:space="preserve">②生产装置区、储存区除设置固定式、半固定式灭火设施外，还应设置小型灭火器材。甲乙类厂房、储存区、变电所等重要及有火灾危险场所应设智能干烟探测器。  </w:t>
                  </w:r>
                </w:p>
                <w:p w14:paraId="4D984469">
                  <w:pPr>
                    <w:tabs>
                      <w:tab w:val="left" w:pos="1081"/>
                    </w:tabs>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③生产装置、储存装置应设置火灾自动报警和消防灭火设施。加强储酒区安全管理，严禁吸烟和动用明火，按照消防设施安全规范，加强对明火安全的管理，防止铁器撞击，防止产生静电火花，罐区电气设备、锅炉设备要符合防火防爆要求等，具体应做好：在醒目位置设立“严禁烟火”、“禁火区”等警戒标语和标牌。禁止任何人携带火种（如打火机、烟头等）和易产生碰撞火花的钉鞋器具等进入区域内。</w:t>
                  </w:r>
                </w:p>
                <w:p w14:paraId="26DC301D">
                  <w:pPr>
                    <w:tabs>
                      <w:tab w:val="left" w:pos="1081"/>
                    </w:tabs>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④对危险场所的消防设施应进行定期检查，确保消防设施始终处于完好状态。应采取消防联动措施，当火灾确认后，能自动/手动启动消防泵等设备。</w:t>
                  </w:r>
                </w:p>
                <w:p w14:paraId="5F585EB8">
                  <w:pPr>
                    <w:adjustRightInd w:val="0"/>
                    <w:snapToGrid w:val="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（4）污水处理站事故风险防范措施</w:t>
                  </w:r>
                </w:p>
                <w:p w14:paraId="400DA56C">
                  <w:pPr>
                    <w:adjustRightInd w:val="0"/>
                    <w:snapToGrid w:val="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在运行过程中，若发生事故（停电等）、检修、超负荷溢流以及</w:t>
                  </w:r>
                  <w:r>
                    <w:rPr>
                      <w:rFonts w:hint="eastAsia"/>
                      <w:color w:val="000000" w:themeColor="text1"/>
                      <w:kern w:val="0"/>
                      <w:szCs w:val="21"/>
                      <w:lang w:eastAsia="zh-CN"/>
                      <w14:textFill>
                        <w14:solidFill>
                          <w14:schemeClr w14:val="tx1"/>
                        </w14:solidFill>
                      </w14:textFill>
                    </w:rPr>
                    <w:t>操作不当等</w:t>
                  </w:r>
                  <w:r>
                    <w:rPr>
                      <w:color w:val="000000" w:themeColor="text1"/>
                      <w:kern w:val="0"/>
                      <w:szCs w:val="21"/>
                      <w14:textFill>
                        <w14:solidFill>
                          <w14:schemeClr w14:val="tx1"/>
                        </w14:solidFill>
                      </w14:textFill>
                    </w:rPr>
                    <w:t>，将导致污水处理设施不能正常运行，可能造成废水外排，从而对地表水体造成影响。为防范废水事故排放，评价提出以下防范措施：</w:t>
                  </w:r>
                </w:p>
                <w:p w14:paraId="7442DF4C">
                  <w:pPr>
                    <w:adjustRightInd w:val="0"/>
                    <w:snapToGrid w:val="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①易发生故障的设备（泵类）配套备用设备，并对备用设备进行定期检查。</w:t>
                  </w:r>
                </w:p>
                <w:p w14:paraId="04CB5D25">
                  <w:pPr>
                    <w:adjustRightInd w:val="0"/>
                    <w:snapToGrid w:val="0"/>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②参考《水体污染防控紧急措施设计导则》，事故储存设施总有效容积计算公式为： </w:t>
                  </w:r>
                </w:p>
                <w:p w14:paraId="236B907F">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V总=（V1+V2-V3）</w:t>
                  </w:r>
                  <w:r>
                    <w:rPr>
                      <w:color w:val="000000" w:themeColor="text1"/>
                      <w:kern w:val="0"/>
                      <w:szCs w:val="21"/>
                      <w:vertAlign w:val="subscript"/>
                      <w14:textFill>
                        <w14:solidFill>
                          <w14:schemeClr w14:val="tx1"/>
                        </w14:solidFill>
                      </w14:textFill>
                    </w:rPr>
                    <w:t>max</w:t>
                  </w:r>
                  <w:r>
                    <w:rPr>
                      <w:color w:val="000000" w:themeColor="text1"/>
                      <w:kern w:val="0"/>
                      <w:szCs w:val="21"/>
                      <w14:textFill>
                        <w14:solidFill>
                          <w14:schemeClr w14:val="tx1"/>
                        </w14:solidFill>
                      </w14:textFill>
                    </w:rPr>
                    <w:t>+V4+V5</w:t>
                  </w:r>
                </w:p>
                <w:p w14:paraId="796AA226">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式中：V1—收集系统范围内发生事故的一个罐组或一套装置的物料量m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（储存相同物料的罐组按一个最大储罐计，装置物料量按存留最大物料量的一台反应器或中间储罐计）；本项目液体物料最大物料储存量为</w:t>
                  </w:r>
                  <w:r>
                    <w:rPr>
                      <w:rFonts w:hint="eastAsia"/>
                      <w:color w:val="000000" w:themeColor="text1"/>
                      <w:kern w:val="0"/>
                      <w:szCs w:val="21"/>
                      <w14:textFill>
                        <w14:solidFill>
                          <w14:schemeClr w14:val="tx1"/>
                        </w14:solidFill>
                      </w14:textFill>
                    </w:rPr>
                    <w:t>60</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5EDA5AE1">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V2—发生事故的储罐或装置的消防水量，m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289F4A79">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V2=∑Q</w:t>
                  </w:r>
                  <w:r>
                    <w:rPr>
                      <w:color w:val="000000" w:themeColor="text1"/>
                      <w:kern w:val="0"/>
                      <w:szCs w:val="21"/>
                      <w:vertAlign w:val="subscript"/>
                      <w14:textFill>
                        <w14:solidFill>
                          <w14:schemeClr w14:val="tx1"/>
                        </w14:solidFill>
                      </w14:textFill>
                    </w:rPr>
                    <w:t>消</w:t>
                  </w:r>
                  <w:r>
                    <w:rPr>
                      <w:color w:val="000000" w:themeColor="text1"/>
                      <w:kern w:val="0"/>
                      <w:szCs w:val="21"/>
                      <w14:textFill>
                        <w14:solidFill>
                          <w14:schemeClr w14:val="tx1"/>
                        </w14:solidFill>
                      </w14:textFill>
                    </w:rPr>
                    <w:t>t</w:t>
                  </w:r>
                  <w:r>
                    <w:rPr>
                      <w:color w:val="000000" w:themeColor="text1"/>
                      <w:kern w:val="0"/>
                      <w:szCs w:val="21"/>
                      <w:vertAlign w:val="subscript"/>
                      <w14:textFill>
                        <w14:solidFill>
                          <w14:schemeClr w14:val="tx1"/>
                        </w14:solidFill>
                      </w14:textFill>
                    </w:rPr>
                    <w:t>消</w:t>
                  </w:r>
                </w:p>
                <w:p w14:paraId="7AF76BD2">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Q 消—发生事故时的储罐或装置同时使用的消防设施给水流量，m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/h；综合考虑灭火喷淋消防给水量，取10L/s；</w:t>
                  </w:r>
                </w:p>
                <w:p w14:paraId="6242C101">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t消—消防设施对应的设计消防历时（h），取2.0h；</w:t>
                  </w:r>
                </w:p>
                <w:p w14:paraId="6DDF5D77">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经计算，消防用水量为72m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4AFA953B">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V3—发生事故时可以转输到其他设施的物料量，m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；不考虑，V3为0。</w:t>
                  </w:r>
                </w:p>
                <w:p w14:paraId="7FEE4479">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V4—发生事故时仍必须进入该收集系统的生产废水量，m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按项目一个周期事故停车计最大一次事故污水量。根据《化学工业污水处理与回用设计规范》，“污水处理场宜设非正常情况下超过进水指标的事故污水储存池，储存池容积可按8h~12h平均时流量计。”按照污水处理站12h最大废水量计，取</w:t>
                  </w:r>
                  <w:r>
                    <w:rPr>
                      <w:rFonts w:hint="eastAsia"/>
                      <w:color w:val="000000" w:themeColor="text1"/>
                      <w:kern w:val="0"/>
                      <w:szCs w:val="21"/>
                      <w14:textFill>
                        <w14:solidFill>
                          <w14:schemeClr w14:val="tx1"/>
                        </w14:solidFill>
                      </w14:textFill>
                    </w:rPr>
                    <w:t>20.789</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26DC8761">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V5—发生事故时可能进入该收集系统的降雨量，m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0F29B252">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项目所在地设计暴雨强度： </w:t>
                  </w:r>
                </w:p>
                <w:p w14:paraId="026CA972">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anchor distT="0" distB="0" distL="0" distR="0" simplePos="0" relativeHeight="251677696" behindDoc="0" locked="0" layoutInCell="1" allowOverlap="1">
                        <wp:simplePos x="0" y="0"/>
                        <wp:positionH relativeFrom="column">
                          <wp:posOffset>1848485</wp:posOffset>
                        </wp:positionH>
                        <wp:positionV relativeFrom="paragraph">
                          <wp:posOffset>41910</wp:posOffset>
                        </wp:positionV>
                        <wp:extent cx="1530350" cy="311150"/>
                        <wp:effectExtent l="0" t="0" r="12700" b="13335"/>
                        <wp:wrapTopAndBottom/>
                        <wp:docPr id="28" name="图片 6"/>
                        <wp:cNvGraphicFramePr/>
                        <a:graphic xmlns:a="http://schemas.openxmlformats.org/drawingml/2006/main">
                          <a:graphicData uri="http://schemas.openxmlformats.org/drawingml/2006/picture">
                            <pic:pic xmlns:pic="http://schemas.openxmlformats.org/drawingml/2006/picture">
                              <pic:nvPicPr>
                                <pic:cNvPr id="28" name="图片 6"/>
                                <pic:cNvPicPr/>
                              </pic:nvPicPr>
                              <pic:blipFill>
                                <a:blip r:embed="rId57" cstate="print"/>
                                <a:srcRect/>
                                <a:stretch>
                                  <a:fillRect/>
                                </a:stretch>
                              </pic:blipFill>
                              <pic:spPr>
                                <a:xfrm>
                                  <a:off x="0" y="0"/>
                                  <a:ext cx="1530350" cy="311150"/>
                                </a:xfrm>
                                <a:prstGeom prst="rect">
                                  <a:avLst/>
                                </a:prstGeom>
                                <a:ln>
                                  <a:noFill/>
                                </a:ln>
                              </pic:spPr>
                            </pic:pic>
                          </a:graphicData>
                        </a:graphic>
                      </wp:anchor>
                    </w:drawing>
                  </w:r>
                  <w:r>
                    <w:rPr>
                      <w:color w:val="000000" w:themeColor="text1"/>
                      <w:kern w:val="0"/>
                      <w:szCs w:val="21"/>
                      <w14:textFill>
                        <w14:solidFill>
                          <w14:schemeClr w14:val="tx1"/>
                        </w14:solidFill>
                      </w14:textFill>
                    </w:rPr>
                    <w:t>q—设计暴雨强度（L/s•公顷）；</w:t>
                  </w:r>
                </w:p>
                <w:p w14:paraId="52F4E0CB">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P—重现期（年），取2年；</w:t>
                  </w:r>
                </w:p>
                <w:p w14:paraId="2F37A7CC">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t—降雨历时，取15min；</w:t>
                  </w:r>
                </w:p>
                <w:p w14:paraId="73BDA68A">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经计算，暴雨强度为237.32L/s•公顷；结合项目平面布置图，项目初期雨水收集面积约为</w:t>
                  </w:r>
                  <w:r>
                    <w:rPr>
                      <w:rFonts w:hint="eastAsia"/>
                      <w:color w:val="000000" w:themeColor="text1"/>
                      <w:kern w:val="0"/>
                      <w:szCs w:val="21"/>
                      <w14:textFill>
                        <w14:solidFill>
                          <w14:schemeClr w14:val="tx1"/>
                        </w14:solidFill>
                      </w14:textFill>
                    </w:rPr>
                    <w:t>15471</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2</w:t>
                  </w:r>
                  <w:r>
                    <w:rPr>
                      <w:color w:val="000000" w:themeColor="text1"/>
                      <w:kern w:val="0"/>
                      <w:szCs w:val="21"/>
                      <w14:textFill>
                        <w14:solidFill>
                          <w14:schemeClr w14:val="tx1"/>
                        </w14:solidFill>
                      </w14:textFill>
                    </w:rPr>
                    <w:t>，径流系数取0.9，则V5为</w:t>
                  </w:r>
                  <w:r>
                    <w:rPr>
                      <w:rFonts w:hint="eastAsia"/>
                      <w:color w:val="000000" w:themeColor="text1"/>
                      <w:kern w:val="0"/>
                      <w:szCs w:val="21"/>
                      <w14:textFill>
                        <w14:solidFill>
                          <w14:schemeClr w14:val="tx1"/>
                        </w14:solidFill>
                      </w14:textFill>
                    </w:rPr>
                    <w:t>297.398</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2885A653">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所需事故池容积为：V总=（</w:t>
                  </w:r>
                  <w:r>
                    <w:rPr>
                      <w:rFonts w:hint="eastAsia"/>
                      <w:color w:val="000000" w:themeColor="text1"/>
                      <w:kern w:val="0"/>
                      <w:szCs w:val="21"/>
                      <w14:textFill>
                        <w14:solidFill>
                          <w14:schemeClr w14:val="tx1"/>
                        </w14:solidFill>
                      </w14:textFill>
                    </w:rPr>
                    <w:t>60</w:t>
                  </w:r>
                  <w:r>
                    <w:rPr>
                      <w:color w:val="000000" w:themeColor="text1"/>
                      <w:kern w:val="0"/>
                      <w:szCs w:val="21"/>
                      <w14:textFill>
                        <w14:solidFill>
                          <w14:schemeClr w14:val="tx1"/>
                        </w14:solidFill>
                      </w14:textFill>
                    </w:rPr>
                    <w:t>+72-0）+</w:t>
                  </w:r>
                  <w:r>
                    <w:rPr>
                      <w:rFonts w:hint="eastAsia"/>
                      <w:color w:val="000000" w:themeColor="text1"/>
                      <w:kern w:val="0"/>
                      <w:szCs w:val="21"/>
                      <w14:textFill>
                        <w14:solidFill>
                          <w14:schemeClr w14:val="tx1"/>
                        </w14:solidFill>
                      </w14:textFill>
                    </w:rPr>
                    <w:t>20.789</w:t>
                  </w:r>
                  <w:r>
                    <w:rPr>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297.398</w:t>
                  </w:r>
                  <w:r>
                    <w:rPr>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450.1877</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。项目设计1座</w:t>
                  </w:r>
                  <w:r>
                    <w:rPr>
                      <w:rFonts w:hint="eastAsia"/>
                      <w:color w:val="000000" w:themeColor="text1"/>
                      <w:kern w:val="0"/>
                      <w:szCs w:val="21"/>
                      <w14:textFill>
                        <w14:solidFill>
                          <w14:schemeClr w14:val="tx1"/>
                        </w14:solidFill>
                      </w14:textFill>
                    </w:rPr>
                    <w:t>5</w:t>
                  </w:r>
                  <w:r>
                    <w:rPr>
                      <w:color w:val="000000" w:themeColor="text1"/>
                      <w:kern w:val="0"/>
                      <w:szCs w:val="21"/>
                      <w14:textFill>
                        <w14:solidFill>
                          <w14:schemeClr w14:val="tx1"/>
                        </w14:solidFill>
                      </w14:textFill>
                    </w:rPr>
                    <w:t>00m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事故水池，事故池建设应按照《危险废物贮存污染控制标准》（GB18597-2023）中的相关要求做好防渗措施；生产车间和污水站应设置收集槽，以保证事故发生时，废水能够收集到事故池内。</w:t>
                  </w:r>
                </w:p>
                <w:p w14:paraId="1402351E">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当事故发生启用消防水系统时，应打开消防水导排系统，将消防废水引入事故池，将被污染的消防废水控制在厂区内。待事故结束后检测其水质，并咨询有关专家意见，将废水在厂区内收集处理，处理达标后再排入污水处理厂处理。</w:t>
                  </w:r>
                </w:p>
                <w:p w14:paraId="2DE5F7C3">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③污水处理设施制定严格的操作规范和管理制度，工作人员上岗前进行职业技能培训。</w:t>
                  </w:r>
                </w:p>
                <w:p w14:paraId="0079A068">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7.4.2风险应急要求</w:t>
                  </w:r>
                </w:p>
                <w:p w14:paraId="0C55F367">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（1）最早发现者应迅速报警。接警后迅速组织撤离泄漏污染区人员至安全区，并进行隔离，严格限制出入。切断火源、电源，并迅速通知应急救援中心采取相应救援措施。</w:t>
                  </w:r>
                </w:p>
                <w:p w14:paraId="4DDB1A6A">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2）值班人员应尽可能的查明泄漏点、佩戴空气呼吸器、穿防毒服，进入现场采取堵漏措施，尽可能的降低事故程度。防止流入下水道、防洪沟等限制性空间。应急救援组和专业救援队伍到现场后，工作人员尽可能详细的向他们汇报现场情况。</w:t>
                  </w:r>
                </w:p>
                <w:p w14:paraId="24F212E2">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（3）若发生小量泄漏：用消防砂或其他惰性材料吸收。</w:t>
                  </w:r>
                </w:p>
                <w:p w14:paraId="7ECB34D0">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（4）若泄漏量大时，用泡沫覆盖，降低蒸汽灾害。喷雾状水或泡沫冷却和稀释蒸汽，保护现场人员。</w:t>
                  </w:r>
                </w:p>
                <w:p w14:paraId="69220665">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（5）事故不可控时，启动公司应急救援预案，本环评要求企业定期进行事故演练。</w:t>
                  </w:r>
                </w:p>
                <w:p w14:paraId="4246F2E9">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（6）禁止使用金属器具敲打所泄漏管线和设备，避免二次事故的发生。</w:t>
                  </w:r>
                </w:p>
                <w:p w14:paraId="5FBDAA22">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（7）现场禁止吸烟，进食饮水。工作完毕后，沐浴更衣。</w:t>
                  </w:r>
                </w:p>
              </w:tc>
            </w:tr>
            <w:tr w14:paraId="02CF13A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4" w:hRule="atLeast"/>
                <w:jc w:val="center"/>
              </w:trPr>
              <w:tc>
                <w:tcPr>
                  <w:tcW w:w="5000" w:type="pct"/>
                  <w:gridSpan w:val="5"/>
                  <w:vAlign w:val="center"/>
                </w:tcPr>
                <w:p w14:paraId="328224DD">
                  <w:pPr>
                    <w:jc w:val="both"/>
                    <w:rPr>
                      <w:color w:val="000000" w:themeColor="text1"/>
                      <w:spacing w:val="14"/>
                      <w:szCs w:val="21"/>
                      <w14:textFill>
                        <w14:solidFill>
                          <w14:schemeClr w14:val="tx1"/>
                        </w14:solidFill>
                      </w14:textFill>
                    </w:rPr>
                  </w:pPr>
                  <w:r>
                    <w:rPr>
                      <w:color w:val="000000" w:themeColor="text1"/>
                      <w:spacing w:val="16"/>
                      <w:szCs w:val="21"/>
                      <w14:textFill>
                        <w14:solidFill>
                          <w14:schemeClr w14:val="tx1"/>
                        </w14:solidFill>
                      </w14:textFill>
                    </w:rPr>
                    <w:t>填表</w:t>
                  </w:r>
                  <w:r>
                    <w:rPr>
                      <w:color w:val="000000" w:themeColor="text1"/>
                      <w:spacing w:val="9"/>
                      <w:szCs w:val="21"/>
                      <w14:textFill>
                        <w14:solidFill>
                          <w14:schemeClr w14:val="tx1"/>
                        </w14:solidFill>
                      </w14:textFill>
                    </w:rPr>
                    <w:t>说</w:t>
                  </w:r>
                  <w:r>
                    <w:rPr>
                      <w:color w:val="000000" w:themeColor="text1"/>
                      <w:spacing w:val="8"/>
                      <w:szCs w:val="21"/>
                      <w14:textFill>
                        <w14:solidFill>
                          <w14:schemeClr w14:val="tx1"/>
                        </w14:solidFill>
                      </w14:textFill>
                    </w:rPr>
                    <w:t>明</w:t>
                  </w:r>
                  <w:r>
                    <w:rPr>
                      <w:rFonts w:hint="eastAsia"/>
                      <w:color w:val="000000" w:themeColor="text1"/>
                      <w:spacing w:val="8"/>
                      <w:szCs w:val="21"/>
                      <w:lang w:eastAsia="zh-CN"/>
                      <w14:textFill>
                        <w14:solidFill>
                          <w14:schemeClr w14:val="tx1"/>
                        </w14:solidFill>
                      </w14:textFill>
                    </w:rPr>
                    <w:t>（</w:t>
                  </w:r>
                  <w:r>
                    <w:rPr>
                      <w:color w:val="000000" w:themeColor="text1"/>
                      <w:spacing w:val="8"/>
                      <w:szCs w:val="21"/>
                      <w14:textFill>
                        <w14:solidFill>
                          <w14:schemeClr w14:val="tx1"/>
                        </w14:solidFill>
                      </w14:textFill>
                    </w:rPr>
                    <w:t>列出项目相关信息及评价说明</w:t>
                  </w:r>
                  <w:r>
                    <w:rPr>
                      <w:rFonts w:hint="eastAsia"/>
                      <w:color w:val="000000" w:themeColor="text1"/>
                      <w:spacing w:val="8"/>
                      <w:szCs w:val="21"/>
                      <w:lang w:eastAsia="zh-CN"/>
                      <w14:textFill>
                        <w14:solidFill>
                          <w14:schemeClr w14:val="tx1"/>
                        </w14:solidFill>
                      </w14:textFill>
                    </w:rPr>
                    <w:t>）</w:t>
                  </w:r>
                  <w:r>
                    <w:rPr>
                      <w:color w:val="000000" w:themeColor="text1"/>
                      <w:spacing w:val="8"/>
                      <w:szCs w:val="21"/>
                      <w14:textFill>
                        <w14:solidFill>
                          <w14:schemeClr w14:val="tx1"/>
                        </w14:solidFill>
                      </w14:textFill>
                    </w:rPr>
                    <w:t>：项目风险物质储量较小，风险物质毒性小。</w:t>
                  </w:r>
                  <w:r>
                    <w:rPr>
                      <w:color w:val="000000" w:themeColor="text1"/>
                      <w:spacing w:val="17"/>
                      <w:szCs w:val="21"/>
                      <w14:textFill>
                        <w14:solidFill>
                          <w14:schemeClr w14:val="tx1"/>
                        </w14:solidFill>
                      </w14:textFill>
                    </w:rPr>
                    <w:t>经</w:t>
                  </w:r>
                  <w:r>
                    <w:rPr>
                      <w:color w:val="000000" w:themeColor="text1"/>
                      <w:spacing w:val="9"/>
                      <w:szCs w:val="21"/>
                      <w14:textFill>
                        <w14:solidFill>
                          <w14:schemeClr w14:val="tx1"/>
                        </w14:solidFill>
                      </w14:textFill>
                    </w:rPr>
                    <w:t>采取风险防范措施后，项目风险可以接受</w:t>
                  </w:r>
                </w:p>
              </w:tc>
            </w:tr>
          </w:tbl>
          <w:p w14:paraId="4BE242ED">
            <w:pPr>
              <w:tabs>
                <w:tab w:val="left" w:pos="1081"/>
              </w:tabs>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8、环境管理和监测计划</w:t>
            </w:r>
          </w:p>
          <w:p w14:paraId="06F80FE8">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8.1环境管理</w:t>
            </w:r>
          </w:p>
          <w:p w14:paraId="58369E0B">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环境管理是协调发展经济与保护环境之间关系的重要手段，也是实现经济战略发展的重要环节之一，对环境保护工作起主导作用。企业环境管理是“全过程污染控制”的重要措施，它不仅是我国有关法规的规定，也是清洁生产的要求。本次工程环境管理主要内容如下：</w:t>
            </w:r>
          </w:p>
          <w:p w14:paraId="513DFD08">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（1）企业应根据《建设项目环境保护设计规定》，建立健全企业内部环境保护管理机构，完善环境保护管理制度，落实污染防治主体责任；</w:t>
            </w:r>
          </w:p>
          <w:p w14:paraId="7437555D">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（2）落实本次工程施工期及营运期污染防治措施，确保污染防治资金到位；</w:t>
            </w:r>
          </w:p>
          <w:p w14:paraId="6EE3BFCC">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（3）贯彻执行国家和地方各项环保方针、政策和法规，制定全厂环境保护制度，组织开展职工环保教育，提高职工的环保意识；完成政府部门下达的有关环保任务，配合当地生态环境部门的环境管理工作；</w:t>
            </w:r>
          </w:p>
          <w:p w14:paraId="04078B8D">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（4）不断完善企业环境保护管理制度，做好有关环保工作的资料收集、整理、记录、建档、宣传等工作；进行全厂的环保及环境监测数据的统计、分析，并建立相应的环保资料档案。</w:t>
            </w:r>
          </w:p>
          <w:p w14:paraId="6A1C0DB6">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（5）制定并加强污染治理设施操作规范和操作规程学习，建立污染源监测制度，按规定定期对污染源进行监测，保证处理效果达到设计要求，污染物稳定达标排放。</w:t>
            </w:r>
          </w:p>
          <w:p w14:paraId="355B326B">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（6）负责检查各污染治理设施运行情况，发现问题及时处理；并负责调查出现环境问题的缘由，协助有关部门解决问题，处理环境问题带来的纠纷等。</w:t>
            </w:r>
          </w:p>
          <w:p w14:paraId="72EA8D09">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（7）按照《建设项目竣工环境保护验收暂行办法》（国环规环评[2017]4号）的规定，完成本次工程竣工环保自主验收工作。按照《固定污染源排污许可登记工作指南（试行）》（环办环评函[2020]9号）和《排污许可</w:t>
            </w:r>
            <w:r>
              <w:rPr>
                <w:rFonts w:hint="eastAsia"/>
                <w:bCs/>
                <w:color w:val="000000" w:themeColor="text1"/>
                <w:sz w:val="24"/>
                <w:lang w:val="en-US" w:eastAsia="zh-CN"/>
                <w14:textFill>
                  <w14:solidFill>
                    <w14:schemeClr w14:val="tx1"/>
                  </w14:solidFill>
                </w14:textFill>
              </w:rPr>
              <w:t>证</w:t>
            </w:r>
            <w:r>
              <w:rPr>
                <w:bCs/>
                <w:color w:val="000000" w:themeColor="text1"/>
                <w:sz w:val="24"/>
                <w14:textFill>
                  <w14:solidFill>
                    <w14:schemeClr w14:val="tx1"/>
                  </w14:solidFill>
                </w14:textFill>
              </w:rPr>
              <w:t>申请与核发技术规范 总则》（HJ942-2018）的规定，自觉执行排污许可制度。按照《企业事业单位环境信息公开办法》（环境保护部部令第31号）的规定，定期公开企业环境信息。</w:t>
            </w:r>
          </w:p>
          <w:p w14:paraId="02B272FD">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8.2环境监测计划</w:t>
            </w:r>
          </w:p>
          <w:p w14:paraId="4D349F9E">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环境监测是环境管理的基础，并为企业制定污染防治对策和规划提供依据。根据本次工程污染物排放的实际情况和就近方便的原则，建议本项目环境监测工作委托有资质的环境监测机构完成。主要任务如下：</w:t>
            </w:r>
          </w:p>
          <w:p w14:paraId="68499EF4">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（1）定期监测建设项目排放的污染物是否符合国家所规定的排放标准；</w:t>
            </w:r>
          </w:p>
          <w:p w14:paraId="003712CB">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（2）分析污染物排放变化规律，为制定污染控制措施提供依据；</w:t>
            </w:r>
          </w:p>
          <w:p w14:paraId="0730E8D7">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（3）负责污染事故的监测及报告；</w:t>
            </w:r>
          </w:p>
          <w:p w14:paraId="02D6C967">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（4）环境监测对象主要为污染源监测。</w:t>
            </w:r>
          </w:p>
          <w:p w14:paraId="6BE37CDA">
            <w:pPr>
              <w:tabs>
                <w:tab w:val="left" w:pos="1081"/>
              </w:tabs>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 xml:space="preserve">根据《排污单位自行监测技术指南 </w:t>
            </w:r>
            <w:r>
              <w:rPr>
                <w:rFonts w:hint="eastAsia"/>
                <w:bCs/>
                <w:color w:val="000000" w:themeColor="text1"/>
                <w:sz w:val="24"/>
                <w14:textFill>
                  <w14:solidFill>
                    <w14:schemeClr w14:val="tx1"/>
                  </w14:solidFill>
                </w14:textFill>
              </w:rPr>
              <w:t>酒、饮料制造</w:t>
            </w:r>
            <w:r>
              <w:rPr>
                <w:bCs/>
                <w:color w:val="000000" w:themeColor="text1"/>
                <w:sz w:val="24"/>
                <w14:textFill>
                  <w14:solidFill>
                    <w14:schemeClr w14:val="tx1"/>
                  </w14:solidFill>
                </w14:textFill>
              </w:rPr>
              <w:t>》（HJ</w:t>
            </w:r>
            <w:r>
              <w:rPr>
                <w:rFonts w:hint="eastAsia"/>
                <w:bCs/>
                <w:color w:val="000000" w:themeColor="text1"/>
                <w:sz w:val="24"/>
                <w14:textFill>
                  <w14:solidFill>
                    <w14:schemeClr w14:val="tx1"/>
                  </w14:solidFill>
                </w14:textFill>
              </w:rPr>
              <w:t>1085</w:t>
            </w:r>
            <w:r>
              <w:rPr>
                <w:bCs/>
                <w:color w:val="000000" w:themeColor="text1"/>
                <w:sz w:val="24"/>
                <w14:textFill>
                  <w14:solidFill>
                    <w14:schemeClr w14:val="tx1"/>
                  </w14:solidFill>
                </w14:textFill>
              </w:rPr>
              <w:t>-20</w:t>
            </w:r>
            <w:r>
              <w:rPr>
                <w:rFonts w:hint="eastAsia"/>
                <w:bCs/>
                <w:color w:val="000000" w:themeColor="text1"/>
                <w:sz w:val="24"/>
                <w14:textFill>
                  <w14:solidFill>
                    <w14:schemeClr w14:val="tx1"/>
                  </w14:solidFill>
                </w14:textFill>
              </w:rPr>
              <w:t>20</w:t>
            </w:r>
            <w:r>
              <w:rPr>
                <w:bCs/>
                <w:color w:val="000000" w:themeColor="text1"/>
                <w:sz w:val="24"/>
                <w14:textFill>
                  <w14:solidFill>
                    <w14:schemeClr w14:val="tx1"/>
                  </w14:solidFill>
                </w14:textFill>
              </w:rPr>
              <w:t>）</w:t>
            </w:r>
            <w:r>
              <w:rPr>
                <w:rFonts w:hint="eastAsia"/>
                <w:bCs/>
                <w:color w:val="000000" w:themeColor="text1"/>
                <w:sz w:val="24"/>
                <w14:textFill>
                  <w14:solidFill>
                    <w14:schemeClr w14:val="tx1"/>
                  </w14:solidFill>
                </w14:textFill>
              </w:rPr>
              <w:t>、《排污许可证申请与核发技术规范 锅炉》（</w:t>
            </w:r>
            <w:r>
              <w:rPr>
                <w:bCs/>
                <w:color w:val="000000" w:themeColor="text1"/>
                <w:sz w:val="24"/>
                <w14:textFill>
                  <w14:solidFill>
                    <w14:schemeClr w14:val="tx1"/>
                  </w14:solidFill>
                </w14:textFill>
              </w:rPr>
              <w:t>HJ953-2018</w:t>
            </w:r>
            <w:r>
              <w:rPr>
                <w:rFonts w:hint="eastAsia"/>
                <w:bCs/>
                <w:color w:val="000000" w:themeColor="text1"/>
                <w:sz w:val="24"/>
                <w14:textFill>
                  <w14:solidFill>
                    <w14:schemeClr w14:val="tx1"/>
                  </w14:solidFill>
                </w14:textFill>
              </w:rPr>
              <w:t>）以及《排污单位自行监测技术指南 火力发电及锅炉》（</w:t>
            </w:r>
            <w:r>
              <w:rPr>
                <w:bCs/>
                <w:color w:val="000000" w:themeColor="text1"/>
                <w:sz w:val="24"/>
                <w14:textFill>
                  <w14:solidFill>
                    <w14:schemeClr w14:val="tx1"/>
                  </w14:solidFill>
                </w14:textFill>
              </w:rPr>
              <w:t>HJ820-2017</w:t>
            </w:r>
            <w:r>
              <w:rPr>
                <w:rFonts w:hint="eastAsia"/>
                <w:bCs/>
                <w:color w:val="000000" w:themeColor="text1"/>
                <w:sz w:val="24"/>
                <w14:textFill>
                  <w14:solidFill>
                    <w14:schemeClr w14:val="tx1"/>
                  </w14:solidFill>
                </w14:textFill>
              </w:rPr>
              <w:t>）</w:t>
            </w:r>
            <w:r>
              <w:rPr>
                <w:rStyle w:val="29"/>
                <w:color w:val="000000" w:themeColor="text1"/>
                <w:sz w:val="24"/>
                <w:u w:val="none"/>
                <w:shd w:val="clear" w:color="auto" w:fill="FFFFFF"/>
                <w14:textFill>
                  <w14:solidFill>
                    <w14:schemeClr w14:val="tx1"/>
                  </w14:solidFill>
                </w14:textFill>
              </w:rPr>
              <w:t>、《</w:t>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HYPERLINK "https://www.eiacloud.com/hpyzs/lawsRegulations/csSearchDetail?modelName=%E6%8E%92%E6%B1%A1%E5%90%8D%E5%BD%95&amp;id=f5cee331cb544f70bed9f7b8c91dc957" \t "https://www.eiacloud.com/hpyzs/category/_self" </w:instrText>
            </w:r>
            <w:r>
              <w:rPr>
                <w:color w:val="000000" w:themeColor="text1"/>
                <w14:textFill>
                  <w14:solidFill>
                    <w14:schemeClr w14:val="tx1"/>
                  </w14:solidFill>
                </w14:textFill>
              </w:rPr>
              <w:fldChar w:fldCharType="separate"/>
            </w:r>
            <w:r>
              <w:rPr>
                <w:rStyle w:val="29"/>
                <w:rFonts w:eastAsia="Helvetica"/>
                <w:color w:val="000000" w:themeColor="text1"/>
                <w:sz w:val="24"/>
                <w:u w:val="none"/>
                <w:shd w:val="clear" w:color="auto" w:fill="FFFFFF"/>
                <w14:textFill>
                  <w14:solidFill>
                    <w14:schemeClr w14:val="tx1"/>
                  </w14:solidFill>
                </w14:textFill>
              </w:rPr>
              <w:t>排污单位自行监测技术指南 酒、饮料制造</w:t>
            </w:r>
            <w:r>
              <w:rPr>
                <w:rStyle w:val="29"/>
                <w:color w:val="000000" w:themeColor="text1"/>
                <w:sz w:val="24"/>
                <w:u w:val="none"/>
                <w:shd w:val="clear" w:color="auto" w:fill="FFFFFF"/>
                <w14:textFill>
                  <w14:solidFill>
                    <w14:schemeClr w14:val="tx1"/>
                  </w14:solidFill>
                </w14:textFill>
              </w:rPr>
              <w:t>》（</w:t>
            </w:r>
            <w:r>
              <w:rPr>
                <w:rStyle w:val="29"/>
                <w:rFonts w:eastAsia="Helvetica"/>
                <w:color w:val="000000" w:themeColor="text1"/>
                <w:sz w:val="24"/>
                <w:u w:val="none"/>
                <w:shd w:val="clear" w:color="auto" w:fill="FFFFFF"/>
                <w14:textFill>
                  <w14:solidFill>
                    <w14:schemeClr w14:val="tx1"/>
                  </w14:solidFill>
                </w14:textFill>
              </w:rPr>
              <w:t>HJ1085-2020</w:t>
            </w:r>
            <w:r>
              <w:rPr>
                <w:rStyle w:val="29"/>
                <w:rFonts w:eastAsia="Helvetica"/>
                <w:color w:val="000000" w:themeColor="text1"/>
                <w:sz w:val="24"/>
                <w:u w:val="none"/>
                <w:shd w:val="clear" w:color="auto" w:fill="FFFFFF"/>
                <w14:textFill>
                  <w14:solidFill>
                    <w14:schemeClr w14:val="tx1"/>
                  </w14:solidFill>
                </w14:textFill>
              </w:rPr>
              <w:fldChar w:fldCharType="end"/>
            </w:r>
            <w:r>
              <w:rPr>
                <w:rStyle w:val="29"/>
                <w:color w:val="000000" w:themeColor="text1"/>
                <w:sz w:val="24"/>
                <w:u w:val="none"/>
                <w:shd w:val="clear" w:color="auto" w:fill="FFFFFF"/>
                <w14:textFill>
                  <w14:solidFill>
                    <w14:schemeClr w14:val="tx1"/>
                  </w14:solidFill>
                </w14:textFill>
              </w:rPr>
              <w:t>）</w:t>
            </w:r>
            <w:r>
              <w:rPr>
                <w:bCs/>
                <w:color w:val="000000" w:themeColor="text1"/>
                <w:sz w:val="24"/>
                <w14:textFill>
                  <w14:solidFill>
                    <w14:schemeClr w14:val="tx1"/>
                  </w14:solidFill>
                </w14:textFill>
              </w:rPr>
              <w:t>以及</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排污许可证申请与核发技术规范 工业噪声</w:t>
            </w:r>
            <w:r>
              <w:rPr>
                <w:rFonts w:hint="eastAsia"/>
                <w:bCs/>
                <w:color w:val="000000" w:themeColor="text1"/>
                <w:sz w:val="24"/>
                <w14:textFill>
                  <w14:solidFill>
                    <w14:schemeClr w14:val="tx1"/>
                  </w14:solidFill>
                </w14:textFill>
              </w:rPr>
              <w:t>》</w:t>
            </w:r>
            <w:r>
              <w:rPr>
                <w:bCs/>
                <w:color w:val="000000" w:themeColor="text1"/>
                <w:sz w:val="24"/>
                <w14:textFill>
                  <w14:solidFill>
                    <w14:schemeClr w14:val="tx1"/>
                  </w14:solidFill>
                </w14:textFill>
              </w:rPr>
              <w:t>（HJ 1301—2023）</w:t>
            </w:r>
            <w:r>
              <w:rPr>
                <w:rFonts w:hint="eastAsia"/>
                <w:bCs/>
                <w:color w:val="000000" w:themeColor="text1"/>
                <w:sz w:val="24"/>
                <w14:textFill>
                  <w14:solidFill>
                    <w14:schemeClr w14:val="tx1"/>
                  </w14:solidFill>
                </w14:textFill>
              </w:rPr>
              <w:t>等的相关要求</w:t>
            </w:r>
            <w:r>
              <w:rPr>
                <w:bCs/>
                <w:color w:val="000000" w:themeColor="text1"/>
                <w:sz w:val="24"/>
                <w14:textFill>
                  <w14:solidFill>
                    <w14:schemeClr w14:val="tx1"/>
                  </w14:solidFill>
                </w14:textFill>
              </w:rPr>
              <w:t>，本项目营运期环境监测计划见下表。</w:t>
            </w:r>
          </w:p>
          <w:p w14:paraId="42E2A8F1">
            <w:pPr>
              <w:tabs>
                <w:tab w:val="left" w:pos="1081"/>
              </w:tabs>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34  </w:t>
            </w:r>
            <w:r>
              <w:rPr>
                <w:b/>
                <w:bCs/>
                <w:color w:val="000000" w:themeColor="text1"/>
                <w:sz w:val="24"/>
                <w14:textFill>
                  <w14:solidFill>
                    <w14:schemeClr w14:val="tx1"/>
                  </w14:solidFill>
                </w14:textFill>
              </w:rPr>
              <w:t>项目营运期环境监测计划一览表</w:t>
            </w:r>
          </w:p>
          <w:tbl>
            <w:tblPr>
              <w:tblStyle w:val="25"/>
              <w:tblW w:w="9163"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680"/>
              <w:gridCol w:w="673"/>
              <w:gridCol w:w="1296"/>
              <w:gridCol w:w="1736"/>
              <w:gridCol w:w="1199"/>
              <w:gridCol w:w="3579"/>
            </w:tblGrid>
            <w:tr w14:paraId="3534BD4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gridSpan w:val="2"/>
                  <w:tcBorders>
                    <w:right w:val="single" w:color="auto" w:sz="4" w:space="0"/>
                  </w:tcBorders>
                  <w:vAlign w:val="center"/>
                </w:tcPr>
                <w:p w14:paraId="7C84876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项目</w:t>
                  </w:r>
                </w:p>
              </w:tc>
              <w:tc>
                <w:tcPr>
                  <w:tcW w:w="707" w:type="pct"/>
                  <w:tcBorders>
                    <w:left w:val="single" w:color="auto" w:sz="4" w:space="0"/>
                    <w:bottom w:val="single" w:color="auto" w:sz="4" w:space="0"/>
                  </w:tcBorders>
                  <w:vAlign w:val="center"/>
                </w:tcPr>
                <w:p w14:paraId="112CEA2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监测点位</w:t>
                  </w:r>
                </w:p>
              </w:tc>
              <w:tc>
                <w:tcPr>
                  <w:tcW w:w="947" w:type="pct"/>
                  <w:vAlign w:val="center"/>
                </w:tcPr>
                <w:p w14:paraId="4F2C67D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监测因子</w:t>
                  </w:r>
                </w:p>
              </w:tc>
              <w:tc>
                <w:tcPr>
                  <w:tcW w:w="654" w:type="pct"/>
                  <w:vAlign w:val="center"/>
                </w:tcPr>
                <w:p w14:paraId="2E116DB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监测频次</w:t>
                  </w:r>
                </w:p>
              </w:tc>
              <w:tc>
                <w:tcPr>
                  <w:tcW w:w="1952" w:type="pct"/>
                  <w:vAlign w:val="center"/>
                </w:tcPr>
                <w:p w14:paraId="153A018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执行标准</w:t>
                  </w:r>
                </w:p>
              </w:tc>
            </w:tr>
            <w:tr w14:paraId="3DAA0EA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restart"/>
                  <w:tcBorders>
                    <w:right w:val="single" w:color="auto" w:sz="4" w:space="0"/>
                  </w:tcBorders>
                  <w:vAlign w:val="center"/>
                </w:tcPr>
                <w:p w14:paraId="2F2EF66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废气</w:t>
                  </w:r>
                </w:p>
              </w:tc>
              <w:tc>
                <w:tcPr>
                  <w:tcW w:w="367" w:type="pct"/>
                  <w:vMerge w:val="restart"/>
                  <w:tcBorders>
                    <w:left w:val="single" w:color="auto" w:sz="4" w:space="0"/>
                    <w:right w:val="single" w:color="auto" w:sz="4" w:space="0"/>
                  </w:tcBorders>
                  <w:vAlign w:val="center"/>
                </w:tcPr>
                <w:p w14:paraId="260CBCD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有组织</w:t>
                  </w:r>
                </w:p>
              </w:tc>
              <w:tc>
                <w:tcPr>
                  <w:tcW w:w="707" w:type="pct"/>
                  <w:vMerge w:val="restart"/>
                  <w:tcBorders>
                    <w:top w:val="single" w:color="auto" w:sz="4" w:space="0"/>
                    <w:left w:val="single" w:color="auto" w:sz="4" w:space="0"/>
                  </w:tcBorders>
                  <w:vAlign w:val="center"/>
                </w:tcPr>
                <w:p w14:paraId="17D8ECFD">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1</w:t>
                  </w:r>
                </w:p>
              </w:tc>
              <w:tc>
                <w:tcPr>
                  <w:tcW w:w="947" w:type="pct"/>
                  <w:vMerge w:val="restart"/>
                  <w:shd w:val="clear" w:color="auto" w:fill="auto"/>
                  <w:vAlign w:val="center"/>
                </w:tcPr>
                <w:p w14:paraId="105CB1A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654" w:type="pct"/>
                  <w:vMerge w:val="restart"/>
                  <w:shd w:val="clear" w:color="auto" w:fill="auto"/>
                  <w:vAlign w:val="center"/>
                </w:tcPr>
                <w:p w14:paraId="60B54512">
                  <w:pPr>
                    <w:tabs>
                      <w:tab w:val="left" w:pos="436"/>
                    </w:tabs>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1952" w:type="pct"/>
                  <w:shd w:val="clear" w:color="auto" w:fill="auto"/>
                  <w:vAlign w:val="center"/>
                </w:tcPr>
                <w:p w14:paraId="68DE594E">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r>
            <w:tr w14:paraId="2D7659A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58E11F00">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6D198D62">
                  <w:pPr>
                    <w:jc w:val="center"/>
                    <w:rPr>
                      <w:color w:val="000000" w:themeColor="text1"/>
                      <w:szCs w:val="21"/>
                      <w14:textFill>
                        <w14:solidFill>
                          <w14:schemeClr w14:val="tx1"/>
                        </w14:solidFill>
                      </w14:textFill>
                    </w:rPr>
                  </w:pPr>
                </w:p>
              </w:tc>
              <w:tc>
                <w:tcPr>
                  <w:tcW w:w="707" w:type="pct"/>
                  <w:vMerge w:val="continue"/>
                  <w:tcBorders>
                    <w:left w:val="single" w:color="auto" w:sz="4" w:space="0"/>
                  </w:tcBorders>
                  <w:vAlign w:val="center"/>
                </w:tcPr>
                <w:p w14:paraId="7C57FE7C">
                  <w:pPr>
                    <w:pStyle w:val="49"/>
                    <w:rPr>
                      <w:color w:val="000000" w:themeColor="text1"/>
                      <w:szCs w:val="21"/>
                      <w14:textFill>
                        <w14:solidFill>
                          <w14:schemeClr w14:val="tx1"/>
                        </w14:solidFill>
                      </w14:textFill>
                    </w:rPr>
                  </w:pPr>
                </w:p>
              </w:tc>
              <w:tc>
                <w:tcPr>
                  <w:tcW w:w="947" w:type="pct"/>
                  <w:vMerge w:val="continue"/>
                  <w:vAlign w:val="center"/>
                </w:tcPr>
                <w:p w14:paraId="00B3AC11">
                  <w:pPr>
                    <w:pStyle w:val="49"/>
                    <w:rPr>
                      <w:color w:val="000000" w:themeColor="text1"/>
                      <w:szCs w:val="21"/>
                      <w14:textFill>
                        <w14:solidFill>
                          <w14:schemeClr w14:val="tx1"/>
                        </w14:solidFill>
                      </w14:textFill>
                    </w:rPr>
                  </w:pPr>
                </w:p>
              </w:tc>
              <w:tc>
                <w:tcPr>
                  <w:tcW w:w="654" w:type="pct"/>
                  <w:vMerge w:val="continue"/>
                  <w:vAlign w:val="center"/>
                </w:tcPr>
                <w:p w14:paraId="3DD8D61B">
                  <w:pPr>
                    <w:jc w:val="center"/>
                    <w:rPr>
                      <w:color w:val="000000" w:themeColor="text1"/>
                      <w:szCs w:val="21"/>
                      <w14:textFill>
                        <w14:solidFill>
                          <w14:schemeClr w14:val="tx1"/>
                        </w14:solidFill>
                      </w14:textFill>
                    </w:rPr>
                  </w:pPr>
                </w:p>
              </w:tc>
              <w:tc>
                <w:tcPr>
                  <w:tcW w:w="1952" w:type="pct"/>
                  <w:shd w:val="clear" w:color="auto" w:fill="auto"/>
                  <w:vAlign w:val="center"/>
                </w:tcPr>
                <w:p w14:paraId="0090E31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年修订版）附录2中其他工序PM排放限值</w:t>
                  </w:r>
                </w:p>
              </w:tc>
            </w:tr>
            <w:tr w14:paraId="45B71C4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025A815B">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1470026A">
                  <w:pPr>
                    <w:jc w:val="center"/>
                    <w:rPr>
                      <w:color w:val="000000" w:themeColor="text1"/>
                      <w:szCs w:val="21"/>
                      <w14:textFill>
                        <w14:solidFill>
                          <w14:schemeClr w14:val="tx1"/>
                        </w14:solidFill>
                      </w14:textFill>
                    </w:rPr>
                  </w:pPr>
                </w:p>
              </w:tc>
              <w:tc>
                <w:tcPr>
                  <w:tcW w:w="707" w:type="pct"/>
                  <w:vMerge w:val="restart"/>
                  <w:tcBorders>
                    <w:top w:val="single" w:color="auto" w:sz="4" w:space="0"/>
                    <w:left w:val="single" w:color="auto" w:sz="4" w:space="0"/>
                  </w:tcBorders>
                  <w:vAlign w:val="center"/>
                </w:tcPr>
                <w:p w14:paraId="71F68507">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2</w:t>
                  </w:r>
                </w:p>
              </w:tc>
              <w:tc>
                <w:tcPr>
                  <w:tcW w:w="947" w:type="pct"/>
                  <w:vMerge w:val="restart"/>
                  <w:shd w:val="clear" w:color="auto" w:fill="auto"/>
                  <w:vAlign w:val="center"/>
                </w:tcPr>
                <w:p w14:paraId="2E026130">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54" w:type="pct"/>
                  <w:vMerge w:val="restart"/>
                  <w:shd w:val="clear" w:color="auto" w:fill="auto"/>
                  <w:vAlign w:val="center"/>
                </w:tcPr>
                <w:p w14:paraId="54B17606">
                  <w:pPr>
                    <w:jc w:val="center"/>
                    <w:rPr>
                      <w:b/>
                      <w:color w:val="000000" w:themeColor="text1"/>
                      <w:szCs w:val="21"/>
                      <w14:textFill>
                        <w14:solidFill>
                          <w14:schemeClr w14:val="tx1"/>
                        </w14:solidFill>
                      </w14:textFill>
                    </w:rPr>
                  </w:pPr>
                  <w:r>
                    <w:rPr>
                      <w:color w:val="000000" w:themeColor="text1"/>
                      <w:szCs w:val="21"/>
                      <w14:textFill>
                        <w14:solidFill>
                          <w14:schemeClr w14:val="tx1"/>
                        </w14:solidFill>
                      </w14:textFill>
                    </w:rPr>
                    <w:t>1次/年</w:t>
                  </w:r>
                </w:p>
              </w:tc>
              <w:tc>
                <w:tcPr>
                  <w:tcW w:w="1952" w:type="pct"/>
                  <w:shd w:val="clear" w:color="auto" w:fill="auto"/>
                  <w:vAlign w:val="center"/>
                </w:tcPr>
                <w:p w14:paraId="5B6D120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79D4713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3C52FFE4">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0F476A1B">
                  <w:pPr>
                    <w:jc w:val="center"/>
                    <w:rPr>
                      <w:color w:val="000000" w:themeColor="text1"/>
                      <w:szCs w:val="21"/>
                      <w14:textFill>
                        <w14:solidFill>
                          <w14:schemeClr w14:val="tx1"/>
                        </w14:solidFill>
                      </w14:textFill>
                    </w:rPr>
                  </w:pPr>
                </w:p>
              </w:tc>
              <w:tc>
                <w:tcPr>
                  <w:tcW w:w="707" w:type="pct"/>
                  <w:vMerge w:val="continue"/>
                  <w:tcBorders>
                    <w:left w:val="single" w:color="auto" w:sz="4" w:space="0"/>
                  </w:tcBorders>
                  <w:vAlign w:val="center"/>
                </w:tcPr>
                <w:p w14:paraId="2A16965A">
                  <w:pPr>
                    <w:pStyle w:val="49"/>
                    <w:rPr>
                      <w:color w:val="000000" w:themeColor="text1"/>
                      <w:szCs w:val="21"/>
                      <w14:textFill>
                        <w14:solidFill>
                          <w14:schemeClr w14:val="tx1"/>
                        </w14:solidFill>
                      </w14:textFill>
                    </w:rPr>
                  </w:pPr>
                </w:p>
              </w:tc>
              <w:tc>
                <w:tcPr>
                  <w:tcW w:w="947" w:type="pct"/>
                  <w:vMerge w:val="continue"/>
                  <w:vAlign w:val="center"/>
                </w:tcPr>
                <w:p w14:paraId="493BE263">
                  <w:pPr>
                    <w:pStyle w:val="49"/>
                    <w:rPr>
                      <w:color w:val="000000" w:themeColor="text1"/>
                      <w:szCs w:val="21"/>
                      <w14:textFill>
                        <w14:solidFill>
                          <w14:schemeClr w14:val="tx1"/>
                        </w14:solidFill>
                      </w14:textFill>
                    </w:rPr>
                  </w:pPr>
                </w:p>
              </w:tc>
              <w:tc>
                <w:tcPr>
                  <w:tcW w:w="654" w:type="pct"/>
                  <w:vMerge w:val="continue"/>
                  <w:vAlign w:val="center"/>
                </w:tcPr>
                <w:p w14:paraId="5FFC6C97">
                  <w:pPr>
                    <w:jc w:val="center"/>
                    <w:rPr>
                      <w:color w:val="000000" w:themeColor="text1"/>
                      <w:szCs w:val="21"/>
                      <w14:textFill>
                        <w14:solidFill>
                          <w14:schemeClr w14:val="tx1"/>
                        </w14:solidFill>
                      </w14:textFill>
                    </w:rPr>
                  </w:pPr>
                </w:p>
              </w:tc>
              <w:tc>
                <w:tcPr>
                  <w:tcW w:w="1952" w:type="pct"/>
                  <w:shd w:val="clear" w:color="auto" w:fill="auto"/>
                  <w:vAlign w:val="center"/>
                </w:tcPr>
                <w:p w14:paraId="4902588B">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32449B1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15F465E1">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5C24D430">
                  <w:pPr>
                    <w:jc w:val="center"/>
                    <w:rPr>
                      <w:color w:val="000000" w:themeColor="text1"/>
                      <w:szCs w:val="21"/>
                      <w14:textFill>
                        <w14:solidFill>
                          <w14:schemeClr w14:val="tx1"/>
                        </w14:solidFill>
                      </w14:textFill>
                    </w:rPr>
                  </w:pPr>
                </w:p>
              </w:tc>
              <w:tc>
                <w:tcPr>
                  <w:tcW w:w="707" w:type="pct"/>
                  <w:vMerge w:val="continue"/>
                  <w:tcBorders>
                    <w:left w:val="single" w:color="auto" w:sz="4" w:space="0"/>
                  </w:tcBorders>
                  <w:vAlign w:val="center"/>
                </w:tcPr>
                <w:p w14:paraId="5A4598EB">
                  <w:pPr>
                    <w:jc w:val="center"/>
                    <w:rPr>
                      <w:color w:val="000000" w:themeColor="text1"/>
                      <w:szCs w:val="21"/>
                      <w14:textFill>
                        <w14:solidFill>
                          <w14:schemeClr w14:val="tx1"/>
                        </w14:solidFill>
                      </w14:textFill>
                    </w:rPr>
                  </w:pPr>
                </w:p>
              </w:tc>
              <w:tc>
                <w:tcPr>
                  <w:tcW w:w="947" w:type="pct"/>
                  <w:vMerge w:val="restart"/>
                  <w:shd w:val="clear" w:color="auto" w:fill="auto"/>
                  <w:vAlign w:val="center"/>
                </w:tcPr>
                <w:p w14:paraId="56B9FBFB">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654" w:type="pct"/>
                  <w:vMerge w:val="restart"/>
                  <w:shd w:val="clear" w:color="auto" w:fill="auto"/>
                  <w:vAlign w:val="center"/>
                </w:tcPr>
                <w:p w14:paraId="2A247D2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1次/年</w:t>
                  </w:r>
                </w:p>
              </w:tc>
              <w:tc>
                <w:tcPr>
                  <w:tcW w:w="1952" w:type="pct"/>
                  <w:shd w:val="clear" w:color="auto" w:fill="auto"/>
                  <w:vAlign w:val="center"/>
                </w:tcPr>
                <w:p w14:paraId="78B300D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799C59A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3262134E">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27AE1819">
                  <w:pPr>
                    <w:jc w:val="center"/>
                    <w:rPr>
                      <w:color w:val="000000" w:themeColor="text1"/>
                      <w:szCs w:val="21"/>
                      <w14:textFill>
                        <w14:solidFill>
                          <w14:schemeClr w14:val="tx1"/>
                        </w14:solidFill>
                      </w14:textFill>
                    </w:rPr>
                  </w:pPr>
                </w:p>
              </w:tc>
              <w:tc>
                <w:tcPr>
                  <w:tcW w:w="707" w:type="pct"/>
                  <w:vMerge w:val="continue"/>
                  <w:tcBorders>
                    <w:left w:val="single" w:color="auto" w:sz="4" w:space="0"/>
                  </w:tcBorders>
                  <w:vAlign w:val="center"/>
                </w:tcPr>
                <w:p w14:paraId="7B6E0761">
                  <w:pPr>
                    <w:jc w:val="center"/>
                    <w:rPr>
                      <w:color w:val="000000" w:themeColor="text1"/>
                      <w:szCs w:val="21"/>
                      <w14:textFill>
                        <w14:solidFill>
                          <w14:schemeClr w14:val="tx1"/>
                        </w14:solidFill>
                      </w14:textFill>
                    </w:rPr>
                  </w:pPr>
                </w:p>
              </w:tc>
              <w:tc>
                <w:tcPr>
                  <w:tcW w:w="947" w:type="pct"/>
                  <w:vMerge w:val="continue"/>
                  <w:vAlign w:val="center"/>
                </w:tcPr>
                <w:p w14:paraId="5931E003">
                  <w:pPr>
                    <w:jc w:val="center"/>
                    <w:rPr>
                      <w:color w:val="000000" w:themeColor="text1"/>
                      <w:szCs w:val="21"/>
                      <w14:textFill>
                        <w14:solidFill>
                          <w14:schemeClr w14:val="tx1"/>
                        </w14:solidFill>
                      </w14:textFill>
                    </w:rPr>
                  </w:pPr>
                </w:p>
              </w:tc>
              <w:tc>
                <w:tcPr>
                  <w:tcW w:w="654" w:type="pct"/>
                  <w:vMerge w:val="continue"/>
                  <w:vAlign w:val="center"/>
                </w:tcPr>
                <w:p w14:paraId="4733CBC4">
                  <w:pPr>
                    <w:tabs>
                      <w:tab w:val="left" w:pos="436"/>
                    </w:tabs>
                    <w:jc w:val="center"/>
                    <w:rPr>
                      <w:color w:val="000000" w:themeColor="text1"/>
                      <w:szCs w:val="21"/>
                      <w14:textFill>
                        <w14:solidFill>
                          <w14:schemeClr w14:val="tx1"/>
                        </w14:solidFill>
                      </w14:textFill>
                    </w:rPr>
                  </w:pPr>
                </w:p>
              </w:tc>
              <w:tc>
                <w:tcPr>
                  <w:tcW w:w="1952" w:type="pct"/>
                  <w:shd w:val="clear" w:color="auto" w:fill="auto"/>
                  <w:vAlign w:val="center"/>
                </w:tcPr>
                <w:p w14:paraId="7273AC57">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6693978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41571B76">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332AA9B4">
                  <w:pPr>
                    <w:jc w:val="center"/>
                    <w:rPr>
                      <w:color w:val="000000" w:themeColor="text1"/>
                      <w:szCs w:val="21"/>
                      <w14:textFill>
                        <w14:solidFill>
                          <w14:schemeClr w14:val="tx1"/>
                        </w14:solidFill>
                      </w14:textFill>
                    </w:rPr>
                  </w:pPr>
                </w:p>
              </w:tc>
              <w:tc>
                <w:tcPr>
                  <w:tcW w:w="707" w:type="pct"/>
                  <w:vMerge w:val="continue"/>
                  <w:tcBorders>
                    <w:left w:val="single" w:color="auto" w:sz="4" w:space="0"/>
                  </w:tcBorders>
                  <w:vAlign w:val="center"/>
                </w:tcPr>
                <w:p w14:paraId="5CADF89B">
                  <w:pPr>
                    <w:jc w:val="center"/>
                    <w:rPr>
                      <w:color w:val="000000" w:themeColor="text1"/>
                      <w:szCs w:val="21"/>
                      <w14:textFill>
                        <w14:solidFill>
                          <w14:schemeClr w14:val="tx1"/>
                        </w14:solidFill>
                      </w14:textFill>
                    </w:rPr>
                  </w:pPr>
                </w:p>
              </w:tc>
              <w:tc>
                <w:tcPr>
                  <w:tcW w:w="947" w:type="pct"/>
                  <w:vMerge w:val="restart"/>
                  <w:shd w:val="clear" w:color="auto" w:fill="auto"/>
                  <w:vAlign w:val="center"/>
                </w:tcPr>
                <w:p w14:paraId="2910E6A4">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p>
              </w:tc>
              <w:tc>
                <w:tcPr>
                  <w:tcW w:w="654" w:type="pct"/>
                  <w:vMerge w:val="restart"/>
                  <w:shd w:val="clear" w:color="auto" w:fill="auto"/>
                  <w:vAlign w:val="center"/>
                </w:tcPr>
                <w:p w14:paraId="64E437B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次</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月</w:t>
                  </w:r>
                </w:p>
              </w:tc>
              <w:tc>
                <w:tcPr>
                  <w:tcW w:w="1952" w:type="pct"/>
                  <w:shd w:val="clear" w:color="auto" w:fill="auto"/>
                  <w:vAlign w:val="center"/>
                </w:tcPr>
                <w:p w14:paraId="2212C49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70B59E3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6456311C">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602F9989">
                  <w:pPr>
                    <w:jc w:val="center"/>
                    <w:rPr>
                      <w:color w:val="000000" w:themeColor="text1"/>
                      <w:szCs w:val="21"/>
                      <w14:textFill>
                        <w14:solidFill>
                          <w14:schemeClr w14:val="tx1"/>
                        </w14:solidFill>
                      </w14:textFill>
                    </w:rPr>
                  </w:pPr>
                </w:p>
              </w:tc>
              <w:tc>
                <w:tcPr>
                  <w:tcW w:w="707" w:type="pct"/>
                  <w:vMerge w:val="continue"/>
                  <w:tcBorders>
                    <w:left w:val="single" w:color="auto" w:sz="4" w:space="0"/>
                  </w:tcBorders>
                  <w:vAlign w:val="center"/>
                </w:tcPr>
                <w:p w14:paraId="7C5C3E7D">
                  <w:pPr>
                    <w:jc w:val="center"/>
                    <w:rPr>
                      <w:color w:val="000000" w:themeColor="text1"/>
                      <w:szCs w:val="21"/>
                      <w14:textFill>
                        <w14:solidFill>
                          <w14:schemeClr w14:val="tx1"/>
                        </w14:solidFill>
                      </w14:textFill>
                    </w:rPr>
                  </w:pPr>
                </w:p>
              </w:tc>
              <w:tc>
                <w:tcPr>
                  <w:tcW w:w="947" w:type="pct"/>
                  <w:vMerge w:val="continue"/>
                  <w:vAlign w:val="center"/>
                </w:tcPr>
                <w:p w14:paraId="65F78DBD">
                  <w:pPr>
                    <w:pStyle w:val="49"/>
                    <w:rPr>
                      <w:color w:val="000000" w:themeColor="text1"/>
                      <w:szCs w:val="21"/>
                      <w14:textFill>
                        <w14:solidFill>
                          <w14:schemeClr w14:val="tx1"/>
                        </w14:solidFill>
                      </w14:textFill>
                    </w:rPr>
                  </w:pPr>
                </w:p>
              </w:tc>
              <w:tc>
                <w:tcPr>
                  <w:tcW w:w="654" w:type="pct"/>
                  <w:vMerge w:val="continue"/>
                  <w:vAlign w:val="center"/>
                </w:tcPr>
                <w:p w14:paraId="7DB3C649">
                  <w:pPr>
                    <w:jc w:val="center"/>
                    <w:rPr>
                      <w:color w:val="000000" w:themeColor="text1"/>
                      <w:szCs w:val="21"/>
                      <w14:textFill>
                        <w14:solidFill>
                          <w14:schemeClr w14:val="tx1"/>
                        </w14:solidFill>
                      </w14:textFill>
                    </w:rPr>
                  </w:pPr>
                </w:p>
              </w:tc>
              <w:tc>
                <w:tcPr>
                  <w:tcW w:w="1952" w:type="pct"/>
                  <w:shd w:val="clear" w:color="auto" w:fill="auto"/>
                  <w:vAlign w:val="center"/>
                </w:tcPr>
                <w:p w14:paraId="76765C38">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21254AC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5C674649">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29D2E69D">
                  <w:pPr>
                    <w:jc w:val="center"/>
                    <w:rPr>
                      <w:color w:val="000000" w:themeColor="text1"/>
                      <w:szCs w:val="21"/>
                      <w14:textFill>
                        <w14:solidFill>
                          <w14:schemeClr w14:val="tx1"/>
                        </w14:solidFill>
                      </w14:textFill>
                    </w:rPr>
                  </w:pPr>
                </w:p>
              </w:tc>
              <w:tc>
                <w:tcPr>
                  <w:tcW w:w="707" w:type="pct"/>
                  <w:vMerge w:val="restart"/>
                  <w:tcBorders>
                    <w:left w:val="single" w:color="auto" w:sz="4" w:space="0"/>
                  </w:tcBorders>
                  <w:vAlign w:val="center"/>
                </w:tcPr>
                <w:p w14:paraId="7554D53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3</w:t>
                  </w:r>
                </w:p>
              </w:tc>
              <w:tc>
                <w:tcPr>
                  <w:tcW w:w="947" w:type="pct"/>
                  <w:vMerge w:val="restart"/>
                  <w:vAlign w:val="center"/>
                </w:tcPr>
                <w:p w14:paraId="3E3C5728">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54" w:type="pct"/>
                  <w:vMerge w:val="restart"/>
                  <w:vAlign w:val="center"/>
                </w:tcPr>
                <w:p w14:paraId="4603B19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1次/年</w:t>
                  </w:r>
                </w:p>
              </w:tc>
              <w:tc>
                <w:tcPr>
                  <w:tcW w:w="1952" w:type="pct"/>
                  <w:shd w:val="clear" w:color="auto" w:fill="auto"/>
                  <w:vAlign w:val="center"/>
                </w:tcPr>
                <w:p w14:paraId="6CFAA9A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05793C0D">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21DF3F54">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7BC6F2DB">
                  <w:pPr>
                    <w:jc w:val="center"/>
                    <w:rPr>
                      <w:color w:val="000000" w:themeColor="text1"/>
                      <w:szCs w:val="21"/>
                      <w14:textFill>
                        <w14:solidFill>
                          <w14:schemeClr w14:val="tx1"/>
                        </w14:solidFill>
                      </w14:textFill>
                    </w:rPr>
                  </w:pPr>
                </w:p>
              </w:tc>
              <w:tc>
                <w:tcPr>
                  <w:tcW w:w="707" w:type="pct"/>
                  <w:vMerge w:val="continue"/>
                  <w:tcBorders>
                    <w:left w:val="single" w:color="auto" w:sz="4" w:space="0"/>
                  </w:tcBorders>
                  <w:vAlign w:val="center"/>
                </w:tcPr>
                <w:p w14:paraId="2C5C9B56">
                  <w:pPr>
                    <w:jc w:val="center"/>
                    <w:rPr>
                      <w:color w:val="000000" w:themeColor="text1"/>
                      <w:szCs w:val="21"/>
                      <w14:textFill>
                        <w14:solidFill>
                          <w14:schemeClr w14:val="tx1"/>
                        </w14:solidFill>
                      </w14:textFill>
                    </w:rPr>
                  </w:pPr>
                </w:p>
              </w:tc>
              <w:tc>
                <w:tcPr>
                  <w:tcW w:w="947" w:type="pct"/>
                  <w:vMerge w:val="continue"/>
                  <w:vAlign w:val="center"/>
                </w:tcPr>
                <w:p w14:paraId="2F88C313">
                  <w:pPr>
                    <w:pStyle w:val="49"/>
                    <w:rPr>
                      <w:color w:val="000000" w:themeColor="text1"/>
                      <w:szCs w:val="21"/>
                      <w14:textFill>
                        <w14:solidFill>
                          <w14:schemeClr w14:val="tx1"/>
                        </w14:solidFill>
                      </w14:textFill>
                    </w:rPr>
                  </w:pPr>
                </w:p>
              </w:tc>
              <w:tc>
                <w:tcPr>
                  <w:tcW w:w="654" w:type="pct"/>
                  <w:vMerge w:val="continue"/>
                  <w:tcBorders>
                    <w:bottom w:val="single" w:color="auto" w:sz="4" w:space="0"/>
                  </w:tcBorders>
                  <w:vAlign w:val="center"/>
                </w:tcPr>
                <w:p w14:paraId="62DA2548">
                  <w:pPr>
                    <w:jc w:val="center"/>
                    <w:rPr>
                      <w:color w:val="000000" w:themeColor="text1"/>
                      <w:szCs w:val="21"/>
                      <w14:textFill>
                        <w14:solidFill>
                          <w14:schemeClr w14:val="tx1"/>
                        </w14:solidFill>
                      </w14:textFill>
                    </w:rPr>
                  </w:pPr>
                </w:p>
              </w:tc>
              <w:tc>
                <w:tcPr>
                  <w:tcW w:w="1952" w:type="pct"/>
                  <w:shd w:val="clear" w:color="auto" w:fill="auto"/>
                  <w:vAlign w:val="center"/>
                </w:tcPr>
                <w:p w14:paraId="369F16AB">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09089766">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59557C8B">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6AFDF6B0">
                  <w:pPr>
                    <w:jc w:val="center"/>
                    <w:rPr>
                      <w:color w:val="000000" w:themeColor="text1"/>
                      <w:szCs w:val="21"/>
                      <w14:textFill>
                        <w14:solidFill>
                          <w14:schemeClr w14:val="tx1"/>
                        </w14:solidFill>
                      </w14:textFill>
                    </w:rPr>
                  </w:pPr>
                </w:p>
              </w:tc>
              <w:tc>
                <w:tcPr>
                  <w:tcW w:w="707" w:type="pct"/>
                  <w:vMerge w:val="continue"/>
                  <w:tcBorders>
                    <w:left w:val="single" w:color="auto" w:sz="4" w:space="0"/>
                  </w:tcBorders>
                  <w:vAlign w:val="center"/>
                </w:tcPr>
                <w:p w14:paraId="186FF133">
                  <w:pPr>
                    <w:jc w:val="center"/>
                    <w:rPr>
                      <w:color w:val="000000" w:themeColor="text1"/>
                      <w:szCs w:val="21"/>
                      <w14:textFill>
                        <w14:solidFill>
                          <w14:schemeClr w14:val="tx1"/>
                        </w14:solidFill>
                      </w14:textFill>
                    </w:rPr>
                  </w:pPr>
                </w:p>
              </w:tc>
              <w:tc>
                <w:tcPr>
                  <w:tcW w:w="947" w:type="pct"/>
                  <w:vMerge w:val="restart"/>
                  <w:vAlign w:val="center"/>
                </w:tcPr>
                <w:p w14:paraId="41C7959A">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654" w:type="pct"/>
                  <w:vMerge w:val="restart"/>
                  <w:vAlign w:val="center"/>
                </w:tcPr>
                <w:p w14:paraId="16EE4AF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1次/年</w:t>
                  </w:r>
                </w:p>
              </w:tc>
              <w:tc>
                <w:tcPr>
                  <w:tcW w:w="1952" w:type="pct"/>
                  <w:shd w:val="clear" w:color="auto" w:fill="auto"/>
                  <w:vAlign w:val="center"/>
                </w:tcPr>
                <w:p w14:paraId="32AAEB7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692A2FE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3878A3FC">
                  <w:pPr>
                    <w:spacing w:before="60" w:after="60"/>
                    <w:jc w:val="center"/>
                    <w:rPr>
                      <w:color w:val="000000" w:themeColor="text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42BDCCC1">
                  <w:pPr>
                    <w:spacing w:before="60" w:after="60"/>
                    <w:jc w:val="center"/>
                    <w:rPr>
                      <w:color w:val="000000" w:themeColor="text1"/>
                      <w14:textFill>
                        <w14:solidFill>
                          <w14:schemeClr w14:val="tx1"/>
                        </w14:solidFill>
                      </w14:textFill>
                    </w:rPr>
                  </w:pPr>
                </w:p>
              </w:tc>
              <w:tc>
                <w:tcPr>
                  <w:tcW w:w="707" w:type="pct"/>
                  <w:vMerge w:val="continue"/>
                  <w:tcBorders>
                    <w:left w:val="single" w:color="auto" w:sz="4" w:space="0"/>
                  </w:tcBorders>
                  <w:vAlign w:val="center"/>
                </w:tcPr>
                <w:p w14:paraId="62BDE39B">
                  <w:pPr>
                    <w:spacing w:before="60" w:after="60"/>
                    <w:jc w:val="center"/>
                    <w:rPr>
                      <w:color w:val="000000" w:themeColor="text1"/>
                      <w14:textFill>
                        <w14:solidFill>
                          <w14:schemeClr w14:val="tx1"/>
                        </w14:solidFill>
                      </w14:textFill>
                    </w:rPr>
                  </w:pPr>
                </w:p>
              </w:tc>
              <w:tc>
                <w:tcPr>
                  <w:tcW w:w="947" w:type="pct"/>
                  <w:vMerge w:val="continue"/>
                  <w:vAlign w:val="center"/>
                </w:tcPr>
                <w:p w14:paraId="7224488E">
                  <w:pPr>
                    <w:spacing w:before="60" w:after="60"/>
                    <w:jc w:val="center"/>
                    <w:rPr>
                      <w:color w:val="000000" w:themeColor="text1"/>
                      <w14:textFill>
                        <w14:solidFill>
                          <w14:schemeClr w14:val="tx1"/>
                        </w14:solidFill>
                      </w14:textFill>
                    </w:rPr>
                  </w:pPr>
                </w:p>
              </w:tc>
              <w:tc>
                <w:tcPr>
                  <w:tcW w:w="654" w:type="pct"/>
                  <w:vMerge w:val="continue"/>
                  <w:tcBorders>
                    <w:bottom w:val="single" w:color="auto" w:sz="4" w:space="0"/>
                  </w:tcBorders>
                  <w:vAlign w:val="center"/>
                </w:tcPr>
                <w:p w14:paraId="2E8DE2CD">
                  <w:pPr>
                    <w:spacing w:before="60" w:after="60"/>
                    <w:jc w:val="center"/>
                    <w:rPr>
                      <w:color w:val="000000" w:themeColor="text1"/>
                      <w14:textFill>
                        <w14:solidFill>
                          <w14:schemeClr w14:val="tx1"/>
                        </w14:solidFill>
                      </w14:textFill>
                    </w:rPr>
                  </w:pPr>
                </w:p>
              </w:tc>
              <w:tc>
                <w:tcPr>
                  <w:tcW w:w="1952" w:type="pct"/>
                  <w:shd w:val="clear" w:color="auto" w:fill="auto"/>
                  <w:vAlign w:val="center"/>
                </w:tcPr>
                <w:p w14:paraId="66587E6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682FFD7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3D7CA3DF">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3A9051CD">
                  <w:pPr>
                    <w:jc w:val="center"/>
                    <w:rPr>
                      <w:color w:val="000000" w:themeColor="text1"/>
                      <w:szCs w:val="21"/>
                      <w14:textFill>
                        <w14:solidFill>
                          <w14:schemeClr w14:val="tx1"/>
                        </w14:solidFill>
                      </w14:textFill>
                    </w:rPr>
                  </w:pPr>
                </w:p>
              </w:tc>
              <w:tc>
                <w:tcPr>
                  <w:tcW w:w="707" w:type="pct"/>
                  <w:vMerge w:val="continue"/>
                  <w:tcBorders>
                    <w:left w:val="single" w:color="auto" w:sz="4" w:space="0"/>
                  </w:tcBorders>
                  <w:vAlign w:val="center"/>
                </w:tcPr>
                <w:p w14:paraId="3DC197B2">
                  <w:pPr>
                    <w:jc w:val="center"/>
                    <w:rPr>
                      <w:color w:val="000000" w:themeColor="text1"/>
                      <w:szCs w:val="21"/>
                      <w14:textFill>
                        <w14:solidFill>
                          <w14:schemeClr w14:val="tx1"/>
                        </w14:solidFill>
                      </w14:textFill>
                    </w:rPr>
                  </w:pPr>
                </w:p>
              </w:tc>
              <w:tc>
                <w:tcPr>
                  <w:tcW w:w="947" w:type="pct"/>
                  <w:vMerge w:val="restart"/>
                  <w:vAlign w:val="center"/>
                </w:tcPr>
                <w:p w14:paraId="264F41DB">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p>
              </w:tc>
              <w:tc>
                <w:tcPr>
                  <w:tcW w:w="654" w:type="pct"/>
                  <w:vMerge w:val="restart"/>
                  <w:vAlign w:val="center"/>
                </w:tcPr>
                <w:p w14:paraId="3835B0E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次</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月</w:t>
                  </w:r>
                </w:p>
              </w:tc>
              <w:tc>
                <w:tcPr>
                  <w:tcW w:w="1952" w:type="pct"/>
                  <w:shd w:val="clear" w:color="auto" w:fill="auto"/>
                  <w:vAlign w:val="center"/>
                </w:tcPr>
                <w:p w14:paraId="0E0EC7F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4DFBBC1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6846E50D">
                  <w:pPr>
                    <w:spacing w:before="60" w:after="60"/>
                    <w:jc w:val="center"/>
                    <w:rPr>
                      <w:color w:val="000000" w:themeColor="text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4079C7A9">
                  <w:pPr>
                    <w:spacing w:before="60" w:after="60"/>
                    <w:jc w:val="center"/>
                    <w:rPr>
                      <w:color w:val="000000" w:themeColor="text1"/>
                      <w14:textFill>
                        <w14:solidFill>
                          <w14:schemeClr w14:val="tx1"/>
                        </w14:solidFill>
                      </w14:textFill>
                    </w:rPr>
                  </w:pPr>
                </w:p>
              </w:tc>
              <w:tc>
                <w:tcPr>
                  <w:tcW w:w="707" w:type="pct"/>
                  <w:vMerge w:val="continue"/>
                  <w:tcBorders>
                    <w:left w:val="single" w:color="auto" w:sz="4" w:space="0"/>
                  </w:tcBorders>
                  <w:vAlign w:val="center"/>
                </w:tcPr>
                <w:p w14:paraId="1822CECF">
                  <w:pPr>
                    <w:spacing w:before="60" w:after="60"/>
                    <w:jc w:val="center"/>
                    <w:rPr>
                      <w:color w:val="000000" w:themeColor="text1"/>
                      <w14:textFill>
                        <w14:solidFill>
                          <w14:schemeClr w14:val="tx1"/>
                        </w14:solidFill>
                      </w14:textFill>
                    </w:rPr>
                  </w:pPr>
                </w:p>
              </w:tc>
              <w:tc>
                <w:tcPr>
                  <w:tcW w:w="947" w:type="pct"/>
                  <w:vMerge w:val="continue"/>
                  <w:vAlign w:val="center"/>
                </w:tcPr>
                <w:p w14:paraId="3D819207">
                  <w:pPr>
                    <w:spacing w:before="60" w:after="60"/>
                    <w:jc w:val="center"/>
                    <w:rPr>
                      <w:color w:val="000000" w:themeColor="text1"/>
                      <w14:textFill>
                        <w14:solidFill>
                          <w14:schemeClr w14:val="tx1"/>
                        </w14:solidFill>
                      </w14:textFill>
                    </w:rPr>
                  </w:pPr>
                </w:p>
              </w:tc>
              <w:tc>
                <w:tcPr>
                  <w:tcW w:w="654" w:type="pct"/>
                  <w:vMerge w:val="continue"/>
                  <w:tcBorders>
                    <w:bottom w:val="single" w:color="auto" w:sz="4" w:space="0"/>
                  </w:tcBorders>
                  <w:vAlign w:val="center"/>
                </w:tcPr>
                <w:p w14:paraId="732242E0">
                  <w:pPr>
                    <w:spacing w:before="60" w:after="60"/>
                    <w:jc w:val="center"/>
                    <w:rPr>
                      <w:color w:val="000000" w:themeColor="text1"/>
                      <w14:textFill>
                        <w14:solidFill>
                          <w14:schemeClr w14:val="tx1"/>
                        </w14:solidFill>
                      </w14:textFill>
                    </w:rPr>
                  </w:pPr>
                </w:p>
              </w:tc>
              <w:tc>
                <w:tcPr>
                  <w:tcW w:w="1952" w:type="pct"/>
                  <w:shd w:val="clear" w:color="auto" w:fill="auto"/>
                  <w:vAlign w:val="center"/>
                </w:tcPr>
                <w:p w14:paraId="6D8313E6">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1983D23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7E68D4BB">
                  <w:pPr>
                    <w:spacing w:before="60" w:after="60"/>
                    <w:jc w:val="center"/>
                    <w:rPr>
                      <w:color w:val="000000" w:themeColor="text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274DEABA">
                  <w:pPr>
                    <w:spacing w:before="60" w:after="60"/>
                    <w:jc w:val="center"/>
                    <w:rPr>
                      <w:color w:val="000000" w:themeColor="text1"/>
                      <w14:textFill>
                        <w14:solidFill>
                          <w14:schemeClr w14:val="tx1"/>
                        </w14:solidFill>
                      </w14:textFill>
                    </w:rPr>
                  </w:pPr>
                </w:p>
              </w:tc>
              <w:tc>
                <w:tcPr>
                  <w:tcW w:w="707" w:type="pct"/>
                  <w:vMerge w:val="restart"/>
                  <w:tcBorders>
                    <w:left w:val="single" w:color="auto" w:sz="4" w:space="0"/>
                  </w:tcBorders>
                  <w:vAlign w:val="center"/>
                </w:tcPr>
                <w:p w14:paraId="6EA7F5F8">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4</w:t>
                  </w:r>
                </w:p>
              </w:tc>
              <w:tc>
                <w:tcPr>
                  <w:tcW w:w="947" w:type="pct"/>
                  <w:vMerge w:val="restart"/>
                  <w:vAlign w:val="center"/>
                </w:tcPr>
                <w:p w14:paraId="6246573A">
                  <w:pPr>
                    <w:pStyle w:val="49"/>
                    <w:rPr>
                      <w:color w:val="000000" w:themeColor="text1"/>
                      <w14:textFill>
                        <w14:solidFill>
                          <w14:schemeClr w14:val="tx1"/>
                        </w14:solidFill>
                      </w14:textFill>
                    </w:rPr>
                  </w:pPr>
                  <w:r>
                    <w:rPr>
                      <w:color w:val="000000" w:themeColor="text1"/>
                      <w:szCs w:val="21"/>
                      <w14:textFill>
                        <w14:solidFill>
                          <w14:schemeClr w14:val="tx1"/>
                        </w14:solidFill>
                      </w14:textFill>
                    </w:rPr>
                    <w:t>颗粒物</w:t>
                  </w:r>
                </w:p>
              </w:tc>
              <w:tc>
                <w:tcPr>
                  <w:tcW w:w="654" w:type="pct"/>
                  <w:vMerge w:val="restart"/>
                  <w:tcBorders>
                    <w:bottom w:val="single" w:color="auto" w:sz="4" w:space="0"/>
                  </w:tcBorders>
                  <w:vAlign w:val="center"/>
                </w:tcPr>
                <w:p w14:paraId="0811B42A">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1次/年</w:t>
                  </w:r>
                </w:p>
              </w:tc>
              <w:tc>
                <w:tcPr>
                  <w:tcW w:w="1952" w:type="pct"/>
                  <w:shd w:val="clear" w:color="auto" w:fill="auto"/>
                  <w:vAlign w:val="center"/>
                </w:tcPr>
                <w:p w14:paraId="46DD3D1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6C01B9A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68D378CD">
                  <w:pPr>
                    <w:spacing w:before="60" w:after="60"/>
                    <w:jc w:val="center"/>
                    <w:rPr>
                      <w:color w:val="000000" w:themeColor="text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4200E0CF">
                  <w:pPr>
                    <w:spacing w:before="60" w:after="60"/>
                    <w:jc w:val="center"/>
                    <w:rPr>
                      <w:color w:val="000000" w:themeColor="text1"/>
                      <w14:textFill>
                        <w14:solidFill>
                          <w14:schemeClr w14:val="tx1"/>
                        </w14:solidFill>
                      </w14:textFill>
                    </w:rPr>
                  </w:pPr>
                </w:p>
              </w:tc>
              <w:tc>
                <w:tcPr>
                  <w:tcW w:w="707" w:type="pct"/>
                  <w:vMerge w:val="continue"/>
                  <w:tcBorders>
                    <w:left w:val="single" w:color="auto" w:sz="4" w:space="0"/>
                  </w:tcBorders>
                  <w:vAlign w:val="center"/>
                </w:tcPr>
                <w:p w14:paraId="56BB5932">
                  <w:pPr>
                    <w:jc w:val="center"/>
                    <w:rPr>
                      <w:color w:val="000000" w:themeColor="text1"/>
                      <w14:textFill>
                        <w14:solidFill>
                          <w14:schemeClr w14:val="tx1"/>
                        </w14:solidFill>
                      </w14:textFill>
                    </w:rPr>
                  </w:pPr>
                </w:p>
              </w:tc>
              <w:tc>
                <w:tcPr>
                  <w:tcW w:w="947" w:type="pct"/>
                  <w:vMerge w:val="continue"/>
                  <w:vAlign w:val="center"/>
                </w:tcPr>
                <w:p w14:paraId="0D25C6F2">
                  <w:pPr>
                    <w:pStyle w:val="49"/>
                    <w:rPr>
                      <w:color w:val="000000" w:themeColor="text1"/>
                      <w14:textFill>
                        <w14:solidFill>
                          <w14:schemeClr w14:val="tx1"/>
                        </w14:solidFill>
                      </w14:textFill>
                    </w:rPr>
                  </w:pPr>
                </w:p>
              </w:tc>
              <w:tc>
                <w:tcPr>
                  <w:tcW w:w="654" w:type="pct"/>
                  <w:vMerge w:val="continue"/>
                  <w:tcBorders>
                    <w:bottom w:val="single" w:color="auto" w:sz="4" w:space="0"/>
                  </w:tcBorders>
                  <w:vAlign w:val="center"/>
                </w:tcPr>
                <w:p w14:paraId="0D5DAD2B">
                  <w:pPr>
                    <w:jc w:val="center"/>
                    <w:rPr>
                      <w:color w:val="000000" w:themeColor="text1"/>
                      <w14:textFill>
                        <w14:solidFill>
                          <w14:schemeClr w14:val="tx1"/>
                        </w14:solidFill>
                      </w14:textFill>
                    </w:rPr>
                  </w:pPr>
                </w:p>
              </w:tc>
              <w:tc>
                <w:tcPr>
                  <w:tcW w:w="1952" w:type="pct"/>
                  <w:shd w:val="clear" w:color="auto" w:fill="auto"/>
                  <w:vAlign w:val="center"/>
                </w:tcPr>
                <w:p w14:paraId="212A5AF3">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1CE8E42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6B29BF8E">
                  <w:pPr>
                    <w:spacing w:before="60" w:after="60"/>
                    <w:jc w:val="center"/>
                    <w:rPr>
                      <w:color w:val="000000" w:themeColor="text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1554B37C">
                  <w:pPr>
                    <w:spacing w:before="60" w:after="60"/>
                    <w:jc w:val="center"/>
                    <w:rPr>
                      <w:color w:val="000000" w:themeColor="text1"/>
                      <w14:textFill>
                        <w14:solidFill>
                          <w14:schemeClr w14:val="tx1"/>
                        </w14:solidFill>
                      </w14:textFill>
                    </w:rPr>
                  </w:pPr>
                </w:p>
              </w:tc>
              <w:tc>
                <w:tcPr>
                  <w:tcW w:w="707" w:type="pct"/>
                  <w:vMerge w:val="continue"/>
                  <w:tcBorders>
                    <w:left w:val="single" w:color="auto" w:sz="4" w:space="0"/>
                  </w:tcBorders>
                  <w:vAlign w:val="center"/>
                </w:tcPr>
                <w:p w14:paraId="4AF00DC0">
                  <w:pPr>
                    <w:jc w:val="center"/>
                    <w:rPr>
                      <w:color w:val="000000" w:themeColor="text1"/>
                      <w14:textFill>
                        <w14:solidFill>
                          <w14:schemeClr w14:val="tx1"/>
                        </w14:solidFill>
                      </w14:textFill>
                    </w:rPr>
                  </w:pPr>
                </w:p>
              </w:tc>
              <w:tc>
                <w:tcPr>
                  <w:tcW w:w="947" w:type="pct"/>
                  <w:vMerge w:val="restart"/>
                  <w:vAlign w:val="center"/>
                </w:tcPr>
                <w:p w14:paraId="0E177580">
                  <w:pPr>
                    <w:pStyle w:val="49"/>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p>
              </w:tc>
              <w:tc>
                <w:tcPr>
                  <w:tcW w:w="654" w:type="pct"/>
                  <w:vMerge w:val="restart"/>
                  <w:tcBorders>
                    <w:bottom w:val="single" w:color="auto" w:sz="4" w:space="0"/>
                  </w:tcBorders>
                  <w:vAlign w:val="center"/>
                </w:tcPr>
                <w:p w14:paraId="4A3252FD">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1次/年</w:t>
                  </w:r>
                </w:p>
              </w:tc>
              <w:tc>
                <w:tcPr>
                  <w:tcW w:w="1952" w:type="pct"/>
                  <w:shd w:val="clear" w:color="auto" w:fill="auto"/>
                  <w:vAlign w:val="center"/>
                </w:tcPr>
                <w:p w14:paraId="330EECD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7481E21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7D84FCAA">
                  <w:pPr>
                    <w:spacing w:before="60" w:after="60"/>
                    <w:jc w:val="center"/>
                    <w:rPr>
                      <w:color w:val="000000" w:themeColor="text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30AEE575">
                  <w:pPr>
                    <w:spacing w:before="60" w:after="60"/>
                    <w:jc w:val="center"/>
                    <w:rPr>
                      <w:color w:val="000000" w:themeColor="text1"/>
                      <w14:textFill>
                        <w14:solidFill>
                          <w14:schemeClr w14:val="tx1"/>
                        </w14:solidFill>
                      </w14:textFill>
                    </w:rPr>
                  </w:pPr>
                </w:p>
              </w:tc>
              <w:tc>
                <w:tcPr>
                  <w:tcW w:w="707" w:type="pct"/>
                  <w:vMerge w:val="continue"/>
                  <w:tcBorders>
                    <w:left w:val="single" w:color="auto" w:sz="4" w:space="0"/>
                  </w:tcBorders>
                  <w:vAlign w:val="center"/>
                </w:tcPr>
                <w:p w14:paraId="10081E36">
                  <w:pPr>
                    <w:spacing w:before="60" w:after="60"/>
                    <w:jc w:val="center"/>
                    <w:rPr>
                      <w:color w:val="000000" w:themeColor="text1"/>
                      <w14:textFill>
                        <w14:solidFill>
                          <w14:schemeClr w14:val="tx1"/>
                        </w14:solidFill>
                      </w14:textFill>
                    </w:rPr>
                  </w:pPr>
                </w:p>
              </w:tc>
              <w:tc>
                <w:tcPr>
                  <w:tcW w:w="947" w:type="pct"/>
                  <w:vMerge w:val="continue"/>
                  <w:vAlign w:val="center"/>
                </w:tcPr>
                <w:p w14:paraId="6B9F989B">
                  <w:pPr>
                    <w:spacing w:before="60" w:after="60"/>
                    <w:jc w:val="center"/>
                    <w:rPr>
                      <w:color w:val="000000" w:themeColor="text1"/>
                      <w14:textFill>
                        <w14:solidFill>
                          <w14:schemeClr w14:val="tx1"/>
                        </w14:solidFill>
                      </w14:textFill>
                    </w:rPr>
                  </w:pPr>
                </w:p>
              </w:tc>
              <w:tc>
                <w:tcPr>
                  <w:tcW w:w="654" w:type="pct"/>
                  <w:vMerge w:val="continue"/>
                  <w:tcBorders>
                    <w:bottom w:val="single" w:color="auto" w:sz="4" w:space="0"/>
                  </w:tcBorders>
                  <w:vAlign w:val="center"/>
                </w:tcPr>
                <w:p w14:paraId="13DA5805">
                  <w:pPr>
                    <w:spacing w:before="60" w:after="60"/>
                    <w:jc w:val="center"/>
                    <w:rPr>
                      <w:color w:val="000000" w:themeColor="text1"/>
                      <w14:textFill>
                        <w14:solidFill>
                          <w14:schemeClr w14:val="tx1"/>
                        </w14:solidFill>
                      </w14:textFill>
                    </w:rPr>
                  </w:pPr>
                </w:p>
              </w:tc>
              <w:tc>
                <w:tcPr>
                  <w:tcW w:w="1952" w:type="pct"/>
                  <w:shd w:val="clear" w:color="auto" w:fill="auto"/>
                  <w:vAlign w:val="center"/>
                </w:tcPr>
                <w:p w14:paraId="20151E1E">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44683FA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566D7DF6">
                  <w:pPr>
                    <w:spacing w:before="60" w:after="60"/>
                    <w:jc w:val="center"/>
                    <w:rPr>
                      <w:color w:val="000000" w:themeColor="text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78F75BA3">
                  <w:pPr>
                    <w:spacing w:before="60" w:after="60"/>
                    <w:jc w:val="center"/>
                    <w:rPr>
                      <w:color w:val="000000" w:themeColor="text1"/>
                      <w14:textFill>
                        <w14:solidFill>
                          <w14:schemeClr w14:val="tx1"/>
                        </w14:solidFill>
                      </w14:textFill>
                    </w:rPr>
                  </w:pPr>
                </w:p>
              </w:tc>
              <w:tc>
                <w:tcPr>
                  <w:tcW w:w="707" w:type="pct"/>
                  <w:vMerge w:val="continue"/>
                  <w:tcBorders>
                    <w:left w:val="single" w:color="auto" w:sz="4" w:space="0"/>
                  </w:tcBorders>
                  <w:vAlign w:val="center"/>
                </w:tcPr>
                <w:p w14:paraId="022C803B">
                  <w:pPr>
                    <w:jc w:val="center"/>
                    <w:rPr>
                      <w:color w:val="000000" w:themeColor="text1"/>
                      <w14:textFill>
                        <w14:solidFill>
                          <w14:schemeClr w14:val="tx1"/>
                        </w14:solidFill>
                      </w14:textFill>
                    </w:rPr>
                  </w:pPr>
                </w:p>
              </w:tc>
              <w:tc>
                <w:tcPr>
                  <w:tcW w:w="947" w:type="pct"/>
                  <w:vMerge w:val="restart"/>
                  <w:vAlign w:val="center"/>
                </w:tcPr>
                <w:p w14:paraId="374C064E">
                  <w:pPr>
                    <w:pStyle w:val="49"/>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NO</w:t>
                  </w:r>
                  <w:r>
                    <w:rPr>
                      <w:rFonts w:hint="eastAsia"/>
                      <w:color w:val="000000" w:themeColor="text1"/>
                      <w:szCs w:val="21"/>
                      <w:vertAlign w:val="subscript"/>
                      <w14:textFill>
                        <w14:solidFill>
                          <w14:schemeClr w14:val="tx1"/>
                        </w14:solidFill>
                      </w14:textFill>
                    </w:rPr>
                    <w:t>X</w:t>
                  </w:r>
                </w:p>
              </w:tc>
              <w:tc>
                <w:tcPr>
                  <w:tcW w:w="654" w:type="pct"/>
                  <w:vMerge w:val="restart"/>
                  <w:tcBorders>
                    <w:bottom w:val="single" w:color="auto" w:sz="4" w:space="0"/>
                  </w:tcBorders>
                  <w:vAlign w:val="center"/>
                </w:tcPr>
                <w:p w14:paraId="677DF309">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次</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月</w:t>
                  </w:r>
                </w:p>
              </w:tc>
              <w:tc>
                <w:tcPr>
                  <w:tcW w:w="1952" w:type="pct"/>
                  <w:shd w:val="clear" w:color="auto" w:fill="auto"/>
                  <w:vAlign w:val="center"/>
                </w:tcPr>
                <w:p w14:paraId="68BBA97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775A406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1BAA7FE1">
                  <w:pPr>
                    <w:spacing w:before="60" w:after="60"/>
                    <w:jc w:val="center"/>
                    <w:rPr>
                      <w:color w:val="000000" w:themeColor="text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630B59CC">
                  <w:pPr>
                    <w:spacing w:before="60" w:after="60"/>
                    <w:jc w:val="center"/>
                    <w:rPr>
                      <w:color w:val="000000" w:themeColor="text1"/>
                      <w14:textFill>
                        <w14:solidFill>
                          <w14:schemeClr w14:val="tx1"/>
                        </w14:solidFill>
                      </w14:textFill>
                    </w:rPr>
                  </w:pPr>
                </w:p>
              </w:tc>
              <w:tc>
                <w:tcPr>
                  <w:tcW w:w="707" w:type="pct"/>
                  <w:vMerge w:val="continue"/>
                  <w:tcBorders>
                    <w:left w:val="single" w:color="auto" w:sz="4" w:space="0"/>
                  </w:tcBorders>
                  <w:vAlign w:val="center"/>
                </w:tcPr>
                <w:p w14:paraId="0F2E33D4">
                  <w:pPr>
                    <w:spacing w:before="60" w:after="60"/>
                    <w:jc w:val="center"/>
                    <w:rPr>
                      <w:color w:val="000000" w:themeColor="text1"/>
                      <w14:textFill>
                        <w14:solidFill>
                          <w14:schemeClr w14:val="tx1"/>
                        </w14:solidFill>
                      </w14:textFill>
                    </w:rPr>
                  </w:pPr>
                </w:p>
              </w:tc>
              <w:tc>
                <w:tcPr>
                  <w:tcW w:w="947" w:type="pct"/>
                  <w:vMerge w:val="continue"/>
                  <w:vAlign w:val="center"/>
                </w:tcPr>
                <w:p w14:paraId="1D539218">
                  <w:pPr>
                    <w:spacing w:before="60" w:after="60"/>
                    <w:jc w:val="center"/>
                    <w:rPr>
                      <w:color w:val="000000" w:themeColor="text1"/>
                      <w14:textFill>
                        <w14:solidFill>
                          <w14:schemeClr w14:val="tx1"/>
                        </w14:solidFill>
                      </w14:textFill>
                    </w:rPr>
                  </w:pPr>
                </w:p>
              </w:tc>
              <w:tc>
                <w:tcPr>
                  <w:tcW w:w="654" w:type="pct"/>
                  <w:vMerge w:val="continue"/>
                  <w:tcBorders>
                    <w:bottom w:val="single" w:color="auto" w:sz="4" w:space="0"/>
                  </w:tcBorders>
                  <w:vAlign w:val="center"/>
                </w:tcPr>
                <w:p w14:paraId="070E7A8E">
                  <w:pPr>
                    <w:spacing w:before="60" w:after="60"/>
                    <w:jc w:val="center"/>
                    <w:rPr>
                      <w:color w:val="000000" w:themeColor="text1"/>
                      <w14:textFill>
                        <w14:solidFill>
                          <w14:schemeClr w14:val="tx1"/>
                        </w14:solidFill>
                      </w14:textFill>
                    </w:rPr>
                  </w:pPr>
                </w:p>
              </w:tc>
              <w:tc>
                <w:tcPr>
                  <w:tcW w:w="1952" w:type="pct"/>
                  <w:shd w:val="clear" w:color="auto" w:fill="auto"/>
                  <w:vAlign w:val="center"/>
                </w:tcPr>
                <w:p w14:paraId="17D0B9EF">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52ADBE7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3C5B6496">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2860CF23">
                  <w:pPr>
                    <w:jc w:val="center"/>
                    <w:rPr>
                      <w:color w:val="000000" w:themeColor="text1"/>
                      <w:szCs w:val="21"/>
                      <w14:textFill>
                        <w14:solidFill>
                          <w14:schemeClr w14:val="tx1"/>
                        </w14:solidFill>
                      </w14:textFill>
                    </w:rPr>
                  </w:pPr>
                </w:p>
              </w:tc>
              <w:tc>
                <w:tcPr>
                  <w:tcW w:w="707" w:type="pct"/>
                  <w:vMerge w:val="restart"/>
                  <w:vAlign w:val="center"/>
                </w:tcPr>
                <w:p w14:paraId="124B81C7">
                  <w:pPr>
                    <w:pStyle w:val="49"/>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DA005</w:t>
                  </w:r>
                </w:p>
              </w:tc>
              <w:tc>
                <w:tcPr>
                  <w:tcW w:w="947" w:type="pct"/>
                  <w:vMerge w:val="restart"/>
                  <w:shd w:val="clear" w:color="auto" w:fill="auto"/>
                  <w:vAlign w:val="center"/>
                </w:tcPr>
                <w:p w14:paraId="648661B7">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654" w:type="pct"/>
                  <w:vMerge w:val="restart"/>
                  <w:shd w:val="clear" w:color="auto" w:fill="auto"/>
                  <w:vAlign w:val="center"/>
                </w:tcPr>
                <w:p w14:paraId="0A3906A2">
                  <w:pPr>
                    <w:jc w:val="center"/>
                    <w:rPr>
                      <w:b/>
                      <w:color w:val="000000" w:themeColor="text1"/>
                      <w:szCs w:val="21"/>
                      <w14:textFill>
                        <w14:solidFill>
                          <w14:schemeClr w14:val="tx1"/>
                        </w14:solidFill>
                      </w14:textFill>
                    </w:rPr>
                  </w:pPr>
                  <w:r>
                    <w:rPr>
                      <w:color w:val="000000" w:themeColor="text1"/>
                      <w:szCs w:val="21"/>
                      <w14:textFill>
                        <w14:solidFill>
                          <w14:schemeClr w14:val="tx1"/>
                        </w14:solidFill>
                      </w14:textFill>
                    </w:rPr>
                    <w:t>1次/年</w:t>
                  </w:r>
                </w:p>
              </w:tc>
              <w:tc>
                <w:tcPr>
                  <w:tcW w:w="1952" w:type="pct"/>
                  <w:tcBorders>
                    <w:top w:val="single" w:color="auto" w:sz="4" w:space="0"/>
                  </w:tcBorders>
                  <w:shd w:val="clear" w:color="auto" w:fill="auto"/>
                  <w:vAlign w:val="center"/>
                </w:tcPr>
                <w:p w14:paraId="71055FD8">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r>
            <w:tr w14:paraId="2100FD4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63" w:hRule="atLeast"/>
                <w:jc w:val="center"/>
              </w:trPr>
              <w:tc>
                <w:tcPr>
                  <w:tcW w:w="371" w:type="pct"/>
                  <w:vMerge w:val="continue"/>
                  <w:tcBorders>
                    <w:right w:val="single" w:color="auto" w:sz="4" w:space="0"/>
                  </w:tcBorders>
                  <w:vAlign w:val="center"/>
                </w:tcPr>
                <w:p w14:paraId="11E92F63">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1CE04A42">
                  <w:pPr>
                    <w:jc w:val="center"/>
                    <w:rPr>
                      <w:color w:val="000000" w:themeColor="text1"/>
                      <w:szCs w:val="21"/>
                      <w14:textFill>
                        <w14:solidFill>
                          <w14:schemeClr w14:val="tx1"/>
                        </w14:solidFill>
                      </w14:textFill>
                    </w:rPr>
                  </w:pPr>
                </w:p>
              </w:tc>
              <w:tc>
                <w:tcPr>
                  <w:tcW w:w="707" w:type="pct"/>
                  <w:vMerge w:val="continue"/>
                  <w:vAlign w:val="center"/>
                </w:tcPr>
                <w:p w14:paraId="67C81C2D">
                  <w:pPr>
                    <w:adjustRightInd w:val="0"/>
                    <w:snapToGrid w:val="0"/>
                    <w:jc w:val="center"/>
                    <w:rPr>
                      <w:color w:val="000000" w:themeColor="text1"/>
                      <w:szCs w:val="21"/>
                      <w14:textFill>
                        <w14:solidFill>
                          <w14:schemeClr w14:val="tx1"/>
                        </w14:solidFill>
                      </w14:textFill>
                    </w:rPr>
                  </w:pPr>
                </w:p>
              </w:tc>
              <w:tc>
                <w:tcPr>
                  <w:tcW w:w="947" w:type="pct"/>
                  <w:vMerge w:val="continue"/>
                  <w:shd w:val="clear" w:color="auto" w:fill="auto"/>
                  <w:vAlign w:val="center"/>
                </w:tcPr>
                <w:p w14:paraId="10235A07">
                  <w:pPr>
                    <w:adjustRightInd w:val="0"/>
                    <w:snapToGrid w:val="0"/>
                    <w:jc w:val="center"/>
                    <w:rPr>
                      <w:color w:val="000000" w:themeColor="text1"/>
                      <w:szCs w:val="21"/>
                      <w14:textFill>
                        <w14:solidFill>
                          <w14:schemeClr w14:val="tx1"/>
                        </w14:solidFill>
                      </w14:textFill>
                    </w:rPr>
                  </w:pPr>
                </w:p>
              </w:tc>
              <w:tc>
                <w:tcPr>
                  <w:tcW w:w="654" w:type="pct"/>
                  <w:vMerge w:val="continue"/>
                  <w:shd w:val="clear" w:color="auto" w:fill="auto"/>
                  <w:vAlign w:val="center"/>
                </w:tcPr>
                <w:p w14:paraId="32C23C1E">
                  <w:pPr>
                    <w:adjustRightInd w:val="0"/>
                    <w:snapToGrid w:val="0"/>
                    <w:jc w:val="center"/>
                    <w:rPr>
                      <w:color w:val="000000" w:themeColor="text1"/>
                      <w:szCs w:val="21"/>
                      <w14:textFill>
                        <w14:solidFill>
                          <w14:schemeClr w14:val="tx1"/>
                        </w14:solidFill>
                      </w14:textFill>
                    </w:rPr>
                  </w:pPr>
                </w:p>
              </w:tc>
              <w:tc>
                <w:tcPr>
                  <w:tcW w:w="1952" w:type="pct"/>
                  <w:tcBorders>
                    <w:top w:val="single" w:color="auto" w:sz="4" w:space="0"/>
                  </w:tcBorders>
                  <w:shd w:val="clear" w:color="auto" w:fill="auto"/>
                  <w:vAlign w:val="center"/>
                </w:tcPr>
                <w:p w14:paraId="5362E69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w:t>
                  </w:r>
                  <w:r>
                    <w:rPr>
                      <w:bCs/>
                      <w:color w:val="000000" w:themeColor="text1"/>
                      <w:kern w:val="0"/>
                      <w:szCs w:val="21"/>
                      <w14:textFill>
                        <w14:solidFill>
                          <w14:schemeClr w14:val="tx1"/>
                        </w14:solidFill>
                      </w14:textFill>
                    </w:rPr>
                    <w:t>VOC</w:t>
                  </w:r>
                  <w:r>
                    <w:rPr>
                      <w:rFonts w:hint="eastAsia"/>
                      <w:bCs/>
                      <w:color w:val="000000" w:themeColor="text1"/>
                      <w:kern w:val="0"/>
                      <w:szCs w:val="21"/>
                      <w14:textFill>
                        <w14:solidFill>
                          <w14:schemeClr w14:val="tx1"/>
                        </w14:solidFill>
                      </w14:textFill>
                    </w:rPr>
                    <w:t>s</w:t>
                  </w:r>
                  <w:r>
                    <w:rPr>
                      <w:color w:val="000000" w:themeColor="text1"/>
                      <w:szCs w:val="21"/>
                      <w14:textFill>
                        <w14:solidFill>
                          <w14:schemeClr w14:val="tx1"/>
                        </w14:solidFill>
                      </w14:textFill>
                    </w:rPr>
                    <w:t>排放限值</w:t>
                  </w:r>
                </w:p>
              </w:tc>
            </w:tr>
            <w:tr w14:paraId="2F6850E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63" w:hRule="atLeast"/>
                <w:jc w:val="center"/>
              </w:trPr>
              <w:tc>
                <w:tcPr>
                  <w:tcW w:w="371" w:type="pct"/>
                  <w:vMerge w:val="continue"/>
                  <w:tcBorders>
                    <w:right w:val="single" w:color="auto" w:sz="4" w:space="0"/>
                  </w:tcBorders>
                  <w:vAlign w:val="center"/>
                </w:tcPr>
                <w:p w14:paraId="574AC20C">
                  <w:pPr>
                    <w:jc w:val="center"/>
                    <w:rPr>
                      <w:color w:val="000000" w:themeColor="text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637503F7">
                  <w:pPr>
                    <w:jc w:val="center"/>
                    <w:rPr>
                      <w:color w:val="000000" w:themeColor="text1"/>
                      <w14:textFill>
                        <w14:solidFill>
                          <w14:schemeClr w14:val="tx1"/>
                        </w14:solidFill>
                      </w14:textFill>
                    </w:rPr>
                  </w:pPr>
                </w:p>
              </w:tc>
              <w:tc>
                <w:tcPr>
                  <w:tcW w:w="707" w:type="pct"/>
                  <w:vMerge w:val="continue"/>
                  <w:vAlign w:val="center"/>
                </w:tcPr>
                <w:p w14:paraId="584529A6">
                  <w:pPr>
                    <w:adjustRightInd w:val="0"/>
                    <w:snapToGrid w:val="0"/>
                    <w:jc w:val="center"/>
                    <w:rPr>
                      <w:color w:val="000000" w:themeColor="text1"/>
                      <w14:textFill>
                        <w14:solidFill>
                          <w14:schemeClr w14:val="tx1"/>
                        </w14:solidFill>
                      </w14:textFill>
                    </w:rPr>
                  </w:pPr>
                </w:p>
              </w:tc>
              <w:tc>
                <w:tcPr>
                  <w:tcW w:w="947" w:type="pct"/>
                  <w:vMerge w:val="continue"/>
                  <w:shd w:val="clear" w:color="auto" w:fill="auto"/>
                  <w:vAlign w:val="center"/>
                </w:tcPr>
                <w:p w14:paraId="7F140E6C">
                  <w:pPr>
                    <w:adjustRightInd w:val="0"/>
                    <w:snapToGrid w:val="0"/>
                    <w:jc w:val="center"/>
                    <w:rPr>
                      <w:color w:val="000000" w:themeColor="text1"/>
                      <w14:textFill>
                        <w14:solidFill>
                          <w14:schemeClr w14:val="tx1"/>
                        </w14:solidFill>
                      </w14:textFill>
                    </w:rPr>
                  </w:pPr>
                </w:p>
              </w:tc>
              <w:tc>
                <w:tcPr>
                  <w:tcW w:w="654" w:type="pct"/>
                  <w:vMerge w:val="continue"/>
                  <w:shd w:val="clear" w:color="auto" w:fill="auto"/>
                  <w:vAlign w:val="center"/>
                </w:tcPr>
                <w:p w14:paraId="52DD82E3">
                  <w:pPr>
                    <w:adjustRightInd w:val="0"/>
                    <w:snapToGrid w:val="0"/>
                    <w:jc w:val="center"/>
                    <w:rPr>
                      <w:color w:val="000000" w:themeColor="text1"/>
                      <w14:textFill>
                        <w14:solidFill>
                          <w14:schemeClr w14:val="tx1"/>
                        </w14:solidFill>
                      </w14:textFill>
                    </w:rPr>
                  </w:pPr>
                </w:p>
              </w:tc>
              <w:tc>
                <w:tcPr>
                  <w:tcW w:w="1952" w:type="pct"/>
                  <w:tcBorders>
                    <w:top w:val="single" w:color="auto" w:sz="4" w:space="0"/>
                  </w:tcBorders>
                  <w:shd w:val="clear" w:color="auto" w:fill="auto"/>
                  <w:vAlign w:val="center"/>
                </w:tcPr>
                <w:p w14:paraId="5BFA902F">
                  <w:pPr>
                    <w:jc w:val="center"/>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《关</w:t>
                  </w:r>
                  <w:r>
                    <w:rPr>
                      <w:color w:val="000000" w:themeColor="text1"/>
                      <w:szCs w:val="21"/>
                      <w14:textFill>
                        <w14:solidFill>
                          <w14:schemeClr w14:val="tx1"/>
                        </w14:solidFill>
                      </w14:textFill>
                    </w:rPr>
                    <w:t>于全省开展工业企业挥发性有机物专项治理工作中排放建议值的通知》（豫环攻坚办[2017]162号）</w:t>
                  </w:r>
                  <w:r>
                    <w:rPr>
                      <w:rFonts w:hint="eastAsia"/>
                      <w:color w:val="000000" w:themeColor="text1"/>
                      <w:szCs w:val="21"/>
                      <w14:textFill>
                        <w14:solidFill>
                          <w14:schemeClr w14:val="tx1"/>
                        </w14:solidFill>
                      </w14:textFill>
                    </w:rPr>
                    <w:t>中“其他行业”</w:t>
                  </w:r>
                </w:p>
              </w:tc>
            </w:tr>
            <w:tr w14:paraId="779393C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2FEE3FA8">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03F8253F">
                  <w:pPr>
                    <w:jc w:val="center"/>
                    <w:rPr>
                      <w:color w:val="000000" w:themeColor="text1"/>
                      <w:szCs w:val="21"/>
                      <w14:textFill>
                        <w14:solidFill>
                          <w14:schemeClr w14:val="tx1"/>
                        </w14:solidFill>
                      </w14:textFill>
                    </w:rPr>
                  </w:pPr>
                </w:p>
              </w:tc>
              <w:tc>
                <w:tcPr>
                  <w:tcW w:w="707" w:type="pct"/>
                  <w:vMerge w:val="restart"/>
                  <w:shd w:val="clear" w:color="auto" w:fill="auto"/>
                  <w:vAlign w:val="center"/>
                </w:tcPr>
                <w:p w14:paraId="712181C4">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6</w:t>
                  </w:r>
                </w:p>
              </w:tc>
              <w:tc>
                <w:tcPr>
                  <w:tcW w:w="947" w:type="pct"/>
                  <w:vMerge w:val="restart"/>
                  <w:shd w:val="clear" w:color="auto" w:fill="auto"/>
                  <w:vAlign w:val="center"/>
                </w:tcPr>
                <w:p w14:paraId="435FD12C">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54" w:type="pct"/>
                  <w:vMerge w:val="restart"/>
                  <w:shd w:val="clear" w:color="auto" w:fill="auto"/>
                  <w:vAlign w:val="center"/>
                </w:tcPr>
                <w:p w14:paraId="442CC6C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1952" w:type="pct"/>
                  <w:tcBorders>
                    <w:top w:val="single" w:color="auto" w:sz="4" w:space="0"/>
                  </w:tcBorders>
                  <w:shd w:val="clear" w:color="auto" w:fill="auto"/>
                  <w:vAlign w:val="center"/>
                </w:tcPr>
                <w:p w14:paraId="064E0D4C">
                  <w:pPr>
                    <w:jc w:val="center"/>
                    <w:rPr>
                      <w:rFonts w:ascii="宋体" w:hAnsi="宋体"/>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r>
            <w:tr w14:paraId="7B6A436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11074DEF">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646E41EA">
                  <w:pPr>
                    <w:jc w:val="center"/>
                    <w:rPr>
                      <w:color w:val="000000" w:themeColor="text1"/>
                      <w:szCs w:val="21"/>
                      <w14:textFill>
                        <w14:solidFill>
                          <w14:schemeClr w14:val="tx1"/>
                        </w14:solidFill>
                      </w14:textFill>
                    </w:rPr>
                  </w:pPr>
                </w:p>
              </w:tc>
              <w:tc>
                <w:tcPr>
                  <w:tcW w:w="707" w:type="pct"/>
                  <w:vMerge w:val="continue"/>
                  <w:shd w:val="clear" w:color="auto" w:fill="auto"/>
                  <w:vAlign w:val="center"/>
                </w:tcPr>
                <w:p w14:paraId="24F847C0">
                  <w:pPr>
                    <w:jc w:val="center"/>
                    <w:rPr>
                      <w:color w:val="000000" w:themeColor="text1"/>
                      <w14:textFill>
                        <w14:solidFill>
                          <w14:schemeClr w14:val="tx1"/>
                        </w14:solidFill>
                      </w14:textFill>
                    </w:rPr>
                  </w:pPr>
                </w:p>
              </w:tc>
              <w:tc>
                <w:tcPr>
                  <w:tcW w:w="947" w:type="pct"/>
                  <w:vMerge w:val="continue"/>
                  <w:shd w:val="clear" w:color="auto" w:fill="auto"/>
                  <w:vAlign w:val="center"/>
                </w:tcPr>
                <w:p w14:paraId="780BCEAA">
                  <w:pPr>
                    <w:pStyle w:val="49"/>
                    <w:rPr>
                      <w:color w:val="000000" w:themeColor="text1"/>
                      <w:szCs w:val="21"/>
                      <w14:textFill>
                        <w14:solidFill>
                          <w14:schemeClr w14:val="tx1"/>
                        </w14:solidFill>
                      </w14:textFill>
                    </w:rPr>
                  </w:pPr>
                </w:p>
              </w:tc>
              <w:tc>
                <w:tcPr>
                  <w:tcW w:w="654" w:type="pct"/>
                  <w:vMerge w:val="continue"/>
                  <w:shd w:val="clear" w:color="auto" w:fill="auto"/>
                  <w:vAlign w:val="center"/>
                </w:tcPr>
                <w:p w14:paraId="3340D4F3">
                  <w:pPr>
                    <w:jc w:val="center"/>
                    <w:rPr>
                      <w:color w:val="000000" w:themeColor="text1"/>
                      <w:szCs w:val="21"/>
                      <w14:textFill>
                        <w14:solidFill>
                          <w14:schemeClr w14:val="tx1"/>
                        </w14:solidFill>
                      </w14:textFill>
                    </w:rPr>
                  </w:pPr>
                </w:p>
              </w:tc>
              <w:tc>
                <w:tcPr>
                  <w:tcW w:w="1952" w:type="pct"/>
                  <w:tcBorders>
                    <w:top w:val="single" w:color="auto" w:sz="4" w:space="0"/>
                  </w:tcBorders>
                  <w:shd w:val="clear" w:color="auto" w:fill="auto"/>
                  <w:vAlign w:val="center"/>
                </w:tcPr>
                <w:p w14:paraId="5F83252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年修订版）附录2中其他工序PM排放限值</w:t>
                  </w:r>
                </w:p>
              </w:tc>
            </w:tr>
            <w:tr w14:paraId="57CF671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09949FD3">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72FB158E">
                  <w:pPr>
                    <w:jc w:val="center"/>
                    <w:rPr>
                      <w:color w:val="000000" w:themeColor="text1"/>
                      <w:szCs w:val="21"/>
                      <w14:textFill>
                        <w14:solidFill>
                          <w14:schemeClr w14:val="tx1"/>
                        </w14:solidFill>
                      </w14:textFill>
                    </w:rPr>
                  </w:pPr>
                </w:p>
              </w:tc>
              <w:tc>
                <w:tcPr>
                  <w:tcW w:w="1296" w:type="dxa"/>
                  <w:vMerge w:val="restart"/>
                  <w:shd w:val="clear" w:color="auto" w:fill="auto"/>
                  <w:vAlign w:val="center"/>
                </w:tcPr>
                <w:p w14:paraId="7645510D">
                  <w:pPr>
                    <w:jc w:val="center"/>
                    <w:rPr>
                      <w:color w:val="000000" w:themeColor="text1"/>
                      <w14:textFill>
                        <w14:solidFill>
                          <w14:schemeClr w14:val="tx1"/>
                        </w14:solidFill>
                      </w14:textFill>
                    </w:rPr>
                  </w:pPr>
                  <w:r>
                    <w:rPr>
                      <w:color w:val="000000" w:themeColor="text1"/>
                      <w:szCs w:val="21"/>
                      <w14:textFill>
                        <w14:solidFill>
                          <w14:schemeClr w14:val="tx1"/>
                        </w14:solidFill>
                      </w14:textFill>
                    </w:rPr>
                    <w:t>DA00</w:t>
                  </w:r>
                  <w:r>
                    <w:rPr>
                      <w:rFonts w:hint="eastAsia"/>
                      <w:color w:val="000000" w:themeColor="text1"/>
                      <w:szCs w:val="21"/>
                      <w14:textFill>
                        <w14:solidFill>
                          <w14:schemeClr w14:val="tx1"/>
                        </w14:solidFill>
                      </w14:textFill>
                    </w:rPr>
                    <w:t>7</w:t>
                  </w:r>
                </w:p>
              </w:tc>
              <w:tc>
                <w:tcPr>
                  <w:tcW w:w="1736" w:type="dxa"/>
                  <w:shd w:val="clear" w:color="auto" w:fill="auto"/>
                  <w:vAlign w:val="center"/>
                </w:tcPr>
                <w:p w14:paraId="4A81206B">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臭气浓度</w:t>
                  </w:r>
                </w:p>
              </w:tc>
              <w:tc>
                <w:tcPr>
                  <w:tcW w:w="1199" w:type="dxa"/>
                  <w:shd w:val="clear" w:color="auto" w:fill="auto"/>
                  <w:vAlign w:val="center"/>
                </w:tcPr>
                <w:p w14:paraId="34B51B5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3579" w:type="dxa"/>
                  <w:tcBorders>
                    <w:top w:val="single" w:color="auto" w:sz="4" w:space="0"/>
                  </w:tcBorders>
                  <w:shd w:val="clear" w:color="auto" w:fill="auto"/>
                  <w:vAlign w:val="center"/>
                </w:tcPr>
                <w:p w14:paraId="60BAC93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 14554-93）中</w:t>
                  </w:r>
                  <w:r>
                    <w:rPr>
                      <w:rFonts w:hint="eastAsia"/>
                      <w:color w:val="000000" w:themeColor="text1"/>
                      <w:szCs w:val="21"/>
                      <w14:textFill>
                        <w14:solidFill>
                          <w14:schemeClr w14:val="tx1"/>
                        </w14:solidFill>
                      </w14:textFill>
                    </w:rPr>
                    <w:t>表2</w:t>
                  </w:r>
                  <w:r>
                    <w:rPr>
                      <w:color w:val="000000" w:themeColor="text1"/>
                      <w:szCs w:val="21"/>
                      <w14:textFill>
                        <w14:solidFill>
                          <w14:schemeClr w14:val="tx1"/>
                        </w14:solidFill>
                      </w14:textFill>
                    </w:rPr>
                    <w:t>标准</w:t>
                  </w:r>
                </w:p>
              </w:tc>
            </w:tr>
            <w:tr w14:paraId="5A439F1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256F53EB">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248FCB09">
                  <w:pPr>
                    <w:jc w:val="center"/>
                    <w:rPr>
                      <w:color w:val="000000" w:themeColor="text1"/>
                      <w:szCs w:val="21"/>
                      <w14:textFill>
                        <w14:solidFill>
                          <w14:schemeClr w14:val="tx1"/>
                        </w14:solidFill>
                      </w14:textFill>
                    </w:rPr>
                  </w:pPr>
                </w:p>
              </w:tc>
              <w:tc>
                <w:tcPr>
                  <w:tcW w:w="1296" w:type="dxa"/>
                  <w:vMerge w:val="continue"/>
                  <w:shd w:val="clear" w:color="auto" w:fill="auto"/>
                  <w:vAlign w:val="center"/>
                </w:tcPr>
                <w:p w14:paraId="30B05022">
                  <w:pPr>
                    <w:jc w:val="center"/>
                    <w:rPr>
                      <w:color w:val="000000" w:themeColor="text1"/>
                      <w14:textFill>
                        <w14:solidFill>
                          <w14:schemeClr w14:val="tx1"/>
                        </w14:solidFill>
                      </w14:textFill>
                    </w:rPr>
                  </w:pPr>
                </w:p>
              </w:tc>
              <w:tc>
                <w:tcPr>
                  <w:tcW w:w="1736" w:type="dxa"/>
                  <w:shd w:val="clear" w:color="auto" w:fill="auto"/>
                  <w:vAlign w:val="center"/>
                </w:tcPr>
                <w:p w14:paraId="72FCB4DD">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p>
              </w:tc>
              <w:tc>
                <w:tcPr>
                  <w:tcW w:w="1199" w:type="dxa"/>
                  <w:shd w:val="clear" w:color="auto" w:fill="auto"/>
                  <w:vAlign w:val="center"/>
                </w:tcPr>
                <w:p w14:paraId="4DB42DA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3579" w:type="dxa"/>
                  <w:tcBorders>
                    <w:top w:val="single" w:color="auto" w:sz="4" w:space="0"/>
                  </w:tcBorders>
                  <w:shd w:val="clear" w:color="auto" w:fill="auto"/>
                  <w:vAlign w:val="center"/>
                </w:tcPr>
                <w:p w14:paraId="1498FBF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 14554-93）中</w:t>
                  </w:r>
                  <w:r>
                    <w:rPr>
                      <w:rFonts w:hint="eastAsia"/>
                      <w:color w:val="000000" w:themeColor="text1"/>
                      <w:szCs w:val="21"/>
                      <w14:textFill>
                        <w14:solidFill>
                          <w14:schemeClr w14:val="tx1"/>
                        </w14:solidFill>
                      </w14:textFill>
                    </w:rPr>
                    <w:t>表2</w:t>
                  </w:r>
                  <w:r>
                    <w:rPr>
                      <w:color w:val="000000" w:themeColor="text1"/>
                      <w:szCs w:val="21"/>
                      <w14:textFill>
                        <w14:solidFill>
                          <w14:schemeClr w14:val="tx1"/>
                        </w14:solidFill>
                      </w14:textFill>
                    </w:rPr>
                    <w:t>标准</w:t>
                  </w:r>
                </w:p>
              </w:tc>
            </w:tr>
            <w:tr w14:paraId="3AD7E37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3F60083D">
                  <w:pPr>
                    <w:jc w:val="center"/>
                    <w:rPr>
                      <w:color w:val="000000" w:themeColor="text1"/>
                      <w:szCs w:val="21"/>
                      <w14:textFill>
                        <w14:solidFill>
                          <w14:schemeClr w14:val="tx1"/>
                        </w14:solidFill>
                      </w14:textFill>
                    </w:rPr>
                  </w:pPr>
                </w:p>
              </w:tc>
              <w:tc>
                <w:tcPr>
                  <w:tcW w:w="367" w:type="pct"/>
                  <w:vMerge w:val="continue"/>
                  <w:tcBorders>
                    <w:left w:val="single" w:color="auto" w:sz="4" w:space="0"/>
                    <w:right w:val="single" w:color="auto" w:sz="4" w:space="0"/>
                  </w:tcBorders>
                  <w:vAlign w:val="center"/>
                </w:tcPr>
                <w:p w14:paraId="76D92EFA">
                  <w:pPr>
                    <w:jc w:val="center"/>
                    <w:rPr>
                      <w:color w:val="000000" w:themeColor="text1"/>
                      <w:szCs w:val="21"/>
                      <w14:textFill>
                        <w14:solidFill>
                          <w14:schemeClr w14:val="tx1"/>
                        </w14:solidFill>
                      </w14:textFill>
                    </w:rPr>
                  </w:pPr>
                </w:p>
              </w:tc>
              <w:tc>
                <w:tcPr>
                  <w:tcW w:w="1296" w:type="dxa"/>
                  <w:vMerge w:val="continue"/>
                  <w:shd w:val="clear" w:color="auto" w:fill="auto"/>
                  <w:vAlign w:val="center"/>
                </w:tcPr>
                <w:p w14:paraId="5DC846D3">
                  <w:pPr>
                    <w:jc w:val="center"/>
                    <w:rPr>
                      <w:color w:val="000000" w:themeColor="text1"/>
                      <w14:textFill>
                        <w14:solidFill>
                          <w14:schemeClr w14:val="tx1"/>
                        </w14:solidFill>
                      </w14:textFill>
                    </w:rPr>
                  </w:pPr>
                </w:p>
              </w:tc>
              <w:tc>
                <w:tcPr>
                  <w:tcW w:w="1736" w:type="dxa"/>
                  <w:shd w:val="clear" w:color="auto" w:fill="auto"/>
                  <w:vAlign w:val="center"/>
                </w:tcPr>
                <w:p w14:paraId="0D1D4DE4">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1199" w:type="dxa"/>
                  <w:shd w:val="clear" w:color="auto" w:fill="auto"/>
                  <w:vAlign w:val="center"/>
                </w:tcPr>
                <w:p w14:paraId="4E063B5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3579" w:type="dxa"/>
                  <w:tcBorders>
                    <w:top w:val="single" w:color="auto" w:sz="4" w:space="0"/>
                  </w:tcBorders>
                  <w:shd w:val="clear" w:color="auto" w:fill="auto"/>
                  <w:vAlign w:val="center"/>
                </w:tcPr>
                <w:p w14:paraId="50E7FBB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 14554-93）中</w:t>
                  </w:r>
                  <w:r>
                    <w:rPr>
                      <w:rFonts w:hint="eastAsia"/>
                      <w:color w:val="000000" w:themeColor="text1"/>
                      <w:szCs w:val="21"/>
                      <w14:textFill>
                        <w14:solidFill>
                          <w14:schemeClr w14:val="tx1"/>
                        </w14:solidFill>
                      </w14:textFill>
                    </w:rPr>
                    <w:t>表2</w:t>
                  </w:r>
                  <w:r>
                    <w:rPr>
                      <w:color w:val="000000" w:themeColor="text1"/>
                      <w:szCs w:val="21"/>
                      <w14:textFill>
                        <w14:solidFill>
                          <w14:schemeClr w14:val="tx1"/>
                        </w14:solidFill>
                      </w14:textFill>
                    </w:rPr>
                    <w:t>标准</w:t>
                  </w:r>
                </w:p>
              </w:tc>
            </w:tr>
            <w:tr w14:paraId="64BDC163">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7C919683">
                  <w:pPr>
                    <w:jc w:val="center"/>
                    <w:rPr>
                      <w:color w:val="000000" w:themeColor="text1"/>
                      <w:szCs w:val="21"/>
                      <w14:textFill>
                        <w14:solidFill>
                          <w14:schemeClr w14:val="tx1"/>
                        </w14:solidFill>
                      </w14:textFill>
                    </w:rPr>
                  </w:pPr>
                </w:p>
              </w:tc>
              <w:tc>
                <w:tcPr>
                  <w:tcW w:w="367" w:type="pct"/>
                  <w:vMerge w:val="restart"/>
                  <w:tcBorders>
                    <w:top w:val="single" w:color="auto" w:sz="4" w:space="0"/>
                    <w:left w:val="single" w:color="auto" w:sz="4" w:space="0"/>
                  </w:tcBorders>
                  <w:vAlign w:val="center"/>
                </w:tcPr>
                <w:p w14:paraId="657013E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无组织</w:t>
                  </w:r>
                </w:p>
              </w:tc>
              <w:tc>
                <w:tcPr>
                  <w:tcW w:w="707" w:type="pct"/>
                  <w:vMerge w:val="restart"/>
                  <w:vAlign w:val="center"/>
                </w:tcPr>
                <w:p w14:paraId="7FD0592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厂界</w:t>
                  </w:r>
                </w:p>
              </w:tc>
              <w:tc>
                <w:tcPr>
                  <w:tcW w:w="947" w:type="pct"/>
                  <w:vAlign w:val="center"/>
                </w:tcPr>
                <w:p w14:paraId="4A0EEBA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p>
              </w:tc>
              <w:tc>
                <w:tcPr>
                  <w:tcW w:w="654" w:type="pct"/>
                  <w:vAlign w:val="center"/>
                </w:tcPr>
                <w:p w14:paraId="133E07A6">
                  <w:pPr>
                    <w:jc w:val="center"/>
                    <w:rPr>
                      <w:bCs/>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1次/</w:t>
                  </w:r>
                  <w:r>
                    <w:rPr>
                      <w:rFonts w:hint="eastAsia"/>
                      <w:color w:val="000000" w:themeColor="text1"/>
                      <w:kern w:val="0"/>
                      <w:szCs w:val="21"/>
                      <w14:textFill>
                        <w14:solidFill>
                          <w14:schemeClr w14:val="tx1"/>
                        </w14:solidFill>
                      </w14:textFill>
                    </w:rPr>
                    <w:t>半年</w:t>
                  </w:r>
                </w:p>
              </w:tc>
              <w:tc>
                <w:tcPr>
                  <w:tcW w:w="1952" w:type="pct"/>
                  <w:tcBorders>
                    <w:top w:val="single" w:color="auto" w:sz="4" w:space="0"/>
                    <w:bottom w:val="single" w:color="auto" w:sz="4" w:space="0"/>
                  </w:tcBorders>
                  <w:shd w:val="clear" w:color="auto" w:fill="auto"/>
                  <w:vAlign w:val="center"/>
                </w:tcPr>
                <w:p w14:paraId="1E3A7018">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r>
            <w:tr w14:paraId="1BEC57B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4680937D">
                  <w:pPr>
                    <w:jc w:val="center"/>
                    <w:rPr>
                      <w:color w:val="000000" w:themeColor="text1"/>
                      <w:szCs w:val="21"/>
                      <w14:textFill>
                        <w14:solidFill>
                          <w14:schemeClr w14:val="tx1"/>
                        </w14:solidFill>
                      </w14:textFill>
                    </w:rPr>
                  </w:pPr>
                </w:p>
              </w:tc>
              <w:tc>
                <w:tcPr>
                  <w:tcW w:w="367" w:type="pct"/>
                  <w:vMerge w:val="continue"/>
                  <w:tcBorders>
                    <w:left w:val="single" w:color="auto" w:sz="4" w:space="0"/>
                  </w:tcBorders>
                  <w:vAlign w:val="center"/>
                </w:tcPr>
                <w:p w14:paraId="36223423">
                  <w:pPr>
                    <w:jc w:val="center"/>
                    <w:rPr>
                      <w:color w:val="000000" w:themeColor="text1"/>
                      <w:szCs w:val="21"/>
                      <w14:textFill>
                        <w14:solidFill>
                          <w14:schemeClr w14:val="tx1"/>
                        </w14:solidFill>
                      </w14:textFill>
                    </w:rPr>
                  </w:pPr>
                </w:p>
              </w:tc>
              <w:tc>
                <w:tcPr>
                  <w:tcW w:w="707" w:type="pct"/>
                  <w:vMerge w:val="continue"/>
                  <w:vAlign w:val="center"/>
                </w:tcPr>
                <w:p w14:paraId="32E05349">
                  <w:pPr>
                    <w:jc w:val="center"/>
                    <w:rPr>
                      <w:color w:val="000000" w:themeColor="text1"/>
                      <w:szCs w:val="21"/>
                      <w14:textFill>
                        <w14:solidFill>
                          <w14:schemeClr w14:val="tx1"/>
                        </w14:solidFill>
                      </w14:textFill>
                    </w:rPr>
                  </w:pPr>
                </w:p>
              </w:tc>
              <w:tc>
                <w:tcPr>
                  <w:tcW w:w="947" w:type="pct"/>
                  <w:vMerge w:val="restart"/>
                  <w:shd w:val="clear" w:color="auto" w:fill="auto"/>
                  <w:vAlign w:val="center"/>
                </w:tcPr>
                <w:p w14:paraId="177FE03A">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654" w:type="pct"/>
                  <w:vMerge w:val="restart"/>
                  <w:shd w:val="clear" w:color="auto" w:fill="auto"/>
                  <w:vAlign w:val="center"/>
                </w:tcPr>
                <w:p w14:paraId="0DBF0FC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1次/</w:t>
                  </w:r>
                  <w:r>
                    <w:rPr>
                      <w:rFonts w:hint="eastAsia"/>
                      <w:color w:val="000000" w:themeColor="text1"/>
                      <w:szCs w:val="21"/>
                      <w14:textFill>
                        <w14:solidFill>
                          <w14:schemeClr w14:val="tx1"/>
                        </w14:solidFill>
                      </w14:textFill>
                    </w:rPr>
                    <w:t>半</w:t>
                  </w:r>
                  <w:r>
                    <w:rPr>
                      <w:color w:val="000000" w:themeColor="text1"/>
                      <w:szCs w:val="21"/>
                      <w14:textFill>
                        <w14:solidFill>
                          <w14:schemeClr w14:val="tx1"/>
                        </w14:solidFill>
                      </w14:textFill>
                    </w:rPr>
                    <w:t>年</w:t>
                  </w:r>
                </w:p>
              </w:tc>
              <w:tc>
                <w:tcPr>
                  <w:tcW w:w="1952" w:type="pct"/>
                  <w:tcBorders>
                    <w:top w:val="single" w:color="auto" w:sz="4" w:space="0"/>
                    <w:bottom w:val="single" w:color="auto" w:sz="4" w:space="0"/>
                  </w:tcBorders>
                  <w:shd w:val="clear" w:color="auto" w:fill="auto"/>
                  <w:vAlign w:val="center"/>
                </w:tcPr>
                <w:p w14:paraId="2CBF173F">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r>
            <w:tr w14:paraId="4CBE8CA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69188CC0">
                  <w:pPr>
                    <w:jc w:val="center"/>
                    <w:rPr>
                      <w:color w:val="000000" w:themeColor="text1"/>
                      <w:szCs w:val="21"/>
                      <w14:textFill>
                        <w14:solidFill>
                          <w14:schemeClr w14:val="tx1"/>
                        </w14:solidFill>
                      </w14:textFill>
                    </w:rPr>
                  </w:pPr>
                </w:p>
              </w:tc>
              <w:tc>
                <w:tcPr>
                  <w:tcW w:w="367" w:type="pct"/>
                  <w:vMerge w:val="continue"/>
                  <w:tcBorders>
                    <w:left w:val="single" w:color="auto" w:sz="4" w:space="0"/>
                  </w:tcBorders>
                  <w:vAlign w:val="center"/>
                </w:tcPr>
                <w:p w14:paraId="2BA642C6">
                  <w:pPr>
                    <w:jc w:val="center"/>
                    <w:rPr>
                      <w:color w:val="000000" w:themeColor="text1"/>
                      <w:szCs w:val="21"/>
                      <w14:textFill>
                        <w14:solidFill>
                          <w14:schemeClr w14:val="tx1"/>
                        </w14:solidFill>
                      </w14:textFill>
                    </w:rPr>
                  </w:pPr>
                </w:p>
              </w:tc>
              <w:tc>
                <w:tcPr>
                  <w:tcW w:w="707" w:type="pct"/>
                  <w:vMerge w:val="continue"/>
                  <w:vAlign w:val="center"/>
                </w:tcPr>
                <w:p w14:paraId="33ACE3F7">
                  <w:pPr>
                    <w:jc w:val="center"/>
                    <w:rPr>
                      <w:color w:val="000000" w:themeColor="text1"/>
                      <w:szCs w:val="21"/>
                      <w14:textFill>
                        <w14:solidFill>
                          <w14:schemeClr w14:val="tx1"/>
                        </w14:solidFill>
                      </w14:textFill>
                    </w:rPr>
                  </w:pPr>
                </w:p>
              </w:tc>
              <w:tc>
                <w:tcPr>
                  <w:tcW w:w="947" w:type="pct"/>
                  <w:vMerge w:val="continue"/>
                  <w:shd w:val="clear" w:color="auto" w:fill="auto"/>
                  <w:vAlign w:val="center"/>
                </w:tcPr>
                <w:p w14:paraId="20628958">
                  <w:pPr>
                    <w:pStyle w:val="49"/>
                    <w:rPr>
                      <w:color w:val="000000" w:themeColor="text1"/>
                      <w:szCs w:val="21"/>
                      <w14:textFill>
                        <w14:solidFill>
                          <w14:schemeClr w14:val="tx1"/>
                        </w14:solidFill>
                      </w14:textFill>
                    </w:rPr>
                  </w:pPr>
                </w:p>
              </w:tc>
              <w:tc>
                <w:tcPr>
                  <w:tcW w:w="654" w:type="pct"/>
                  <w:vMerge w:val="continue"/>
                  <w:shd w:val="clear" w:color="auto" w:fill="auto"/>
                  <w:vAlign w:val="center"/>
                </w:tcPr>
                <w:p w14:paraId="482A178C">
                  <w:pPr>
                    <w:jc w:val="center"/>
                    <w:rPr>
                      <w:color w:val="000000" w:themeColor="text1"/>
                      <w:szCs w:val="21"/>
                      <w14:textFill>
                        <w14:solidFill>
                          <w14:schemeClr w14:val="tx1"/>
                        </w14:solidFill>
                      </w14:textFill>
                    </w:rPr>
                  </w:pPr>
                </w:p>
              </w:tc>
              <w:tc>
                <w:tcPr>
                  <w:tcW w:w="1952" w:type="pct"/>
                  <w:tcBorders>
                    <w:top w:val="single" w:color="auto" w:sz="4" w:space="0"/>
                    <w:bottom w:val="single" w:color="auto" w:sz="4" w:space="0"/>
                  </w:tcBorders>
                  <w:shd w:val="clear" w:color="auto" w:fill="auto"/>
                  <w:vAlign w:val="center"/>
                </w:tcPr>
                <w:p w14:paraId="26197DE3">
                  <w:pPr>
                    <w:jc w:val="center"/>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《关</w:t>
                  </w:r>
                  <w:r>
                    <w:rPr>
                      <w:color w:val="000000" w:themeColor="text1"/>
                      <w:szCs w:val="21"/>
                      <w14:textFill>
                        <w14:solidFill>
                          <w14:schemeClr w14:val="tx1"/>
                        </w14:solidFill>
                      </w14:textFill>
                    </w:rPr>
                    <w:t>于全省开展工业企业挥发性有机物专项治理工作中排放建议值的通知》（豫环攻坚办[2017]162号）</w:t>
                  </w:r>
                  <w:r>
                    <w:rPr>
                      <w:rFonts w:hint="eastAsia"/>
                      <w:color w:val="000000" w:themeColor="text1"/>
                      <w:szCs w:val="21"/>
                      <w14:textFill>
                        <w14:solidFill>
                          <w14:schemeClr w14:val="tx1"/>
                        </w14:solidFill>
                      </w14:textFill>
                    </w:rPr>
                    <w:t>中“其他行业”</w:t>
                  </w:r>
                </w:p>
              </w:tc>
            </w:tr>
            <w:tr w14:paraId="07AA3A1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60472CDC">
                  <w:pPr>
                    <w:jc w:val="center"/>
                    <w:rPr>
                      <w:color w:val="000000" w:themeColor="text1"/>
                      <w:szCs w:val="21"/>
                      <w14:textFill>
                        <w14:solidFill>
                          <w14:schemeClr w14:val="tx1"/>
                        </w14:solidFill>
                      </w14:textFill>
                    </w:rPr>
                  </w:pPr>
                </w:p>
              </w:tc>
              <w:tc>
                <w:tcPr>
                  <w:tcW w:w="367" w:type="pct"/>
                  <w:vMerge w:val="continue"/>
                  <w:tcBorders>
                    <w:left w:val="single" w:color="auto" w:sz="4" w:space="0"/>
                  </w:tcBorders>
                  <w:vAlign w:val="center"/>
                </w:tcPr>
                <w:p w14:paraId="102B4109">
                  <w:pPr>
                    <w:jc w:val="center"/>
                    <w:rPr>
                      <w:color w:val="000000" w:themeColor="text1"/>
                      <w:szCs w:val="21"/>
                      <w14:textFill>
                        <w14:solidFill>
                          <w14:schemeClr w14:val="tx1"/>
                        </w14:solidFill>
                      </w14:textFill>
                    </w:rPr>
                  </w:pPr>
                </w:p>
              </w:tc>
              <w:tc>
                <w:tcPr>
                  <w:tcW w:w="707" w:type="pct"/>
                  <w:vMerge w:val="continue"/>
                  <w:vAlign w:val="center"/>
                </w:tcPr>
                <w:p w14:paraId="7681D9D1">
                  <w:pPr>
                    <w:jc w:val="center"/>
                    <w:rPr>
                      <w:color w:val="000000" w:themeColor="text1"/>
                      <w:szCs w:val="21"/>
                      <w14:textFill>
                        <w14:solidFill>
                          <w14:schemeClr w14:val="tx1"/>
                        </w14:solidFill>
                      </w14:textFill>
                    </w:rPr>
                  </w:pPr>
                </w:p>
              </w:tc>
              <w:tc>
                <w:tcPr>
                  <w:tcW w:w="947" w:type="pct"/>
                  <w:vMerge w:val="continue"/>
                  <w:shd w:val="clear" w:color="auto" w:fill="auto"/>
                  <w:vAlign w:val="center"/>
                </w:tcPr>
                <w:p w14:paraId="5B88F026">
                  <w:pPr>
                    <w:pStyle w:val="49"/>
                    <w:rPr>
                      <w:color w:val="000000" w:themeColor="text1"/>
                      <w:szCs w:val="21"/>
                      <w14:textFill>
                        <w14:solidFill>
                          <w14:schemeClr w14:val="tx1"/>
                        </w14:solidFill>
                      </w14:textFill>
                    </w:rPr>
                  </w:pPr>
                </w:p>
              </w:tc>
              <w:tc>
                <w:tcPr>
                  <w:tcW w:w="654" w:type="pct"/>
                  <w:vMerge w:val="continue"/>
                  <w:shd w:val="clear" w:color="auto" w:fill="auto"/>
                  <w:vAlign w:val="center"/>
                </w:tcPr>
                <w:p w14:paraId="172BA9C3">
                  <w:pPr>
                    <w:jc w:val="center"/>
                    <w:rPr>
                      <w:color w:val="000000" w:themeColor="text1"/>
                      <w:szCs w:val="21"/>
                      <w14:textFill>
                        <w14:solidFill>
                          <w14:schemeClr w14:val="tx1"/>
                        </w14:solidFill>
                      </w14:textFill>
                    </w:rPr>
                  </w:pPr>
                </w:p>
              </w:tc>
              <w:tc>
                <w:tcPr>
                  <w:tcW w:w="1952" w:type="pct"/>
                  <w:tcBorders>
                    <w:top w:val="single" w:color="auto" w:sz="4" w:space="0"/>
                    <w:bottom w:val="single" w:color="auto" w:sz="4" w:space="0"/>
                  </w:tcBorders>
                  <w:shd w:val="clear" w:color="auto" w:fill="auto"/>
                  <w:vAlign w:val="center"/>
                </w:tcPr>
                <w:p w14:paraId="3A2EBE7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《挥发性有机物无组织排放控制标准》</w:t>
                  </w:r>
                  <w:r>
                    <w:rPr>
                      <w:color w:val="000000" w:themeColor="text1"/>
                      <w:szCs w:val="21"/>
                      <w14:textFill>
                        <w14:solidFill>
                          <w14:schemeClr w14:val="tx1"/>
                        </w14:solidFill>
                      </w14:textFill>
                    </w:rPr>
                    <w:t>（GB 37822-2019）</w:t>
                  </w:r>
                </w:p>
              </w:tc>
            </w:tr>
            <w:tr w14:paraId="6E38207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371" w:type="pct"/>
                  <w:vMerge w:val="continue"/>
                  <w:tcBorders>
                    <w:right w:val="single" w:color="auto" w:sz="4" w:space="0"/>
                  </w:tcBorders>
                  <w:vAlign w:val="center"/>
                </w:tcPr>
                <w:p w14:paraId="7FAC1B7E">
                  <w:pPr>
                    <w:jc w:val="center"/>
                    <w:rPr>
                      <w:color w:val="000000" w:themeColor="text1"/>
                      <w:szCs w:val="21"/>
                      <w14:textFill>
                        <w14:solidFill>
                          <w14:schemeClr w14:val="tx1"/>
                        </w14:solidFill>
                      </w14:textFill>
                    </w:rPr>
                  </w:pPr>
                </w:p>
              </w:tc>
              <w:tc>
                <w:tcPr>
                  <w:tcW w:w="367" w:type="pct"/>
                  <w:vMerge w:val="continue"/>
                  <w:tcBorders>
                    <w:left w:val="single" w:color="auto" w:sz="4" w:space="0"/>
                  </w:tcBorders>
                  <w:vAlign w:val="center"/>
                </w:tcPr>
                <w:p w14:paraId="0A19BA36">
                  <w:pPr>
                    <w:jc w:val="center"/>
                    <w:rPr>
                      <w:color w:val="000000" w:themeColor="text1"/>
                      <w:szCs w:val="21"/>
                      <w14:textFill>
                        <w14:solidFill>
                          <w14:schemeClr w14:val="tx1"/>
                        </w14:solidFill>
                      </w14:textFill>
                    </w:rPr>
                  </w:pPr>
                </w:p>
              </w:tc>
              <w:tc>
                <w:tcPr>
                  <w:tcW w:w="707" w:type="pct"/>
                  <w:vMerge w:val="continue"/>
                  <w:vAlign w:val="center"/>
                </w:tcPr>
                <w:p w14:paraId="52140311">
                  <w:pPr>
                    <w:jc w:val="center"/>
                    <w:rPr>
                      <w:color w:val="000000" w:themeColor="text1"/>
                      <w:szCs w:val="21"/>
                      <w14:textFill>
                        <w14:solidFill>
                          <w14:schemeClr w14:val="tx1"/>
                        </w14:solidFill>
                      </w14:textFill>
                    </w:rPr>
                  </w:pPr>
                </w:p>
              </w:tc>
              <w:tc>
                <w:tcPr>
                  <w:tcW w:w="947" w:type="pct"/>
                  <w:vAlign w:val="center"/>
                </w:tcPr>
                <w:p w14:paraId="287DE88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654" w:type="pct"/>
                  <w:vAlign w:val="center"/>
                </w:tcPr>
                <w:p w14:paraId="08553DC1">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w:t>
                  </w:r>
                  <w:r>
                    <w:rPr>
                      <w:rFonts w:hint="eastAsia"/>
                      <w:color w:val="000000" w:themeColor="text1"/>
                      <w:kern w:val="0"/>
                      <w:szCs w:val="21"/>
                      <w14:textFill>
                        <w14:solidFill>
                          <w14:schemeClr w14:val="tx1"/>
                        </w14:solidFill>
                      </w14:textFill>
                    </w:rPr>
                    <w:t>次</w:t>
                  </w:r>
                  <w:r>
                    <w:rPr>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半年</w:t>
                  </w:r>
                </w:p>
              </w:tc>
              <w:tc>
                <w:tcPr>
                  <w:tcW w:w="1952" w:type="pct"/>
                  <w:tcBorders>
                    <w:top w:val="single" w:color="auto" w:sz="4" w:space="0"/>
                    <w:bottom w:val="single" w:color="auto" w:sz="4" w:space="0"/>
                  </w:tcBorders>
                  <w:shd w:val="clear" w:color="auto" w:fill="auto"/>
                  <w:vAlign w:val="center"/>
                </w:tcPr>
                <w:p w14:paraId="2789745D">
                  <w:pPr>
                    <w:pStyle w:val="50"/>
                    <w:rPr>
                      <w:color w:val="000000" w:themeColor="text1"/>
                      <w:szCs w:val="21"/>
                      <w14:textFill>
                        <w14:solidFill>
                          <w14:schemeClr w14:val="tx1"/>
                        </w14:solidFill>
                      </w14:textFill>
                    </w:rPr>
                  </w:pPr>
                  <w:r>
                    <w:rPr>
                      <w:color w:val="000000" w:themeColor="text1"/>
                      <w:szCs w:val="21"/>
                      <w14:textFill>
                        <w14:solidFill>
                          <w14:schemeClr w14:val="tx1"/>
                        </w14:solidFill>
                      </w14:textFill>
                    </w:rPr>
                    <w:t>《恶臭污染物排放标准》（GB 14554-93）中表1标准</w:t>
                  </w:r>
                </w:p>
              </w:tc>
            </w:tr>
            <w:tr w14:paraId="5046823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gridSpan w:val="2"/>
                  <w:shd w:val="clear" w:color="auto" w:fill="auto"/>
                  <w:vAlign w:val="center"/>
                </w:tcPr>
                <w:p w14:paraId="68AC2CFB">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废水</w:t>
                  </w:r>
                </w:p>
              </w:tc>
              <w:tc>
                <w:tcPr>
                  <w:tcW w:w="707" w:type="pct"/>
                  <w:shd w:val="clear" w:color="auto" w:fill="auto"/>
                  <w:vAlign w:val="center"/>
                </w:tcPr>
                <w:p w14:paraId="229DE3E7">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DW001</w:t>
                  </w:r>
                </w:p>
              </w:tc>
              <w:tc>
                <w:tcPr>
                  <w:tcW w:w="947" w:type="pct"/>
                  <w:shd w:val="clear" w:color="auto" w:fill="auto"/>
                  <w:vAlign w:val="center"/>
                </w:tcPr>
                <w:p w14:paraId="4CB1C96D">
                  <w:pPr>
                    <w:pStyle w:val="11"/>
                    <w:spacing w:line="240" w:lineRule="auto"/>
                    <w:ind w:left="0" w:right="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pH、COD、BOD</w:t>
                  </w:r>
                  <w:r>
                    <w:rPr>
                      <w:color w:val="000000" w:themeColor="text1"/>
                      <w:sz w:val="21"/>
                      <w:szCs w:val="21"/>
                      <w:vertAlign w:val="subscript"/>
                      <w14:textFill>
                        <w14:solidFill>
                          <w14:schemeClr w14:val="tx1"/>
                        </w14:solidFill>
                      </w14:textFill>
                    </w:rPr>
                    <w:t>5</w:t>
                  </w:r>
                  <w:r>
                    <w:rPr>
                      <w:color w:val="000000" w:themeColor="text1"/>
                      <w:sz w:val="21"/>
                      <w:szCs w:val="21"/>
                      <w14:textFill>
                        <w14:solidFill>
                          <w14:schemeClr w14:val="tx1"/>
                        </w14:solidFill>
                      </w14:textFill>
                    </w:rPr>
                    <w:t>、SS、NH</w:t>
                  </w:r>
                  <w:r>
                    <w:rPr>
                      <w:color w:val="000000" w:themeColor="text1"/>
                      <w:sz w:val="21"/>
                      <w:szCs w:val="21"/>
                      <w:vertAlign w:val="subscript"/>
                      <w14:textFill>
                        <w14:solidFill>
                          <w14:schemeClr w14:val="tx1"/>
                        </w14:solidFill>
                      </w14:textFill>
                    </w:rPr>
                    <w:t>3</w:t>
                  </w:r>
                  <w:r>
                    <w:rPr>
                      <w:color w:val="000000" w:themeColor="text1"/>
                      <w:sz w:val="21"/>
                      <w:szCs w:val="21"/>
                      <w14:textFill>
                        <w14:solidFill>
                          <w14:schemeClr w14:val="tx1"/>
                        </w14:solidFill>
                      </w14:textFill>
                    </w:rPr>
                    <w:t>-N</w:t>
                  </w:r>
                  <w:r>
                    <w:rPr>
                      <w:rFonts w:hint="eastAsia"/>
                      <w:color w:val="000000" w:themeColor="text1"/>
                      <w:sz w:val="21"/>
                      <w:szCs w:val="21"/>
                      <w14:textFill>
                        <w14:solidFill>
                          <w14:schemeClr w14:val="tx1"/>
                        </w14:solidFill>
                      </w14:textFill>
                    </w:rPr>
                    <w:t>、总氮、色度、总磷</w:t>
                  </w:r>
                </w:p>
              </w:tc>
              <w:tc>
                <w:tcPr>
                  <w:tcW w:w="654" w:type="pct"/>
                  <w:shd w:val="clear" w:color="auto" w:fill="auto"/>
                  <w:vAlign w:val="center"/>
                </w:tcPr>
                <w:p w14:paraId="01C57D45">
                  <w:pPr>
                    <w:autoSpaceDE w:val="0"/>
                    <w:autoSpaceDN w:val="0"/>
                    <w:adjustRightIn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1次/半</w:t>
                  </w:r>
                  <w:r>
                    <w:rPr>
                      <w:color w:val="000000" w:themeColor="text1"/>
                      <w:szCs w:val="21"/>
                      <w14:textFill>
                        <w14:solidFill>
                          <w14:schemeClr w14:val="tx1"/>
                        </w14:solidFill>
                      </w14:textFill>
                    </w:rPr>
                    <w:t>年</w:t>
                  </w:r>
                </w:p>
              </w:tc>
              <w:tc>
                <w:tcPr>
                  <w:tcW w:w="1952" w:type="pct"/>
                  <w:tcBorders>
                    <w:top w:val="single" w:color="auto" w:sz="4" w:space="0"/>
                  </w:tcBorders>
                  <w:shd w:val="clear" w:color="auto" w:fill="auto"/>
                  <w:vAlign w:val="center"/>
                </w:tcPr>
                <w:p w14:paraId="73B5BB19">
                  <w:pPr>
                    <w:pStyle w:val="11"/>
                    <w:spacing w:line="240" w:lineRule="auto"/>
                    <w:ind w:left="0" w:right="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《发酵酒精和白酒工业水污染物排放标准》（GB27631-2011）及其修改单表2间接排放标准、《啤酒工业水污染物排放标准》（DB41/681-2011）</w:t>
                  </w:r>
                  <w:r>
                    <w:rPr>
                      <w:color w:val="000000" w:themeColor="text1"/>
                      <w:sz w:val="21"/>
                      <w:szCs w:val="21"/>
                      <w14:textFill>
                        <w14:solidFill>
                          <w14:schemeClr w14:val="tx1"/>
                        </w14:solidFill>
                      </w14:textFill>
                    </w:rPr>
                    <w:t>及镇平县第二污水处理厂进水水质指标要求</w:t>
                  </w:r>
                </w:p>
              </w:tc>
            </w:tr>
            <w:tr w14:paraId="07C37A6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gridSpan w:val="2"/>
                  <w:vMerge w:val="restart"/>
                  <w:shd w:val="clear" w:color="auto" w:fill="auto"/>
                  <w:vAlign w:val="center"/>
                </w:tcPr>
                <w:p w14:paraId="587815C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噪声</w:t>
                  </w:r>
                </w:p>
              </w:tc>
              <w:tc>
                <w:tcPr>
                  <w:tcW w:w="707" w:type="pct"/>
                  <w:shd w:val="clear" w:color="auto" w:fill="auto"/>
                  <w:vAlign w:val="center"/>
                </w:tcPr>
                <w:p w14:paraId="4FE2C48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东厂界</w:t>
                  </w:r>
                </w:p>
              </w:tc>
              <w:tc>
                <w:tcPr>
                  <w:tcW w:w="947" w:type="pct"/>
                  <w:vMerge w:val="restart"/>
                  <w:shd w:val="clear" w:color="auto" w:fill="auto"/>
                  <w:vAlign w:val="center"/>
                </w:tcPr>
                <w:p w14:paraId="457E7E7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等效连续A声级</w:t>
                  </w:r>
                </w:p>
              </w:tc>
              <w:tc>
                <w:tcPr>
                  <w:tcW w:w="654" w:type="pct"/>
                  <w:vMerge w:val="restart"/>
                  <w:shd w:val="clear" w:color="auto" w:fill="auto"/>
                  <w:vAlign w:val="center"/>
                </w:tcPr>
                <w:p w14:paraId="572250A0">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1次/季度</w:t>
                  </w:r>
                </w:p>
              </w:tc>
              <w:tc>
                <w:tcPr>
                  <w:tcW w:w="1952" w:type="pct"/>
                  <w:vMerge w:val="restart"/>
                  <w:tcBorders>
                    <w:top w:val="single" w:color="auto" w:sz="4" w:space="0"/>
                  </w:tcBorders>
                  <w:shd w:val="clear" w:color="auto" w:fill="auto"/>
                  <w:vAlign w:val="center"/>
                </w:tcPr>
                <w:p w14:paraId="1AED707C">
                  <w:pPr>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《工业企业厂界环境噪声排放标准》（GB12348-2008）2类标准</w:t>
                  </w:r>
                </w:p>
              </w:tc>
            </w:tr>
            <w:tr w14:paraId="0EB27C3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gridSpan w:val="2"/>
                  <w:vMerge w:val="continue"/>
                  <w:shd w:val="clear" w:color="auto" w:fill="auto"/>
                  <w:vAlign w:val="center"/>
                </w:tcPr>
                <w:p w14:paraId="20188428">
                  <w:pPr>
                    <w:pStyle w:val="11"/>
                    <w:spacing w:line="240" w:lineRule="auto"/>
                    <w:ind w:left="0" w:right="0"/>
                    <w:jc w:val="center"/>
                    <w:rPr>
                      <w:color w:val="000000" w:themeColor="text1"/>
                      <w:sz w:val="21"/>
                      <w:szCs w:val="21"/>
                      <w14:textFill>
                        <w14:solidFill>
                          <w14:schemeClr w14:val="tx1"/>
                        </w14:solidFill>
                      </w14:textFill>
                    </w:rPr>
                  </w:pPr>
                </w:p>
              </w:tc>
              <w:tc>
                <w:tcPr>
                  <w:tcW w:w="707" w:type="pct"/>
                  <w:shd w:val="clear" w:color="auto" w:fill="auto"/>
                  <w:vAlign w:val="center"/>
                </w:tcPr>
                <w:p w14:paraId="77E7BF9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南厂界</w:t>
                  </w:r>
                </w:p>
              </w:tc>
              <w:tc>
                <w:tcPr>
                  <w:tcW w:w="947" w:type="pct"/>
                  <w:vMerge w:val="continue"/>
                  <w:shd w:val="clear" w:color="auto" w:fill="auto"/>
                  <w:vAlign w:val="center"/>
                </w:tcPr>
                <w:p w14:paraId="4EE83278">
                  <w:pPr>
                    <w:pStyle w:val="11"/>
                    <w:spacing w:line="240" w:lineRule="auto"/>
                    <w:ind w:left="0" w:right="0"/>
                    <w:jc w:val="center"/>
                    <w:rPr>
                      <w:color w:val="000000" w:themeColor="text1"/>
                      <w:sz w:val="21"/>
                      <w:szCs w:val="21"/>
                      <w14:textFill>
                        <w14:solidFill>
                          <w14:schemeClr w14:val="tx1"/>
                        </w14:solidFill>
                      </w14:textFill>
                    </w:rPr>
                  </w:pPr>
                </w:p>
              </w:tc>
              <w:tc>
                <w:tcPr>
                  <w:tcW w:w="654" w:type="pct"/>
                  <w:vMerge w:val="continue"/>
                  <w:shd w:val="clear" w:color="auto" w:fill="auto"/>
                  <w:vAlign w:val="center"/>
                </w:tcPr>
                <w:p w14:paraId="156518FE">
                  <w:pPr>
                    <w:autoSpaceDE w:val="0"/>
                    <w:autoSpaceDN w:val="0"/>
                    <w:adjustRightInd w:val="0"/>
                    <w:jc w:val="center"/>
                    <w:rPr>
                      <w:color w:val="000000" w:themeColor="text1"/>
                      <w:szCs w:val="21"/>
                      <w14:textFill>
                        <w14:solidFill>
                          <w14:schemeClr w14:val="tx1"/>
                        </w14:solidFill>
                      </w14:textFill>
                    </w:rPr>
                  </w:pPr>
                </w:p>
              </w:tc>
              <w:tc>
                <w:tcPr>
                  <w:tcW w:w="1952" w:type="pct"/>
                  <w:vMerge w:val="continue"/>
                  <w:shd w:val="clear" w:color="auto" w:fill="auto"/>
                  <w:vAlign w:val="center"/>
                </w:tcPr>
                <w:p w14:paraId="0E4E2D9D">
                  <w:pPr>
                    <w:pStyle w:val="11"/>
                    <w:spacing w:line="240" w:lineRule="auto"/>
                    <w:ind w:left="0" w:right="0"/>
                    <w:jc w:val="center"/>
                    <w:rPr>
                      <w:color w:val="000000" w:themeColor="text1"/>
                      <w:sz w:val="21"/>
                      <w:szCs w:val="21"/>
                      <w14:textFill>
                        <w14:solidFill>
                          <w14:schemeClr w14:val="tx1"/>
                        </w14:solidFill>
                      </w14:textFill>
                    </w:rPr>
                  </w:pPr>
                </w:p>
              </w:tc>
            </w:tr>
            <w:tr w14:paraId="0F7CA497">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gridSpan w:val="2"/>
                  <w:vMerge w:val="continue"/>
                  <w:shd w:val="clear" w:color="auto" w:fill="auto"/>
                  <w:vAlign w:val="center"/>
                </w:tcPr>
                <w:p w14:paraId="7AB48CE2">
                  <w:pPr>
                    <w:pStyle w:val="11"/>
                    <w:spacing w:line="240" w:lineRule="auto"/>
                    <w:ind w:left="0" w:right="0"/>
                    <w:jc w:val="center"/>
                    <w:rPr>
                      <w:color w:val="000000" w:themeColor="text1"/>
                      <w:sz w:val="21"/>
                      <w:szCs w:val="21"/>
                      <w14:textFill>
                        <w14:solidFill>
                          <w14:schemeClr w14:val="tx1"/>
                        </w14:solidFill>
                      </w14:textFill>
                    </w:rPr>
                  </w:pPr>
                </w:p>
              </w:tc>
              <w:tc>
                <w:tcPr>
                  <w:tcW w:w="707" w:type="pct"/>
                  <w:shd w:val="clear" w:color="auto" w:fill="auto"/>
                  <w:vAlign w:val="center"/>
                </w:tcPr>
                <w:p w14:paraId="730A3EE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西厂界</w:t>
                  </w:r>
                </w:p>
              </w:tc>
              <w:tc>
                <w:tcPr>
                  <w:tcW w:w="947" w:type="pct"/>
                  <w:vMerge w:val="continue"/>
                  <w:shd w:val="clear" w:color="auto" w:fill="auto"/>
                  <w:vAlign w:val="center"/>
                </w:tcPr>
                <w:p w14:paraId="4ECAE678">
                  <w:pPr>
                    <w:pStyle w:val="11"/>
                    <w:spacing w:line="240" w:lineRule="auto"/>
                    <w:ind w:left="0" w:right="0"/>
                    <w:jc w:val="center"/>
                    <w:rPr>
                      <w:color w:val="000000" w:themeColor="text1"/>
                      <w:sz w:val="21"/>
                      <w:szCs w:val="21"/>
                      <w14:textFill>
                        <w14:solidFill>
                          <w14:schemeClr w14:val="tx1"/>
                        </w14:solidFill>
                      </w14:textFill>
                    </w:rPr>
                  </w:pPr>
                </w:p>
              </w:tc>
              <w:tc>
                <w:tcPr>
                  <w:tcW w:w="654" w:type="pct"/>
                  <w:vMerge w:val="continue"/>
                  <w:shd w:val="clear" w:color="auto" w:fill="auto"/>
                  <w:vAlign w:val="center"/>
                </w:tcPr>
                <w:p w14:paraId="01098B25">
                  <w:pPr>
                    <w:autoSpaceDE w:val="0"/>
                    <w:autoSpaceDN w:val="0"/>
                    <w:adjustRightInd w:val="0"/>
                    <w:jc w:val="center"/>
                    <w:rPr>
                      <w:color w:val="000000" w:themeColor="text1"/>
                      <w:szCs w:val="21"/>
                      <w14:textFill>
                        <w14:solidFill>
                          <w14:schemeClr w14:val="tx1"/>
                        </w14:solidFill>
                      </w14:textFill>
                    </w:rPr>
                  </w:pPr>
                </w:p>
              </w:tc>
              <w:tc>
                <w:tcPr>
                  <w:tcW w:w="1952" w:type="pct"/>
                  <w:vMerge w:val="continue"/>
                  <w:shd w:val="clear" w:color="auto" w:fill="auto"/>
                  <w:vAlign w:val="center"/>
                </w:tcPr>
                <w:p w14:paraId="7D4DEE70">
                  <w:pPr>
                    <w:pStyle w:val="11"/>
                    <w:spacing w:line="240" w:lineRule="auto"/>
                    <w:ind w:left="0" w:right="0"/>
                    <w:jc w:val="center"/>
                    <w:rPr>
                      <w:color w:val="000000" w:themeColor="text1"/>
                      <w:sz w:val="21"/>
                      <w:szCs w:val="21"/>
                      <w14:textFill>
                        <w14:solidFill>
                          <w14:schemeClr w14:val="tx1"/>
                        </w14:solidFill>
                      </w14:textFill>
                    </w:rPr>
                  </w:pPr>
                </w:p>
              </w:tc>
            </w:tr>
            <w:tr w14:paraId="22E8303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54" w:hRule="atLeast"/>
                <w:jc w:val="center"/>
              </w:trPr>
              <w:tc>
                <w:tcPr>
                  <w:tcW w:w="738" w:type="pct"/>
                  <w:gridSpan w:val="2"/>
                  <w:vMerge w:val="continue"/>
                  <w:shd w:val="clear" w:color="auto" w:fill="auto"/>
                  <w:vAlign w:val="center"/>
                </w:tcPr>
                <w:p w14:paraId="32F3BE8C">
                  <w:pPr>
                    <w:pStyle w:val="11"/>
                    <w:spacing w:line="240" w:lineRule="auto"/>
                    <w:ind w:left="0" w:right="0"/>
                    <w:jc w:val="center"/>
                    <w:rPr>
                      <w:color w:val="000000" w:themeColor="text1"/>
                      <w:sz w:val="21"/>
                      <w:szCs w:val="21"/>
                      <w14:textFill>
                        <w14:solidFill>
                          <w14:schemeClr w14:val="tx1"/>
                        </w14:solidFill>
                      </w14:textFill>
                    </w:rPr>
                  </w:pPr>
                </w:p>
              </w:tc>
              <w:tc>
                <w:tcPr>
                  <w:tcW w:w="707" w:type="pct"/>
                  <w:shd w:val="clear" w:color="auto" w:fill="auto"/>
                  <w:vAlign w:val="center"/>
                </w:tcPr>
                <w:p w14:paraId="09C638D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北厂界</w:t>
                  </w:r>
                </w:p>
              </w:tc>
              <w:tc>
                <w:tcPr>
                  <w:tcW w:w="947" w:type="pct"/>
                  <w:vMerge w:val="continue"/>
                  <w:shd w:val="clear" w:color="auto" w:fill="auto"/>
                  <w:vAlign w:val="center"/>
                </w:tcPr>
                <w:p w14:paraId="42397175">
                  <w:pPr>
                    <w:pStyle w:val="11"/>
                    <w:spacing w:line="240" w:lineRule="auto"/>
                    <w:ind w:left="0" w:right="0"/>
                    <w:jc w:val="center"/>
                    <w:rPr>
                      <w:color w:val="000000" w:themeColor="text1"/>
                      <w:sz w:val="21"/>
                      <w:szCs w:val="21"/>
                      <w14:textFill>
                        <w14:solidFill>
                          <w14:schemeClr w14:val="tx1"/>
                        </w14:solidFill>
                      </w14:textFill>
                    </w:rPr>
                  </w:pPr>
                </w:p>
              </w:tc>
              <w:tc>
                <w:tcPr>
                  <w:tcW w:w="654" w:type="pct"/>
                  <w:vMerge w:val="continue"/>
                  <w:shd w:val="clear" w:color="auto" w:fill="auto"/>
                  <w:vAlign w:val="center"/>
                </w:tcPr>
                <w:p w14:paraId="176BD5FA">
                  <w:pPr>
                    <w:autoSpaceDE w:val="0"/>
                    <w:autoSpaceDN w:val="0"/>
                    <w:adjustRightInd w:val="0"/>
                    <w:jc w:val="center"/>
                    <w:rPr>
                      <w:color w:val="000000" w:themeColor="text1"/>
                      <w:szCs w:val="21"/>
                      <w14:textFill>
                        <w14:solidFill>
                          <w14:schemeClr w14:val="tx1"/>
                        </w14:solidFill>
                      </w14:textFill>
                    </w:rPr>
                  </w:pPr>
                </w:p>
              </w:tc>
              <w:tc>
                <w:tcPr>
                  <w:tcW w:w="1952" w:type="pct"/>
                  <w:vMerge w:val="continue"/>
                  <w:shd w:val="clear" w:color="auto" w:fill="auto"/>
                  <w:vAlign w:val="center"/>
                </w:tcPr>
                <w:p w14:paraId="1152E50A">
                  <w:pPr>
                    <w:pStyle w:val="11"/>
                    <w:spacing w:line="240" w:lineRule="auto"/>
                    <w:ind w:left="0" w:right="0"/>
                    <w:jc w:val="center"/>
                    <w:rPr>
                      <w:color w:val="000000" w:themeColor="text1"/>
                      <w:sz w:val="21"/>
                      <w:szCs w:val="21"/>
                      <w14:textFill>
                        <w14:solidFill>
                          <w14:schemeClr w14:val="tx1"/>
                        </w14:solidFill>
                      </w14:textFill>
                    </w:rPr>
                  </w:pPr>
                </w:p>
              </w:tc>
            </w:tr>
          </w:tbl>
          <w:p w14:paraId="14AA321E">
            <w:pPr>
              <w:tabs>
                <w:tab w:val="left" w:pos="1081"/>
              </w:tabs>
              <w:adjustRightInd w:val="0"/>
              <w:snapToGrid w:val="0"/>
              <w:spacing w:line="360" w:lineRule="auto"/>
              <w:ind w:firstLine="482" w:firstLineChars="200"/>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9、规范化排污口</w:t>
            </w:r>
          </w:p>
          <w:p w14:paraId="279CEB15">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本项目共设置</w:t>
            </w:r>
            <w:r>
              <w:rPr>
                <w:rFonts w:hint="eastAsia"/>
                <w:color w:val="000000" w:themeColor="text1"/>
                <w:sz w:val="24"/>
                <w14:textFill>
                  <w14:solidFill>
                    <w14:schemeClr w14:val="tx1"/>
                  </w14:solidFill>
                </w14:textFill>
              </w:rPr>
              <w:t>7个废气排放口（DA001-DA007）和</w:t>
            </w:r>
            <w:r>
              <w:rPr>
                <w:color w:val="000000" w:themeColor="text1"/>
                <w:sz w:val="24"/>
                <w14:textFill>
                  <w14:solidFill>
                    <w14:schemeClr w14:val="tx1"/>
                  </w14:solidFill>
                </w14:textFill>
              </w:rPr>
              <w:t>1个废水排放口（DW001）。</w:t>
            </w:r>
          </w:p>
          <w:p w14:paraId="2099C36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根据《排污口规范化整治技术要求》（环监[1996]470号）提出如下建议：</w:t>
            </w:r>
          </w:p>
          <w:p w14:paraId="4354824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①排污口规范化整治应遵循便于采集样品，便于计量监测，便于日常现场监督检查的原则。厂区实行雨污分流，合理确定污水排放口位置，按照《污染源监测技术规范》设置采样点，应设置规范的、便于测量流量、流速的测流段；</w:t>
            </w:r>
          </w:p>
          <w:p w14:paraId="46C693DC">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②采样口位置无法满足“规范”要求的，其监测位置由当地环境监测部门确认；</w:t>
            </w:r>
          </w:p>
          <w:p w14:paraId="5D496011">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③污染物排放口必须实行规范化整治，按照国家标准《环境保护图形标志 排放口（源）》（GB15562.1-1995）、《环境保护图形标志 固体废物贮存（处置）场》（GB15562.2-1995）及2023年修改单、《危险废物识别标志设置技术规范》（HJ1276-2022）等标准规定，设置与之相适应的环境保护图形标志牌；</w:t>
            </w:r>
          </w:p>
          <w:p w14:paraId="58629ED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④排放口必须使用由国家统一定点制作和监制的环境保护图形标志牌；</w:t>
            </w:r>
          </w:p>
          <w:p w14:paraId="56DDE90F">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⑤环境保护图形标志牌设置位置应距污染物排放口(源)及采样点较近且醒目处，并能长久保留，设置高度一般为：环境保护图形标志牌上缘距离地面2米；</w:t>
            </w:r>
          </w:p>
          <w:p w14:paraId="1BEC7F0E">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⑥环境保护图形标志牌的辅助标志上，需要填写的栏目，要求字迹工整，字的颜色，与标志牌颜色要总体协调。</w:t>
            </w:r>
          </w:p>
          <w:p w14:paraId="2F4CEC0D">
            <w:pPr>
              <w:adjustRightInd w:val="0"/>
              <w:snapToGrid w:val="0"/>
              <w:spacing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项目环境保护图形符号见下表。</w:t>
            </w:r>
          </w:p>
          <w:p w14:paraId="07611888">
            <w:pPr>
              <w:adjustRightInd w:val="0"/>
              <w:snapToGrid w:val="0"/>
              <w:spacing w:line="360" w:lineRule="auto"/>
              <w:jc w:val="center"/>
              <w:rPr>
                <w:b/>
                <w:bCs/>
                <w:color w:val="000000" w:themeColor="text1"/>
                <w:sz w:val="24"/>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35  </w:t>
            </w:r>
            <w:r>
              <w:rPr>
                <w:b/>
                <w:bCs/>
                <w:color w:val="000000" w:themeColor="text1"/>
                <w:sz w:val="24"/>
                <w14:textFill>
                  <w14:solidFill>
                    <w14:schemeClr w14:val="tx1"/>
                  </w14:solidFill>
                </w14:textFill>
              </w:rPr>
              <w:t>项目排污口环境保护图形标志一览表</w:t>
            </w:r>
          </w:p>
          <w:tbl>
            <w:tblPr>
              <w:tblStyle w:val="25"/>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0"/>
              <w:gridCol w:w="3439"/>
              <w:gridCol w:w="3379"/>
            </w:tblGrid>
            <w:tr w14:paraId="57646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vAlign w:val="center"/>
                </w:tcPr>
                <w:p w14:paraId="0935424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排污口名称</w:t>
                  </w:r>
                </w:p>
              </w:tc>
              <w:tc>
                <w:tcPr>
                  <w:tcW w:w="1877" w:type="pct"/>
                  <w:vAlign w:val="center"/>
                </w:tcPr>
                <w:p w14:paraId="7271B37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提示图形符号</w:t>
                  </w:r>
                </w:p>
              </w:tc>
              <w:tc>
                <w:tcPr>
                  <w:tcW w:w="1844" w:type="pct"/>
                  <w:vAlign w:val="center"/>
                </w:tcPr>
                <w:p w14:paraId="6DB29A3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警告图形符号</w:t>
                  </w:r>
                </w:p>
              </w:tc>
            </w:tr>
            <w:tr w14:paraId="60317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shd w:val="clear" w:color="auto" w:fill="auto"/>
                  <w:vAlign w:val="center"/>
                </w:tcPr>
                <w:p w14:paraId="0B25EF26">
                  <w:pPr>
                    <w:spacing w:line="320" w:lineRule="exact"/>
                    <w:jc w:val="center"/>
                    <w:outlineLvl w:val="9"/>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废气排放口</w:t>
                  </w:r>
                </w:p>
              </w:tc>
              <w:tc>
                <w:tcPr>
                  <w:tcW w:w="1877" w:type="pct"/>
                  <w:shd w:val="clear" w:color="auto" w:fill="auto"/>
                  <w:vAlign w:val="bottom"/>
                </w:tcPr>
                <w:p w14:paraId="4399A7FC">
                  <w:pPr>
                    <w:spacing w:line="360" w:lineRule="auto"/>
                    <w:jc w:val="center"/>
                    <w:outlineLvl w:val="9"/>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914400" cy="914400"/>
                        <wp:effectExtent l="0" t="0" r="0" b="0"/>
                        <wp:docPr id="1070" name="图片 8"/>
                        <wp:cNvGraphicFramePr/>
                        <a:graphic xmlns:a="http://schemas.openxmlformats.org/drawingml/2006/main">
                          <a:graphicData uri="http://schemas.openxmlformats.org/drawingml/2006/picture">
                            <pic:pic xmlns:pic="http://schemas.openxmlformats.org/drawingml/2006/picture">
                              <pic:nvPicPr>
                                <pic:cNvPr id="1070" name="图片 8"/>
                                <pic:cNvPicPr/>
                              </pic:nvPicPr>
                              <pic:blipFill>
                                <a:blip r:embed="rId58" cstate="print"/>
                                <a:srcRect/>
                                <a:stretch>
                                  <a:fillRect/>
                                </a:stretch>
                              </pic:blipFill>
                              <pic:spPr>
                                <a:xfrm>
                                  <a:off x="0" y="0"/>
                                  <a:ext cx="914400" cy="914400"/>
                                </a:xfrm>
                                <a:prstGeom prst="rect">
                                  <a:avLst/>
                                </a:prstGeom>
                                <a:ln>
                                  <a:noFill/>
                                </a:ln>
                              </pic:spPr>
                            </pic:pic>
                          </a:graphicData>
                        </a:graphic>
                      </wp:inline>
                    </w:drawing>
                  </w:r>
                </w:p>
              </w:tc>
              <w:tc>
                <w:tcPr>
                  <w:tcW w:w="1844" w:type="pct"/>
                  <w:shd w:val="clear" w:color="auto" w:fill="auto"/>
                  <w:vAlign w:val="bottom"/>
                </w:tcPr>
                <w:p w14:paraId="0D39C79E">
                  <w:pPr>
                    <w:spacing w:line="360" w:lineRule="auto"/>
                    <w:jc w:val="center"/>
                    <w:outlineLvl w:val="9"/>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1016000" cy="921385"/>
                        <wp:effectExtent l="0" t="0" r="12700" b="12065"/>
                        <wp:docPr id="1071" name="图片 15"/>
                        <wp:cNvGraphicFramePr/>
                        <a:graphic xmlns:a="http://schemas.openxmlformats.org/drawingml/2006/main">
                          <a:graphicData uri="http://schemas.openxmlformats.org/drawingml/2006/picture">
                            <pic:pic xmlns:pic="http://schemas.openxmlformats.org/drawingml/2006/picture">
                              <pic:nvPicPr>
                                <pic:cNvPr id="1071" name="图片 15"/>
                                <pic:cNvPicPr/>
                              </pic:nvPicPr>
                              <pic:blipFill>
                                <a:blip r:embed="rId59" cstate="print"/>
                                <a:srcRect/>
                                <a:stretch>
                                  <a:fillRect/>
                                </a:stretch>
                              </pic:blipFill>
                              <pic:spPr>
                                <a:xfrm>
                                  <a:off x="0" y="0"/>
                                  <a:ext cx="1016000" cy="921385"/>
                                </a:xfrm>
                                <a:prstGeom prst="rect">
                                  <a:avLst/>
                                </a:prstGeom>
                                <a:ln>
                                  <a:noFill/>
                                </a:ln>
                              </pic:spPr>
                            </pic:pic>
                          </a:graphicData>
                        </a:graphic>
                      </wp:inline>
                    </w:drawing>
                  </w:r>
                </w:p>
              </w:tc>
            </w:tr>
            <w:tr w14:paraId="6DABF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vAlign w:val="center"/>
                </w:tcPr>
                <w:p w14:paraId="08AC15C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污水总排口</w:t>
                  </w:r>
                </w:p>
              </w:tc>
              <w:tc>
                <w:tcPr>
                  <w:tcW w:w="1877" w:type="pct"/>
                  <w:vAlign w:val="center"/>
                </w:tcPr>
                <w:p w14:paraId="31F7DAF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0" distR="0">
                        <wp:extent cx="913130" cy="1022350"/>
                        <wp:effectExtent l="0" t="0" r="1270" b="6350"/>
                        <wp:docPr id="1072" name="图片 5"/>
                        <wp:cNvGraphicFramePr/>
                        <a:graphic xmlns:a="http://schemas.openxmlformats.org/drawingml/2006/main">
                          <a:graphicData uri="http://schemas.openxmlformats.org/drawingml/2006/picture">
                            <pic:pic xmlns:pic="http://schemas.openxmlformats.org/drawingml/2006/picture">
                              <pic:nvPicPr>
                                <pic:cNvPr id="1072" name="图片 5"/>
                                <pic:cNvPicPr/>
                              </pic:nvPicPr>
                              <pic:blipFill>
                                <a:blip r:embed="rId60" cstate="print"/>
                                <a:srcRect/>
                                <a:stretch>
                                  <a:fillRect/>
                                </a:stretch>
                              </pic:blipFill>
                              <pic:spPr>
                                <a:xfrm>
                                  <a:off x="0" y="0"/>
                                  <a:ext cx="913130" cy="1022350"/>
                                </a:xfrm>
                                <a:prstGeom prst="rect">
                                  <a:avLst/>
                                </a:prstGeom>
                                <a:ln>
                                  <a:noFill/>
                                </a:ln>
                              </pic:spPr>
                            </pic:pic>
                          </a:graphicData>
                        </a:graphic>
                      </wp:inline>
                    </w:drawing>
                  </w:r>
                </w:p>
              </w:tc>
              <w:tc>
                <w:tcPr>
                  <w:tcW w:w="1844" w:type="pct"/>
                  <w:vAlign w:val="center"/>
                </w:tcPr>
                <w:p w14:paraId="0E88B0E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0" distR="0">
                        <wp:extent cx="1083310" cy="936625"/>
                        <wp:effectExtent l="0" t="0" r="2540" b="15875"/>
                        <wp:docPr id="1073" name="图片 6"/>
                        <wp:cNvGraphicFramePr/>
                        <a:graphic xmlns:a="http://schemas.openxmlformats.org/drawingml/2006/main">
                          <a:graphicData uri="http://schemas.openxmlformats.org/drawingml/2006/picture">
                            <pic:pic xmlns:pic="http://schemas.openxmlformats.org/drawingml/2006/picture">
                              <pic:nvPicPr>
                                <pic:cNvPr id="1073" name="图片 6"/>
                                <pic:cNvPicPr/>
                              </pic:nvPicPr>
                              <pic:blipFill>
                                <a:blip r:embed="rId61" cstate="print"/>
                                <a:srcRect/>
                                <a:stretch>
                                  <a:fillRect/>
                                </a:stretch>
                              </pic:blipFill>
                              <pic:spPr>
                                <a:xfrm>
                                  <a:off x="0" y="0"/>
                                  <a:ext cx="1083310" cy="936625"/>
                                </a:xfrm>
                                <a:prstGeom prst="rect">
                                  <a:avLst/>
                                </a:prstGeom>
                                <a:ln>
                                  <a:noFill/>
                                </a:ln>
                              </pic:spPr>
                            </pic:pic>
                          </a:graphicData>
                        </a:graphic>
                      </wp:inline>
                    </w:drawing>
                  </w:r>
                </w:p>
              </w:tc>
            </w:tr>
            <w:tr w14:paraId="66D83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vAlign w:val="center"/>
                </w:tcPr>
                <w:p w14:paraId="4812C7D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噪声排放源</w:t>
                  </w:r>
                </w:p>
              </w:tc>
              <w:tc>
                <w:tcPr>
                  <w:tcW w:w="1877" w:type="pct"/>
                  <w:vAlign w:val="center"/>
                </w:tcPr>
                <w:p w14:paraId="18C0D89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0" distR="0">
                        <wp:extent cx="961390" cy="951865"/>
                        <wp:effectExtent l="0" t="0" r="10160" b="635"/>
                        <wp:docPr id="1074" name="图片 7"/>
                        <wp:cNvGraphicFramePr/>
                        <a:graphic xmlns:a="http://schemas.openxmlformats.org/drawingml/2006/main">
                          <a:graphicData uri="http://schemas.openxmlformats.org/drawingml/2006/picture">
                            <pic:pic xmlns:pic="http://schemas.openxmlformats.org/drawingml/2006/picture">
                              <pic:nvPicPr>
                                <pic:cNvPr id="1074" name="图片 7"/>
                                <pic:cNvPicPr/>
                              </pic:nvPicPr>
                              <pic:blipFill>
                                <a:blip r:embed="rId62" cstate="print"/>
                                <a:srcRect/>
                                <a:stretch>
                                  <a:fillRect/>
                                </a:stretch>
                              </pic:blipFill>
                              <pic:spPr>
                                <a:xfrm>
                                  <a:off x="0" y="0"/>
                                  <a:ext cx="961390" cy="951865"/>
                                </a:xfrm>
                                <a:prstGeom prst="rect">
                                  <a:avLst/>
                                </a:prstGeom>
                                <a:ln>
                                  <a:noFill/>
                                </a:ln>
                              </pic:spPr>
                            </pic:pic>
                          </a:graphicData>
                        </a:graphic>
                      </wp:inline>
                    </w:drawing>
                  </w:r>
                </w:p>
              </w:tc>
              <w:tc>
                <w:tcPr>
                  <w:tcW w:w="1844" w:type="pct"/>
                  <w:vAlign w:val="center"/>
                </w:tcPr>
                <w:p w14:paraId="10F1E82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0" distR="0">
                        <wp:extent cx="1138555" cy="1013460"/>
                        <wp:effectExtent l="0" t="0" r="4445" b="15240"/>
                        <wp:docPr id="1075" name="图片 20"/>
                        <wp:cNvGraphicFramePr/>
                        <a:graphic xmlns:a="http://schemas.openxmlformats.org/drawingml/2006/main">
                          <a:graphicData uri="http://schemas.openxmlformats.org/drawingml/2006/picture">
                            <pic:pic xmlns:pic="http://schemas.openxmlformats.org/drawingml/2006/picture">
                              <pic:nvPicPr>
                                <pic:cNvPr id="1075" name="图片 20"/>
                                <pic:cNvPicPr/>
                              </pic:nvPicPr>
                              <pic:blipFill>
                                <a:blip r:embed="rId63" cstate="print"/>
                                <a:srcRect/>
                                <a:stretch>
                                  <a:fillRect/>
                                </a:stretch>
                              </pic:blipFill>
                              <pic:spPr>
                                <a:xfrm>
                                  <a:off x="0" y="0"/>
                                  <a:ext cx="1138555" cy="1014094"/>
                                </a:xfrm>
                                <a:prstGeom prst="rect">
                                  <a:avLst/>
                                </a:prstGeom>
                                <a:ln>
                                  <a:noFill/>
                                </a:ln>
                              </pic:spPr>
                            </pic:pic>
                          </a:graphicData>
                        </a:graphic>
                      </wp:inline>
                    </w:drawing>
                  </w:r>
                </w:p>
              </w:tc>
            </w:tr>
            <w:tr w14:paraId="4128A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vAlign w:val="center"/>
                </w:tcPr>
                <w:p w14:paraId="371D308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一般固废</w:t>
                  </w:r>
                </w:p>
              </w:tc>
              <w:tc>
                <w:tcPr>
                  <w:tcW w:w="1877" w:type="pct"/>
                  <w:vAlign w:val="center"/>
                </w:tcPr>
                <w:p w14:paraId="7501A55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0" distR="0">
                        <wp:extent cx="998220" cy="1010285"/>
                        <wp:effectExtent l="0" t="0" r="11430" b="18415"/>
                        <wp:docPr id="1076" name="图片 9"/>
                        <wp:cNvGraphicFramePr/>
                        <a:graphic xmlns:a="http://schemas.openxmlformats.org/drawingml/2006/main">
                          <a:graphicData uri="http://schemas.openxmlformats.org/drawingml/2006/picture">
                            <pic:pic xmlns:pic="http://schemas.openxmlformats.org/drawingml/2006/picture">
                              <pic:nvPicPr>
                                <pic:cNvPr id="1076" name="图片 9"/>
                                <pic:cNvPicPr/>
                              </pic:nvPicPr>
                              <pic:blipFill>
                                <a:blip r:embed="rId64" cstate="print"/>
                                <a:srcRect/>
                                <a:stretch>
                                  <a:fillRect/>
                                </a:stretch>
                              </pic:blipFill>
                              <pic:spPr>
                                <a:xfrm>
                                  <a:off x="0" y="0"/>
                                  <a:ext cx="998220" cy="1010285"/>
                                </a:xfrm>
                                <a:prstGeom prst="rect">
                                  <a:avLst/>
                                </a:prstGeom>
                                <a:ln>
                                  <a:noFill/>
                                </a:ln>
                              </pic:spPr>
                            </pic:pic>
                          </a:graphicData>
                        </a:graphic>
                      </wp:inline>
                    </w:drawing>
                  </w:r>
                </w:p>
              </w:tc>
              <w:tc>
                <w:tcPr>
                  <w:tcW w:w="1844" w:type="pct"/>
                  <w:vAlign w:val="center"/>
                </w:tcPr>
                <w:p w14:paraId="1113954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0" distR="0">
                        <wp:extent cx="1148080" cy="1040130"/>
                        <wp:effectExtent l="0" t="0" r="13970" b="7620"/>
                        <wp:docPr id="1077" name="图片 10"/>
                        <wp:cNvGraphicFramePr/>
                        <a:graphic xmlns:a="http://schemas.openxmlformats.org/drawingml/2006/main">
                          <a:graphicData uri="http://schemas.openxmlformats.org/drawingml/2006/picture">
                            <pic:pic xmlns:pic="http://schemas.openxmlformats.org/drawingml/2006/picture">
                              <pic:nvPicPr>
                                <pic:cNvPr id="1077" name="图片 10"/>
                                <pic:cNvPicPr/>
                              </pic:nvPicPr>
                              <pic:blipFill>
                                <a:blip r:embed="rId65" cstate="print"/>
                                <a:srcRect/>
                                <a:stretch>
                                  <a:fillRect/>
                                </a:stretch>
                              </pic:blipFill>
                              <pic:spPr>
                                <a:xfrm>
                                  <a:off x="0" y="0"/>
                                  <a:ext cx="1148080" cy="1040130"/>
                                </a:xfrm>
                                <a:prstGeom prst="rect">
                                  <a:avLst/>
                                </a:prstGeom>
                                <a:ln>
                                  <a:noFill/>
                                </a:ln>
                              </pic:spPr>
                            </pic:pic>
                          </a:graphicData>
                        </a:graphic>
                      </wp:inline>
                    </w:drawing>
                  </w:r>
                </w:p>
              </w:tc>
            </w:tr>
            <w:tr w14:paraId="10B8F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77" w:type="pct"/>
                  <w:vAlign w:val="center"/>
                </w:tcPr>
                <w:p w14:paraId="668E778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危险废物</w:t>
                  </w:r>
                </w:p>
              </w:tc>
              <w:tc>
                <w:tcPr>
                  <w:tcW w:w="1877" w:type="pct"/>
                  <w:vAlign w:val="center"/>
                </w:tcPr>
                <w:p w14:paraId="17ED23F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844" w:type="pct"/>
                  <w:vAlign w:val="center"/>
                </w:tcPr>
                <w:p w14:paraId="499DBA3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inline distT="0" distB="0" distL="0" distR="0">
                        <wp:extent cx="1179830" cy="1099185"/>
                        <wp:effectExtent l="0" t="0" r="1270" b="5715"/>
                        <wp:docPr id="1078" name="图片 23"/>
                        <wp:cNvGraphicFramePr/>
                        <a:graphic xmlns:a="http://schemas.openxmlformats.org/drawingml/2006/main">
                          <a:graphicData uri="http://schemas.openxmlformats.org/drawingml/2006/picture">
                            <pic:pic xmlns:pic="http://schemas.openxmlformats.org/drawingml/2006/picture">
                              <pic:nvPicPr>
                                <pic:cNvPr id="1078" name="图片 23"/>
                                <pic:cNvPicPr/>
                              </pic:nvPicPr>
                              <pic:blipFill>
                                <a:blip r:embed="rId66" cstate="print"/>
                                <a:srcRect/>
                                <a:stretch>
                                  <a:fillRect/>
                                </a:stretch>
                              </pic:blipFill>
                              <pic:spPr>
                                <a:xfrm>
                                  <a:off x="0" y="0"/>
                                  <a:ext cx="1179830" cy="1099185"/>
                                </a:xfrm>
                                <a:prstGeom prst="rect">
                                  <a:avLst/>
                                </a:prstGeom>
                                <a:ln>
                                  <a:noFill/>
                                </a:ln>
                              </pic:spPr>
                            </pic:pic>
                          </a:graphicData>
                        </a:graphic>
                      </wp:inline>
                    </w:drawing>
                  </w:r>
                </w:p>
              </w:tc>
            </w:tr>
          </w:tbl>
          <w:p w14:paraId="55344474">
            <w:pPr>
              <w:rPr>
                <w:color w:val="000000" w:themeColor="text1"/>
                <w14:textFill>
                  <w14:solidFill>
                    <w14:schemeClr w14:val="tx1"/>
                  </w14:solidFill>
                </w14:textFill>
              </w:rPr>
            </w:pPr>
          </w:p>
        </w:tc>
      </w:tr>
    </w:tbl>
    <w:p w14:paraId="75343918">
      <w:pPr>
        <w:rPr>
          <w:color w:val="000000" w:themeColor="text1"/>
          <w14:textFill>
            <w14:solidFill>
              <w14:schemeClr w14:val="tx1"/>
            </w14:solidFill>
          </w14:textFill>
        </w:rPr>
      </w:pPr>
    </w:p>
    <w:p w14:paraId="2CA6C318">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6"/>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6"/>
        <w:gridCol w:w="13725"/>
      </w:tblGrid>
      <w:tr w14:paraId="486DE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1" w:type="pct"/>
          </w:tcPr>
          <w:p w14:paraId="45A9CE80">
            <w:pPr>
              <w:rPr>
                <w:color w:val="000000" w:themeColor="text1"/>
                <w14:textFill>
                  <w14:solidFill>
                    <w14:schemeClr w14:val="tx1"/>
                  </w14:solidFill>
                </w14:textFill>
              </w:rPr>
            </w:pPr>
          </w:p>
        </w:tc>
        <w:tc>
          <w:tcPr>
            <w:tcW w:w="4838" w:type="pct"/>
          </w:tcPr>
          <w:p w14:paraId="3B127ECB">
            <w:pPr>
              <w:adjustRightInd w:val="0"/>
              <w:snapToGrid w:val="0"/>
              <w:spacing w:line="360" w:lineRule="auto"/>
              <w:ind w:firstLine="482" w:firstLineChars="200"/>
              <w:rPr>
                <w:b/>
                <w:color w:val="000000" w:themeColor="text1"/>
                <w:kern w:val="0"/>
                <w:sz w:val="24"/>
                <w14:textFill>
                  <w14:solidFill>
                    <w14:schemeClr w14:val="tx1"/>
                  </w14:solidFill>
                </w14:textFill>
              </w:rPr>
            </w:pPr>
            <w:r>
              <w:rPr>
                <w:b/>
                <w:color w:val="000000" w:themeColor="text1"/>
                <w:kern w:val="0"/>
                <w:sz w:val="24"/>
                <w14:textFill>
                  <w14:solidFill>
                    <w14:schemeClr w14:val="tx1"/>
                  </w14:solidFill>
                </w14:textFill>
              </w:rPr>
              <w:t>10、环保投资</w:t>
            </w:r>
          </w:p>
          <w:p w14:paraId="6A5834C8">
            <w:pPr>
              <w:widowControl/>
              <w:adjustRightInd w:val="0"/>
              <w:snapToGrid w:val="0"/>
              <w:spacing w:line="360" w:lineRule="auto"/>
              <w:ind w:firstLine="480" w:firstLineChars="200"/>
              <w:rPr>
                <w:bCs/>
                <w:color w:val="000000" w:themeColor="text1"/>
                <w:sz w:val="24"/>
                <w14:textFill>
                  <w14:solidFill>
                    <w14:schemeClr w14:val="tx1"/>
                  </w14:solidFill>
                </w14:textFill>
              </w:rPr>
            </w:pPr>
            <w:r>
              <w:rPr>
                <w:bCs/>
                <w:color w:val="000000" w:themeColor="text1"/>
                <w:sz w:val="24"/>
                <w14:textFill>
                  <w14:solidFill>
                    <w14:schemeClr w14:val="tx1"/>
                  </w14:solidFill>
                </w14:textFill>
              </w:rPr>
              <w:t>工程环保投资估算见下表。</w:t>
            </w:r>
          </w:p>
          <w:p w14:paraId="3B4857BC">
            <w:pPr>
              <w:spacing w:line="360" w:lineRule="auto"/>
              <w:jc w:val="center"/>
              <w:rPr>
                <w:rStyle w:val="30"/>
                <w:color w:val="000000" w:themeColor="text1"/>
                <w14:textFill>
                  <w14:solidFill>
                    <w14:schemeClr w14:val="tx1"/>
                  </w14:solidFill>
                </w14:textFill>
              </w:rPr>
            </w:pPr>
            <w:r>
              <w:rPr>
                <w:b/>
                <w:bCs/>
                <w:color w:val="000000" w:themeColor="text1"/>
                <w:sz w:val="24"/>
                <w14:textFill>
                  <w14:solidFill>
                    <w14:schemeClr w14:val="tx1"/>
                  </w14:solidFill>
                </w14:textFill>
              </w:rPr>
              <w:t>表4-</w:t>
            </w:r>
            <w:r>
              <w:rPr>
                <w:rFonts w:hint="eastAsia"/>
                <w:b/>
                <w:bCs/>
                <w:color w:val="000000" w:themeColor="text1"/>
                <w:sz w:val="24"/>
                <w14:textFill>
                  <w14:solidFill>
                    <w14:schemeClr w14:val="tx1"/>
                  </w14:solidFill>
                </w14:textFill>
              </w:rPr>
              <w:t xml:space="preserve">36  </w:t>
            </w:r>
            <w:r>
              <w:rPr>
                <w:b/>
                <w:bCs/>
                <w:color w:val="000000" w:themeColor="text1"/>
                <w:sz w:val="24"/>
                <w14:textFill>
                  <w14:solidFill>
                    <w14:schemeClr w14:val="tx1"/>
                  </w14:solidFill>
                </w14:textFill>
              </w:rPr>
              <w:t>项目环保投资一览表</w:t>
            </w:r>
          </w:p>
          <w:tbl>
            <w:tblPr>
              <w:tblStyle w:val="26"/>
              <w:tblW w:w="134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6"/>
              <w:gridCol w:w="726"/>
              <w:gridCol w:w="1120"/>
              <w:gridCol w:w="3005"/>
              <w:gridCol w:w="2381"/>
              <w:gridCol w:w="4125"/>
              <w:gridCol w:w="1416"/>
            </w:tblGrid>
            <w:tr w14:paraId="7262E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Align w:val="center"/>
                </w:tcPr>
                <w:p w14:paraId="256B86BC">
                  <w:pPr>
                    <w:snapToGrid w:val="0"/>
                    <w:jc w:val="center"/>
                    <w:rPr>
                      <w:rStyle w:val="30"/>
                      <w:color w:val="000000" w:themeColor="text1"/>
                      <w14:textFill>
                        <w14:solidFill>
                          <w14:schemeClr w14:val="tx1"/>
                        </w14:solidFill>
                      </w14:textFill>
                    </w:rPr>
                  </w:pPr>
                  <w:r>
                    <w:rPr>
                      <w:color w:val="000000" w:themeColor="text1"/>
                      <w:szCs w:val="21"/>
                      <w14:textFill>
                        <w14:solidFill>
                          <w14:schemeClr w14:val="tx1"/>
                        </w14:solidFill>
                      </w14:textFill>
                    </w:rPr>
                    <w:t>类型</w:t>
                  </w:r>
                </w:p>
              </w:tc>
              <w:tc>
                <w:tcPr>
                  <w:tcW w:w="4125" w:type="dxa"/>
                  <w:gridSpan w:val="2"/>
                  <w:vAlign w:val="center"/>
                </w:tcPr>
                <w:p w14:paraId="7BA0E25C">
                  <w:pPr>
                    <w:snapToGrid w:val="0"/>
                    <w:jc w:val="center"/>
                    <w:rPr>
                      <w:rStyle w:val="30"/>
                      <w:color w:val="000000" w:themeColor="text1"/>
                      <w14:textFill>
                        <w14:solidFill>
                          <w14:schemeClr w14:val="tx1"/>
                        </w14:solidFill>
                      </w14:textFill>
                    </w:rPr>
                  </w:pPr>
                  <w:r>
                    <w:rPr>
                      <w:color w:val="000000" w:themeColor="text1"/>
                      <w:szCs w:val="21"/>
                      <w14:textFill>
                        <w14:solidFill>
                          <w14:schemeClr w14:val="tx1"/>
                        </w14:solidFill>
                      </w14:textFill>
                    </w:rPr>
                    <w:t>主要污染源</w:t>
                  </w:r>
                </w:p>
              </w:tc>
              <w:tc>
                <w:tcPr>
                  <w:tcW w:w="2381" w:type="dxa"/>
                  <w:vAlign w:val="center"/>
                </w:tcPr>
                <w:p w14:paraId="048A8EF1">
                  <w:pPr>
                    <w:snapToGrid w:val="0"/>
                    <w:jc w:val="center"/>
                    <w:rPr>
                      <w:rStyle w:val="30"/>
                      <w:color w:val="000000" w:themeColor="text1"/>
                      <w14:textFill>
                        <w14:solidFill>
                          <w14:schemeClr w14:val="tx1"/>
                        </w14:solidFill>
                      </w14:textFill>
                    </w:rPr>
                  </w:pPr>
                  <w:r>
                    <w:rPr>
                      <w:color w:val="000000" w:themeColor="text1"/>
                      <w:szCs w:val="21"/>
                      <w14:textFill>
                        <w14:solidFill>
                          <w14:schemeClr w14:val="tx1"/>
                        </w14:solidFill>
                      </w14:textFill>
                    </w:rPr>
                    <w:t>主要污染物</w:t>
                  </w:r>
                </w:p>
              </w:tc>
              <w:tc>
                <w:tcPr>
                  <w:tcW w:w="4125" w:type="dxa"/>
                  <w:vAlign w:val="center"/>
                </w:tcPr>
                <w:p w14:paraId="75684A6F">
                  <w:pPr>
                    <w:snapToGrid w:val="0"/>
                    <w:jc w:val="center"/>
                    <w:rPr>
                      <w:rStyle w:val="30"/>
                      <w:color w:val="000000" w:themeColor="text1"/>
                      <w14:textFill>
                        <w14:solidFill>
                          <w14:schemeClr w14:val="tx1"/>
                        </w14:solidFill>
                      </w14:textFill>
                    </w:rPr>
                  </w:pPr>
                  <w:r>
                    <w:rPr>
                      <w:color w:val="000000" w:themeColor="text1"/>
                      <w:szCs w:val="21"/>
                      <w14:textFill>
                        <w14:solidFill>
                          <w14:schemeClr w14:val="tx1"/>
                        </w14:solidFill>
                      </w14:textFill>
                    </w:rPr>
                    <w:t>采取措施</w:t>
                  </w:r>
                </w:p>
              </w:tc>
              <w:tc>
                <w:tcPr>
                  <w:tcW w:w="1416" w:type="dxa"/>
                  <w:vAlign w:val="center"/>
                </w:tcPr>
                <w:p w14:paraId="000B1951">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环保投资</w:t>
                  </w:r>
                </w:p>
                <w:p w14:paraId="3E7EDF68">
                  <w:pPr>
                    <w:snapToGrid w:val="0"/>
                    <w:jc w:val="center"/>
                    <w:rPr>
                      <w:rStyle w:val="30"/>
                      <w:color w:val="000000" w:themeColor="text1"/>
                      <w14:textFill>
                        <w14:solidFill>
                          <w14:schemeClr w14:val="tx1"/>
                        </w14:solidFill>
                      </w14:textFill>
                    </w:rPr>
                  </w:pPr>
                  <w:r>
                    <w:rPr>
                      <w:color w:val="000000" w:themeColor="text1"/>
                      <w:szCs w:val="21"/>
                      <w14:textFill>
                        <w14:solidFill>
                          <w14:schemeClr w14:val="tx1"/>
                        </w14:solidFill>
                      </w14:textFill>
                    </w:rPr>
                    <w:t>（万元）</w:t>
                  </w:r>
                </w:p>
              </w:tc>
            </w:tr>
            <w:tr w14:paraId="3091C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restart"/>
                  <w:vAlign w:val="center"/>
                </w:tcPr>
                <w:p w14:paraId="3313E05A">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废气</w:t>
                  </w:r>
                </w:p>
              </w:tc>
              <w:tc>
                <w:tcPr>
                  <w:tcW w:w="726" w:type="dxa"/>
                  <w:vMerge w:val="restart"/>
                  <w:vAlign w:val="center"/>
                </w:tcPr>
                <w:p w14:paraId="20DD2318">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有组织</w:t>
                  </w:r>
                </w:p>
              </w:tc>
              <w:tc>
                <w:tcPr>
                  <w:tcW w:w="4125" w:type="dxa"/>
                  <w:gridSpan w:val="2"/>
                  <w:vAlign w:val="center"/>
                </w:tcPr>
                <w:p w14:paraId="0C696033">
                  <w:pPr>
                    <w:jc w:val="center"/>
                    <w:outlineLvl w:val="9"/>
                    <w:rPr>
                      <w:color w:val="000000" w:themeColor="text1"/>
                      <w:szCs w:val="21"/>
                      <w14:textFill>
                        <w14:solidFill>
                          <w14:schemeClr w14:val="tx1"/>
                        </w14:solidFill>
                      </w14:textFill>
                    </w:rPr>
                  </w:pPr>
                  <w:bookmarkStart w:id="169" w:name="_Toc6537"/>
                  <w:r>
                    <w:rPr>
                      <w:rFonts w:hint="eastAsia"/>
                      <w:color w:val="000000" w:themeColor="text1"/>
                      <w:szCs w:val="21"/>
                      <w14:textFill>
                        <w14:solidFill>
                          <w14:schemeClr w14:val="tx1"/>
                        </w14:solidFill>
                      </w14:textFill>
                    </w:rPr>
                    <w:t>原料投料、粉碎工序和袋泡茶生产过程粉尘</w:t>
                  </w:r>
                  <w:bookmarkEnd w:id="169"/>
                </w:p>
              </w:tc>
              <w:tc>
                <w:tcPr>
                  <w:tcW w:w="2381" w:type="dxa"/>
                  <w:vAlign w:val="center"/>
                </w:tcPr>
                <w:p w14:paraId="65C5E105">
                  <w:pPr>
                    <w:jc w:val="center"/>
                    <w:outlineLvl w:val="9"/>
                    <w:rPr>
                      <w:color w:val="000000" w:themeColor="text1"/>
                      <w:szCs w:val="21"/>
                      <w14:textFill>
                        <w14:solidFill>
                          <w14:schemeClr w14:val="tx1"/>
                        </w14:solidFill>
                      </w14:textFill>
                    </w:rPr>
                  </w:pPr>
                  <w:bookmarkStart w:id="170" w:name="_Toc16229"/>
                  <w:r>
                    <w:rPr>
                      <w:rFonts w:hint="eastAsia"/>
                      <w:color w:val="000000" w:themeColor="text1"/>
                      <w:szCs w:val="21"/>
                      <w14:textFill>
                        <w14:solidFill>
                          <w14:schemeClr w14:val="tx1"/>
                        </w14:solidFill>
                      </w14:textFill>
                    </w:rPr>
                    <w:t>颗粒物</w:t>
                  </w:r>
                  <w:bookmarkEnd w:id="170"/>
                </w:p>
              </w:tc>
              <w:tc>
                <w:tcPr>
                  <w:tcW w:w="4125" w:type="dxa"/>
                  <w:vAlign w:val="center"/>
                </w:tcPr>
                <w:p w14:paraId="502C4B5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经集气罩收集引入1套覆膜袋式除尘器（TA001）处理后通过1根15m高排气筒（DA001）排放</w:t>
                  </w:r>
                </w:p>
              </w:tc>
              <w:tc>
                <w:tcPr>
                  <w:tcW w:w="1416" w:type="dxa"/>
                  <w:vAlign w:val="center"/>
                </w:tcPr>
                <w:p w14:paraId="6EEE233C">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r>
            <w:tr w14:paraId="730FB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57B1FCB4">
                  <w:pPr>
                    <w:snapToGrid w:val="0"/>
                    <w:jc w:val="center"/>
                    <w:rPr>
                      <w:color w:val="000000" w:themeColor="text1"/>
                      <w:szCs w:val="21"/>
                      <w14:textFill>
                        <w14:solidFill>
                          <w14:schemeClr w14:val="tx1"/>
                        </w14:solidFill>
                      </w14:textFill>
                    </w:rPr>
                  </w:pPr>
                </w:p>
              </w:tc>
              <w:tc>
                <w:tcPr>
                  <w:tcW w:w="726" w:type="dxa"/>
                  <w:vMerge w:val="continue"/>
                  <w:vAlign w:val="center"/>
                </w:tcPr>
                <w:p w14:paraId="2C938BE4">
                  <w:pPr>
                    <w:snapToGrid w:val="0"/>
                    <w:jc w:val="center"/>
                    <w:rPr>
                      <w:color w:val="000000" w:themeColor="text1"/>
                      <w:szCs w:val="21"/>
                      <w14:textFill>
                        <w14:solidFill>
                          <w14:schemeClr w14:val="tx1"/>
                        </w14:solidFill>
                      </w14:textFill>
                    </w:rPr>
                  </w:pPr>
                </w:p>
              </w:tc>
              <w:tc>
                <w:tcPr>
                  <w:tcW w:w="4125" w:type="dxa"/>
                  <w:gridSpan w:val="2"/>
                  <w:vAlign w:val="center"/>
                </w:tcPr>
                <w:p w14:paraId="52640417">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1t/h蒸汽发生器天然气燃烧废气</w:t>
                  </w:r>
                </w:p>
              </w:tc>
              <w:tc>
                <w:tcPr>
                  <w:tcW w:w="2381" w:type="dxa"/>
                  <w:vAlign w:val="center"/>
                </w:tcPr>
                <w:p w14:paraId="1A1C84F8">
                  <w:pPr>
                    <w:jc w:val="center"/>
                    <w:outlineLvl w:val="9"/>
                    <w:rPr>
                      <w:color w:val="000000" w:themeColor="text1"/>
                      <w:szCs w:val="21"/>
                      <w14:textFill>
                        <w14:solidFill>
                          <w14:schemeClr w14:val="tx1"/>
                        </w14:solidFill>
                      </w14:textFill>
                    </w:rPr>
                  </w:pPr>
                  <w:bookmarkStart w:id="171" w:name="_Toc8147"/>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bookmarkEnd w:id="171"/>
                </w:p>
              </w:tc>
              <w:tc>
                <w:tcPr>
                  <w:tcW w:w="4125" w:type="dxa"/>
                  <w:vAlign w:val="center"/>
                </w:tcPr>
                <w:p w14:paraId="3D5A8A5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（TA002）</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排放</w:t>
                  </w:r>
                </w:p>
              </w:tc>
              <w:tc>
                <w:tcPr>
                  <w:tcW w:w="1416" w:type="dxa"/>
                  <w:vAlign w:val="center"/>
                </w:tcPr>
                <w:p w14:paraId="67DA95D1">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p>
              </w:tc>
            </w:tr>
            <w:tr w14:paraId="48BF6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726" w:type="dxa"/>
                  <w:vMerge w:val="continue"/>
                  <w:vAlign w:val="center"/>
                </w:tcPr>
                <w:p w14:paraId="2D202DAD">
                  <w:pPr>
                    <w:snapToGrid w:val="0"/>
                    <w:jc w:val="center"/>
                    <w:rPr>
                      <w:color w:val="000000" w:themeColor="text1"/>
                      <w:szCs w:val="21"/>
                      <w14:textFill>
                        <w14:solidFill>
                          <w14:schemeClr w14:val="tx1"/>
                        </w14:solidFill>
                      </w14:textFill>
                    </w:rPr>
                  </w:pPr>
                </w:p>
              </w:tc>
              <w:tc>
                <w:tcPr>
                  <w:tcW w:w="726" w:type="dxa"/>
                  <w:vMerge w:val="continue"/>
                  <w:vAlign w:val="center"/>
                </w:tcPr>
                <w:p w14:paraId="767C7B14">
                  <w:pPr>
                    <w:snapToGrid w:val="0"/>
                    <w:jc w:val="center"/>
                    <w:rPr>
                      <w:color w:val="000000" w:themeColor="text1"/>
                      <w:szCs w:val="21"/>
                      <w14:textFill>
                        <w14:solidFill>
                          <w14:schemeClr w14:val="tx1"/>
                        </w14:solidFill>
                      </w14:textFill>
                    </w:rPr>
                  </w:pPr>
                </w:p>
              </w:tc>
              <w:tc>
                <w:tcPr>
                  <w:tcW w:w="4125" w:type="dxa"/>
                  <w:gridSpan w:val="2"/>
                  <w:vAlign w:val="center"/>
                </w:tcPr>
                <w:p w14:paraId="76C7765D">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0.3t/h蒸汽发生器天然气燃烧废气</w:t>
                  </w:r>
                </w:p>
              </w:tc>
              <w:tc>
                <w:tcPr>
                  <w:tcW w:w="2381" w:type="dxa"/>
                  <w:vAlign w:val="center"/>
                </w:tcPr>
                <w:p w14:paraId="15C1A3BC">
                  <w:pPr>
                    <w:jc w:val="center"/>
                    <w:outlineLvl w:val="9"/>
                    <w:rPr>
                      <w:color w:val="000000" w:themeColor="text1"/>
                      <w:szCs w:val="21"/>
                      <w14:textFill>
                        <w14:solidFill>
                          <w14:schemeClr w14:val="tx1"/>
                        </w14:solidFill>
                      </w14:textFill>
                    </w:rPr>
                  </w:pPr>
                  <w:bookmarkStart w:id="172" w:name="_Toc26293"/>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bookmarkEnd w:id="172"/>
                </w:p>
              </w:tc>
              <w:tc>
                <w:tcPr>
                  <w:tcW w:w="4125" w:type="dxa"/>
                  <w:vAlign w:val="center"/>
                </w:tcPr>
                <w:p w14:paraId="4447A14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（TA003）</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排放</w:t>
                  </w:r>
                </w:p>
              </w:tc>
              <w:tc>
                <w:tcPr>
                  <w:tcW w:w="1416" w:type="dxa"/>
                  <w:vAlign w:val="center"/>
                </w:tcPr>
                <w:p w14:paraId="17451A0B">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r>
            <w:tr w14:paraId="018F1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26" w:type="dxa"/>
                  <w:vMerge w:val="continue"/>
                  <w:vAlign w:val="center"/>
                </w:tcPr>
                <w:p w14:paraId="7DD83B6D">
                  <w:pPr>
                    <w:snapToGrid w:val="0"/>
                    <w:jc w:val="center"/>
                    <w:rPr>
                      <w:color w:val="000000" w:themeColor="text1"/>
                      <w:szCs w:val="21"/>
                      <w14:textFill>
                        <w14:solidFill>
                          <w14:schemeClr w14:val="tx1"/>
                        </w14:solidFill>
                      </w14:textFill>
                    </w:rPr>
                  </w:pPr>
                </w:p>
              </w:tc>
              <w:tc>
                <w:tcPr>
                  <w:tcW w:w="726" w:type="dxa"/>
                  <w:vMerge w:val="continue"/>
                  <w:vAlign w:val="center"/>
                </w:tcPr>
                <w:p w14:paraId="5737A69F">
                  <w:pPr>
                    <w:snapToGrid w:val="0"/>
                    <w:jc w:val="center"/>
                    <w:rPr>
                      <w:color w:val="000000" w:themeColor="text1"/>
                      <w:szCs w:val="21"/>
                      <w14:textFill>
                        <w14:solidFill>
                          <w14:schemeClr w14:val="tx1"/>
                        </w14:solidFill>
                      </w14:textFill>
                    </w:rPr>
                  </w:pPr>
                </w:p>
              </w:tc>
              <w:tc>
                <w:tcPr>
                  <w:tcW w:w="4125" w:type="dxa"/>
                  <w:gridSpan w:val="2"/>
                  <w:vAlign w:val="center"/>
                </w:tcPr>
                <w:p w14:paraId="6B7258BF">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0.5t/h蒸汽发生器天然气燃烧废气</w:t>
                  </w:r>
                </w:p>
              </w:tc>
              <w:tc>
                <w:tcPr>
                  <w:tcW w:w="2381" w:type="dxa"/>
                  <w:vAlign w:val="center"/>
                </w:tcPr>
                <w:p w14:paraId="42A18B37">
                  <w:pPr>
                    <w:jc w:val="center"/>
                    <w:outlineLvl w:val="9"/>
                    <w:rPr>
                      <w:color w:val="000000" w:themeColor="text1"/>
                      <w:szCs w:val="21"/>
                      <w14:textFill>
                        <w14:solidFill>
                          <w14:schemeClr w14:val="tx1"/>
                        </w14:solidFill>
                      </w14:textFill>
                    </w:rPr>
                  </w:pPr>
                  <w:bookmarkStart w:id="173" w:name="_Toc32510"/>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bookmarkEnd w:id="173"/>
                </w:p>
              </w:tc>
              <w:tc>
                <w:tcPr>
                  <w:tcW w:w="4125" w:type="dxa"/>
                  <w:vAlign w:val="center"/>
                </w:tcPr>
                <w:p w14:paraId="3E92DC5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（TA004）</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排放</w:t>
                  </w:r>
                </w:p>
              </w:tc>
              <w:tc>
                <w:tcPr>
                  <w:tcW w:w="1416" w:type="dxa"/>
                  <w:vAlign w:val="center"/>
                </w:tcPr>
                <w:p w14:paraId="030CAB74">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r>
            <w:tr w14:paraId="4CBDB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390486F7">
                  <w:pPr>
                    <w:snapToGrid w:val="0"/>
                    <w:jc w:val="center"/>
                    <w:rPr>
                      <w:color w:val="000000" w:themeColor="text1"/>
                      <w:szCs w:val="21"/>
                      <w14:textFill>
                        <w14:solidFill>
                          <w14:schemeClr w14:val="tx1"/>
                        </w14:solidFill>
                      </w14:textFill>
                    </w:rPr>
                  </w:pPr>
                </w:p>
              </w:tc>
              <w:tc>
                <w:tcPr>
                  <w:tcW w:w="726" w:type="dxa"/>
                  <w:vMerge w:val="continue"/>
                  <w:vAlign w:val="center"/>
                </w:tcPr>
                <w:p w14:paraId="33402845">
                  <w:pPr>
                    <w:snapToGrid w:val="0"/>
                    <w:jc w:val="center"/>
                    <w:rPr>
                      <w:color w:val="000000" w:themeColor="text1"/>
                      <w:szCs w:val="21"/>
                      <w14:textFill>
                        <w14:solidFill>
                          <w14:schemeClr w14:val="tx1"/>
                        </w14:solidFill>
                      </w14:textFill>
                    </w:rPr>
                  </w:pPr>
                </w:p>
              </w:tc>
              <w:tc>
                <w:tcPr>
                  <w:tcW w:w="4125" w:type="dxa"/>
                  <w:gridSpan w:val="2"/>
                  <w:vAlign w:val="center"/>
                </w:tcPr>
                <w:p w14:paraId="5BEDAA9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治疗凝胶生产线乳化工序废气</w:t>
                  </w:r>
                </w:p>
              </w:tc>
              <w:tc>
                <w:tcPr>
                  <w:tcW w:w="2381" w:type="dxa"/>
                  <w:vAlign w:val="center"/>
                </w:tcPr>
                <w:p w14:paraId="51CC6897">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4125" w:type="dxa"/>
                  <w:vAlign w:val="center"/>
                </w:tcPr>
                <w:p w14:paraId="13236EA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w:t>
                  </w: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套</w:t>
                  </w:r>
                  <w:r>
                    <w:rPr>
                      <w:rFonts w:hint="eastAsia"/>
                      <w:color w:val="000000" w:themeColor="text1"/>
                      <w:szCs w:val="21"/>
                      <w14:textFill>
                        <w14:solidFill>
                          <w14:schemeClr w14:val="tx1"/>
                        </w14:solidFill>
                      </w14:textFill>
                    </w:rPr>
                    <w:t>“二级</w:t>
                  </w:r>
                  <w:r>
                    <w:rPr>
                      <w:color w:val="000000" w:themeColor="text1"/>
                      <w:szCs w:val="21"/>
                      <w14:textFill>
                        <w14:solidFill>
                          <w14:schemeClr w14:val="tx1"/>
                        </w14:solidFill>
                      </w14:textFill>
                    </w:rPr>
                    <w:t>活性炭吸附</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（TA00</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）设施</w:t>
                  </w:r>
                  <w:r>
                    <w:rPr>
                      <w:rFonts w:hint="eastAsia"/>
                      <w:color w:val="000000" w:themeColor="text1"/>
                      <w:szCs w:val="21"/>
                      <w14:textFill>
                        <w14:solidFill>
                          <w14:schemeClr w14:val="tx1"/>
                        </w14:solidFill>
                      </w14:textFill>
                    </w:rPr>
                    <w:t>处理</w:t>
                  </w:r>
                  <w:r>
                    <w:rPr>
                      <w:color w:val="000000" w:themeColor="text1"/>
                      <w:szCs w:val="21"/>
                      <w14:textFill>
                        <w14:solidFill>
                          <w14:schemeClr w14:val="tx1"/>
                        </w14:solidFill>
                      </w14:textFill>
                    </w:rPr>
                    <w:t>后通过</w:t>
                  </w:r>
                  <w:r>
                    <w:rPr>
                      <w:rFonts w:hint="eastAsia"/>
                      <w:color w:val="000000" w:themeColor="text1"/>
                      <w:szCs w:val="21"/>
                      <w14:textFill>
                        <w14:solidFill>
                          <w14:schemeClr w14:val="tx1"/>
                        </w14:solidFill>
                      </w14:textFill>
                    </w:rPr>
                    <w:t>1根15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排放</w:t>
                  </w:r>
                </w:p>
              </w:tc>
              <w:tc>
                <w:tcPr>
                  <w:tcW w:w="1416" w:type="dxa"/>
                  <w:vAlign w:val="center"/>
                </w:tcPr>
                <w:p w14:paraId="5A42540C">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r>
            <w:tr w14:paraId="1238A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39E61470">
                  <w:pPr>
                    <w:snapToGrid w:val="0"/>
                    <w:jc w:val="center"/>
                    <w:rPr>
                      <w:color w:val="000000" w:themeColor="text1"/>
                      <w:szCs w:val="21"/>
                      <w14:textFill>
                        <w14:solidFill>
                          <w14:schemeClr w14:val="tx1"/>
                        </w14:solidFill>
                      </w14:textFill>
                    </w:rPr>
                  </w:pPr>
                </w:p>
              </w:tc>
              <w:tc>
                <w:tcPr>
                  <w:tcW w:w="726" w:type="dxa"/>
                  <w:vMerge w:val="continue"/>
                  <w:vAlign w:val="center"/>
                </w:tcPr>
                <w:p w14:paraId="15E8D422">
                  <w:pPr>
                    <w:snapToGrid w:val="0"/>
                    <w:jc w:val="center"/>
                    <w:rPr>
                      <w:color w:val="000000" w:themeColor="text1"/>
                      <w:szCs w:val="21"/>
                      <w14:textFill>
                        <w14:solidFill>
                          <w14:schemeClr w14:val="tx1"/>
                        </w14:solidFill>
                      </w14:textFill>
                    </w:rPr>
                  </w:pPr>
                </w:p>
              </w:tc>
              <w:tc>
                <w:tcPr>
                  <w:tcW w:w="4125" w:type="dxa"/>
                  <w:gridSpan w:val="2"/>
                  <w:vAlign w:val="center"/>
                </w:tcPr>
                <w:p w14:paraId="529A0BD9">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热敷理疗产品上料粉尘</w:t>
                  </w:r>
                </w:p>
              </w:tc>
              <w:tc>
                <w:tcPr>
                  <w:tcW w:w="2381" w:type="dxa"/>
                  <w:vAlign w:val="center"/>
                </w:tcPr>
                <w:p w14:paraId="00AD56DD">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4125" w:type="dxa"/>
                  <w:vAlign w:val="center"/>
                </w:tcPr>
                <w:p w14:paraId="6E04606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覆膜袋式除尘器</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（TA00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处理后通过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排放</w:t>
                  </w:r>
                </w:p>
              </w:tc>
              <w:tc>
                <w:tcPr>
                  <w:tcW w:w="1416" w:type="dxa"/>
                  <w:vAlign w:val="center"/>
                </w:tcPr>
                <w:p w14:paraId="7EA5A4AF">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r>
            <w:tr w14:paraId="313F5F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50215503">
                  <w:pPr>
                    <w:snapToGrid w:val="0"/>
                    <w:jc w:val="center"/>
                    <w:rPr>
                      <w:color w:val="000000" w:themeColor="text1"/>
                      <w:szCs w:val="21"/>
                      <w14:textFill>
                        <w14:solidFill>
                          <w14:schemeClr w14:val="tx1"/>
                        </w14:solidFill>
                      </w14:textFill>
                    </w:rPr>
                  </w:pPr>
                </w:p>
              </w:tc>
              <w:tc>
                <w:tcPr>
                  <w:tcW w:w="726" w:type="dxa"/>
                  <w:vMerge w:val="continue"/>
                  <w:vAlign w:val="center"/>
                </w:tcPr>
                <w:p w14:paraId="5071DB37">
                  <w:pPr>
                    <w:snapToGrid w:val="0"/>
                    <w:jc w:val="center"/>
                    <w:rPr>
                      <w:color w:val="000000" w:themeColor="text1"/>
                      <w:szCs w:val="21"/>
                      <w14:textFill>
                        <w14:solidFill>
                          <w14:schemeClr w14:val="tx1"/>
                        </w14:solidFill>
                      </w14:textFill>
                    </w:rPr>
                  </w:pPr>
                </w:p>
              </w:tc>
              <w:tc>
                <w:tcPr>
                  <w:tcW w:w="4125" w:type="dxa"/>
                  <w:gridSpan w:val="2"/>
                  <w:vAlign w:val="center"/>
                </w:tcPr>
                <w:p w14:paraId="54B79AEB">
                  <w:pPr>
                    <w:snapToGrid w:val="0"/>
                    <w:jc w:val="center"/>
                    <w:rPr>
                      <w:color w:val="000000" w:themeColor="text1"/>
                      <w:szCs w:val="21"/>
                      <w14:textFill>
                        <w14:solidFill>
                          <w14:schemeClr w14:val="tx1"/>
                        </w14:solidFill>
                      </w14:textFill>
                    </w:rPr>
                  </w:pPr>
                  <w:r>
                    <w:rPr>
                      <w:color w:val="000000" w:themeColor="text1"/>
                      <w:kern w:val="52"/>
                      <w14:textFill>
                        <w14:solidFill>
                          <w14:schemeClr w14:val="tx1"/>
                        </w14:solidFill>
                      </w14:textFill>
                    </w:rPr>
                    <w:t>污水处理站</w:t>
                  </w:r>
                  <w:r>
                    <w:rPr>
                      <w:rFonts w:hint="eastAsia"/>
                      <w:color w:val="000000" w:themeColor="text1"/>
                      <w:kern w:val="52"/>
                      <w14:textFill>
                        <w14:solidFill>
                          <w14:schemeClr w14:val="tx1"/>
                        </w14:solidFill>
                      </w14:textFill>
                    </w:rPr>
                    <w:t>及酒糟暂存恶臭气体</w:t>
                  </w:r>
                </w:p>
              </w:tc>
              <w:tc>
                <w:tcPr>
                  <w:tcW w:w="2381" w:type="dxa"/>
                  <w:vAlign w:val="center"/>
                </w:tcPr>
                <w:p w14:paraId="43354285">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4125" w:type="dxa"/>
                  <w:vAlign w:val="center"/>
                </w:tcPr>
                <w:p w14:paraId="087CE19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污水处理站加盖密闭，通过管道收集后经1套“UV光氧+活性炭吸附装置”（TA007）进行处理，处理达标后由1根15m高排气筒（DA007）排放</w:t>
                  </w:r>
                </w:p>
              </w:tc>
              <w:tc>
                <w:tcPr>
                  <w:tcW w:w="1416" w:type="dxa"/>
                  <w:vAlign w:val="center"/>
                </w:tcPr>
                <w:p w14:paraId="1DFC78B9">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4</w:t>
                  </w:r>
                </w:p>
              </w:tc>
            </w:tr>
            <w:tr w14:paraId="6F433E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0F6FA0A5">
                  <w:pPr>
                    <w:snapToGrid w:val="0"/>
                    <w:jc w:val="center"/>
                    <w:rPr>
                      <w:color w:val="000000" w:themeColor="text1"/>
                      <w:szCs w:val="21"/>
                      <w14:textFill>
                        <w14:solidFill>
                          <w14:schemeClr w14:val="tx1"/>
                        </w14:solidFill>
                      </w14:textFill>
                    </w:rPr>
                  </w:pPr>
                </w:p>
              </w:tc>
              <w:tc>
                <w:tcPr>
                  <w:tcW w:w="726" w:type="dxa"/>
                  <w:vMerge w:val="restart"/>
                  <w:vAlign w:val="center"/>
                </w:tcPr>
                <w:p w14:paraId="795A1A7C">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无组织</w:t>
                  </w:r>
                </w:p>
              </w:tc>
              <w:tc>
                <w:tcPr>
                  <w:tcW w:w="1120" w:type="dxa"/>
                  <w:vMerge w:val="restart"/>
                  <w:vAlign w:val="center"/>
                </w:tcPr>
                <w:p w14:paraId="0F1E906E">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综合车间</w:t>
                  </w:r>
                </w:p>
              </w:tc>
              <w:tc>
                <w:tcPr>
                  <w:tcW w:w="3005" w:type="dxa"/>
                  <w:vAlign w:val="center"/>
                </w:tcPr>
                <w:p w14:paraId="6FA7EA3F">
                  <w:pPr>
                    <w:jc w:val="center"/>
                    <w:outlineLvl w:val="9"/>
                    <w:rPr>
                      <w:color w:val="000000" w:themeColor="text1"/>
                      <w:szCs w:val="21"/>
                      <w14:textFill>
                        <w14:solidFill>
                          <w14:schemeClr w14:val="tx1"/>
                        </w14:solidFill>
                      </w14:textFill>
                    </w:rPr>
                  </w:pPr>
                  <w:bookmarkStart w:id="174" w:name="_Toc16130"/>
                  <w:r>
                    <w:rPr>
                      <w:rFonts w:hint="eastAsia"/>
                      <w:color w:val="000000" w:themeColor="text1"/>
                      <w:szCs w:val="21"/>
                      <w14:textFill>
                        <w14:solidFill>
                          <w14:schemeClr w14:val="tx1"/>
                        </w14:solidFill>
                      </w14:textFill>
                    </w:rPr>
                    <w:t>白酒、啤酒生产线辅料投料粉尘</w:t>
                  </w:r>
                  <w:bookmarkEnd w:id="174"/>
                </w:p>
              </w:tc>
              <w:tc>
                <w:tcPr>
                  <w:tcW w:w="2381" w:type="dxa"/>
                  <w:vAlign w:val="center"/>
                </w:tcPr>
                <w:p w14:paraId="0991F4CE">
                  <w:pPr>
                    <w:jc w:val="center"/>
                    <w:outlineLvl w:val="9"/>
                    <w:rPr>
                      <w:color w:val="000000" w:themeColor="text1"/>
                      <w:szCs w:val="21"/>
                      <w14:textFill>
                        <w14:solidFill>
                          <w14:schemeClr w14:val="tx1"/>
                        </w14:solidFill>
                      </w14:textFill>
                    </w:rPr>
                  </w:pPr>
                  <w:bookmarkStart w:id="175" w:name="_Toc13641"/>
                  <w:r>
                    <w:rPr>
                      <w:rFonts w:hint="eastAsia"/>
                      <w:color w:val="000000" w:themeColor="text1"/>
                      <w:szCs w:val="21"/>
                      <w14:textFill>
                        <w14:solidFill>
                          <w14:schemeClr w14:val="tx1"/>
                        </w14:solidFill>
                      </w14:textFill>
                    </w:rPr>
                    <w:t>颗粒物</w:t>
                  </w:r>
                  <w:bookmarkEnd w:id="175"/>
                </w:p>
              </w:tc>
              <w:tc>
                <w:tcPr>
                  <w:tcW w:w="4125" w:type="dxa"/>
                  <w:vMerge w:val="restart"/>
                  <w:vAlign w:val="center"/>
                </w:tcPr>
                <w:p w14:paraId="39021F33">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车间密闭，定期对废气环保设备维护，保证废气收集效率</w:t>
                  </w:r>
                </w:p>
              </w:tc>
              <w:tc>
                <w:tcPr>
                  <w:tcW w:w="1416" w:type="dxa"/>
                  <w:vMerge w:val="restart"/>
                  <w:vAlign w:val="center"/>
                </w:tcPr>
                <w:p w14:paraId="544BF58D">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r>
            <w:tr w14:paraId="6F1F2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549C4266">
                  <w:pPr>
                    <w:snapToGrid w:val="0"/>
                    <w:jc w:val="center"/>
                    <w:rPr>
                      <w:color w:val="000000" w:themeColor="text1"/>
                      <w:szCs w:val="21"/>
                      <w14:textFill>
                        <w14:solidFill>
                          <w14:schemeClr w14:val="tx1"/>
                        </w14:solidFill>
                      </w14:textFill>
                    </w:rPr>
                  </w:pPr>
                </w:p>
              </w:tc>
              <w:tc>
                <w:tcPr>
                  <w:tcW w:w="726" w:type="dxa"/>
                  <w:vMerge w:val="continue"/>
                  <w:vAlign w:val="center"/>
                </w:tcPr>
                <w:p w14:paraId="49CB6D38">
                  <w:pPr>
                    <w:snapToGrid w:val="0"/>
                    <w:jc w:val="center"/>
                    <w:rPr>
                      <w:color w:val="000000" w:themeColor="text1"/>
                      <w:szCs w:val="21"/>
                      <w14:textFill>
                        <w14:solidFill>
                          <w14:schemeClr w14:val="tx1"/>
                        </w14:solidFill>
                      </w14:textFill>
                    </w:rPr>
                  </w:pPr>
                </w:p>
              </w:tc>
              <w:tc>
                <w:tcPr>
                  <w:tcW w:w="1120" w:type="dxa"/>
                  <w:vMerge w:val="continue"/>
                  <w:vAlign w:val="center"/>
                </w:tcPr>
                <w:p w14:paraId="6281DA5B">
                  <w:pPr>
                    <w:snapToGrid w:val="0"/>
                    <w:jc w:val="center"/>
                    <w:rPr>
                      <w:color w:val="000000" w:themeColor="text1"/>
                      <w:szCs w:val="21"/>
                      <w14:textFill>
                        <w14:solidFill>
                          <w14:schemeClr w14:val="tx1"/>
                        </w14:solidFill>
                      </w14:textFill>
                    </w:rPr>
                  </w:pPr>
                </w:p>
              </w:tc>
              <w:tc>
                <w:tcPr>
                  <w:tcW w:w="3005" w:type="dxa"/>
                  <w:vAlign w:val="center"/>
                </w:tcPr>
                <w:p w14:paraId="47AF6D4B">
                  <w:pPr>
                    <w:jc w:val="center"/>
                    <w:outlineLvl w:val="9"/>
                    <w:rPr>
                      <w:color w:val="000000" w:themeColor="text1"/>
                      <w:szCs w:val="21"/>
                      <w14:textFill>
                        <w14:solidFill>
                          <w14:schemeClr w14:val="tx1"/>
                        </w14:solidFill>
                      </w14:textFill>
                    </w:rPr>
                  </w:pPr>
                  <w:bookmarkStart w:id="176" w:name="_Toc31919"/>
                  <w:r>
                    <w:rPr>
                      <w:rFonts w:hint="eastAsia"/>
                      <w:color w:val="000000" w:themeColor="text1"/>
                      <w:szCs w:val="21"/>
                      <w14:textFill>
                        <w14:solidFill>
                          <w14:schemeClr w14:val="tx1"/>
                        </w14:solidFill>
                      </w14:textFill>
                    </w:rPr>
                    <w:t>白酒、啤酒以及植物饮料生产线原料投料、破碎工序和袋泡茶生产过程未收集粉尘</w:t>
                  </w:r>
                  <w:bookmarkEnd w:id="176"/>
                </w:p>
              </w:tc>
              <w:tc>
                <w:tcPr>
                  <w:tcW w:w="2381" w:type="dxa"/>
                  <w:vAlign w:val="center"/>
                </w:tcPr>
                <w:p w14:paraId="6F1D5C7E">
                  <w:pPr>
                    <w:jc w:val="center"/>
                    <w:outlineLvl w:val="9"/>
                    <w:rPr>
                      <w:color w:val="000000" w:themeColor="text1"/>
                      <w:szCs w:val="21"/>
                      <w14:textFill>
                        <w14:solidFill>
                          <w14:schemeClr w14:val="tx1"/>
                        </w14:solidFill>
                      </w14:textFill>
                    </w:rPr>
                  </w:pPr>
                  <w:bookmarkStart w:id="177" w:name="_Toc60"/>
                  <w:r>
                    <w:rPr>
                      <w:rFonts w:hint="eastAsia"/>
                      <w:color w:val="000000" w:themeColor="text1"/>
                      <w:szCs w:val="21"/>
                      <w14:textFill>
                        <w14:solidFill>
                          <w14:schemeClr w14:val="tx1"/>
                        </w14:solidFill>
                      </w14:textFill>
                    </w:rPr>
                    <w:t>颗粒物</w:t>
                  </w:r>
                  <w:bookmarkEnd w:id="177"/>
                </w:p>
              </w:tc>
              <w:tc>
                <w:tcPr>
                  <w:tcW w:w="4125" w:type="dxa"/>
                  <w:vMerge w:val="continue"/>
                  <w:vAlign w:val="center"/>
                </w:tcPr>
                <w:p w14:paraId="6949CDAF">
                  <w:pPr>
                    <w:snapToGrid w:val="0"/>
                    <w:jc w:val="center"/>
                    <w:rPr>
                      <w:color w:val="000000" w:themeColor="text1"/>
                      <w:szCs w:val="21"/>
                      <w14:textFill>
                        <w14:solidFill>
                          <w14:schemeClr w14:val="tx1"/>
                        </w14:solidFill>
                      </w14:textFill>
                    </w:rPr>
                  </w:pPr>
                </w:p>
              </w:tc>
              <w:tc>
                <w:tcPr>
                  <w:tcW w:w="1416" w:type="dxa"/>
                  <w:vMerge w:val="continue"/>
                  <w:vAlign w:val="center"/>
                </w:tcPr>
                <w:p w14:paraId="6F514285">
                  <w:pPr>
                    <w:snapToGrid w:val="0"/>
                    <w:jc w:val="center"/>
                    <w:rPr>
                      <w:color w:val="000000" w:themeColor="text1"/>
                      <w:szCs w:val="21"/>
                      <w14:textFill>
                        <w14:solidFill>
                          <w14:schemeClr w14:val="tx1"/>
                        </w14:solidFill>
                      </w14:textFill>
                    </w:rPr>
                  </w:pPr>
                </w:p>
              </w:tc>
            </w:tr>
            <w:tr w14:paraId="41FB0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60D164C2">
                  <w:pPr>
                    <w:snapToGrid w:val="0"/>
                    <w:jc w:val="center"/>
                    <w:rPr>
                      <w:color w:val="000000" w:themeColor="text1"/>
                      <w:szCs w:val="21"/>
                      <w14:textFill>
                        <w14:solidFill>
                          <w14:schemeClr w14:val="tx1"/>
                        </w14:solidFill>
                      </w14:textFill>
                    </w:rPr>
                  </w:pPr>
                </w:p>
              </w:tc>
              <w:tc>
                <w:tcPr>
                  <w:tcW w:w="726" w:type="dxa"/>
                  <w:vMerge w:val="continue"/>
                  <w:vAlign w:val="center"/>
                </w:tcPr>
                <w:p w14:paraId="7609F7E6">
                  <w:pPr>
                    <w:snapToGrid w:val="0"/>
                    <w:jc w:val="center"/>
                    <w:rPr>
                      <w:color w:val="000000" w:themeColor="text1"/>
                      <w:szCs w:val="21"/>
                      <w14:textFill>
                        <w14:solidFill>
                          <w14:schemeClr w14:val="tx1"/>
                        </w14:solidFill>
                      </w14:textFill>
                    </w:rPr>
                  </w:pPr>
                </w:p>
              </w:tc>
              <w:tc>
                <w:tcPr>
                  <w:tcW w:w="1120" w:type="dxa"/>
                  <w:vMerge w:val="continue"/>
                  <w:vAlign w:val="center"/>
                </w:tcPr>
                <w:p w14:paraId="42E6D80A">
                  <w:pPr>
                    <w:snapToGrid w:val="0"/>
                    <w:jc w:val="center"/>
                    <w:rPr>
                      <w:color w:val="000000" w:themeColor="text1"/>
                      <w:szCs w:val="21"/>
                      <w14:textFill>
                        <w14:solidFill>
                          <w14:schemeClr w14:val="tx1"/>
                        </w14:solidFill>
                      </w14:textFill>
                    </w:rPr>
                  </w:pPr>
                </w:p>
              </w:tc>
              <w:tc>
                <w:tcPr>
                  <w:tcW w:w="3005" w:type="dxa"/>
                  <w:vAlign w:val="center"/>
                </w:tcPr>
                <w:p w14:paraId="317A3B29">
                  <w:pPr>
                    <w:jc w:val="center"/>
                    <w:outlineLvl w:val="9"/>
                    <w:rPr>
                      <w:color w:val="000000" w:themeColor="text1"/>
                      <w:szCs w:val="21"/>
                      <w14:textFill>
                        <w14:solidFill>
                          <w14:schemeClr w14:val="tx1"/>
                        </w14:solidFill>
                      </w14:textFill>
                    </w:rPr>
                  </w:pPr>
                  <w:bookmarkStart w:id="178" w:name="_Toc7947"/>
                  <w:r>
                    <w:rPr>
                      <w:rFonts w:hint="eastAsia"/>
                      <w:color w:val="000000" w:themeColor="text1"/>
                      <w:szCs w:val="21"/>
                      <w14:textFill>
                        <w14:solidFill>
                          <w14:schemeClr w14:val="tx1"/>
                        </w14:solidFill>
                      </w14:textFill>
                    </w:rPr>
                    <w:t>综合车间发酵工序废气</w:t>
                  </w:r>
                  <w:bookmarkEnd w:id="178"/>
                </w:p>
              </w:tc>
              <w:tc>
                <w:tcPr>
                  <w:tcW w:w="2381" w:type="dxa"/>
                  <w:vAlign w:val="center"/>
                </w:tcPr>
                <w:p w14:paraId="7411A728">
                  <w:pPr>
                    <w:jc w:val="center"/>
                    <w:outlineLvl w:val="9"/>
                    <w:rPr>
                      <w:color w:val="000000" w:themeColor="text1"/>
                      <w:szCs w:val="21"/>
                      <w14:textFill>
                        <w14:solidFill>
                          <w14:schemeClr w14:val="tx1"/>
                        </w14:solidFill>
                      </w14:textFill>
                    </w:rPr>
                  </w:pPr>
                  <w:bookmarkStart w:id="179" w:name="_Toc25131"/>
                  <w:r>
                    <w:rPr>
                      <w:rFonts w:hint="eastAsia"/>
                      <w:color w:val="000000" w:themeColor="text1"/>
                      <w:szCs w:val="21"/>
                      <w14:textFill>
                        <w14:solidFill>
                          <w14:schemeClr w14:val="tx1"/>
                        </w14:solidFill>
                      </w14:textFill>
                    </w:rPr>
                    <w:t>二氧化碳</w:t>
                  </w:r>
                  <w:bookmarkEnd w:id="179"/>
                </w:p>
              </w:tc>
              <w:tc>
                <w:tcPr>
                  <w:tcW w:w="4125" w:type="dxa"/>
                  <w:vMerge w:val="continue"/>
                  <w:vAlign w:val="center"/>
                </w:tcPr>
                <w:p w14:paraId="13D5A730">
                  <w:pPr>
                    <w:snapToGrid w:val="0"/>
                    <w:jc w:val="center"/>
                    <w:rPr>
                      <w:color w:val="000000" w:themeColor="text1"/>
                      <w:szCs w:val="21"/>
                      <w14:textFill>
                        <w14:solidFill>
                          <w14:schemeClr w14:val="tx1"/>
                        </w14:solidFill>
                      </w14:textFill>
                    </w:rPr>
                  </w:pPr>
                </w:p>
              </w:tc>
              <w:tc>
                <w:tcPr>
                  <w:tcW w:w="1416" w:type="dxa"/>
                  <w:vMerge w:val="continue"/>
                  <w:vAlign w:val="center"/>
                </w:tcPr>
                <w:p w14:paraId="2B543959">
                  <w:pPr>
                    <w:snapToGrid w:val="0"/>
                    <w:jc w:val="center"/>
                    <w:rPr>
                      <w:color w:val="000000" w:themeColor="text1"/>
                      <w:szCs w:val="21"/>
                      <w14:textFill>
                        <w14:solidFill>
                          <w14:schemeClr w14:val="tx1"/>
                        </w14:solidFill>
                      </w14:textFill>
                    </w:rPr>
                  </w:pPr>
                </w:p>
              </w:tc>
            </w:tr>
            <w:tr w14:paraId="1CDA08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5F175DCE">
                  <w:pPr>
                    <w:snapToGrid w:val="0"/>
                    <w:jc w:val="center"/>
                    <w:rPr>
                      <w:color w:val="000000" w:themeColor="text1"/>
                      <w:szCs w:val="21"/>
                      <w14:textFill>
                        <w14:solidFill>
                          <w14:schemeClr w14:val="tx1"/>
                        </w14:solidFill>
                      </w14:textFill>
                    </w:rPr>
                  </w:pPr>
                </w:p>
              </w:tc>
              <w:tc>
                <w:tcPr>
                  <w:tcW w:w="726" w:type="dxa"/>
                  <w:vMerge w:val="continue"/>
                  <w:vAlign w:val="center"/>
                </w:tcPr>
                <w:p w14:paraId="6B70D68D">
                  <w:pPr>
                    <w:snapToGrid w:val="0"/>
                    <w:jc w:val="center"/>
                    <w:rPr>
                      <w:color w:val="000000" w:themeColor="text1"/>
                      <w:szCs w:val="21"/>
                      <w14:textFill>
                        <w14:solidFill>
                          <w14:schemeClr w14:val="tx1"/>
                        </w14:solidFill>
                      </w14:textFill>
                    </w:rPr>
                  </w:pPr>
                </w:p>
              </w:tc>
              <w:tc>
                <w:tcPr>
                  <w:tcW w:w="1120" w:type="dxa"/>
                  <w:vMerge w:val="continue"/>
                  <w:vAlign w:val="center"/>
                </w:tcPr>
                <w:p w14:paraId="4E5A1453">
                  <w:pPr>
                    <w:snapToGrid w:val="0"/>
                    <w:jc w:val="center"/>
                    <w:rPr>
                      <w:color w:val="000000" w:themeColor="text1"/>
                      <w:szCs w:val="21"/>
                      <w14:textFill>
                        <w14:solidFill>
                          <w14:schemeClr w14:val="tx1"/>
                        </w14:solidFill>
                      </w14:textFill>
                    </w:rPr>
                  </w:pPr>
                </w:p>
              </w:tc>
              <w:tc>
                <w:tcPr>
                  <w:tcW w:w="3005" w:type="dxa"/>
                  <w:vAlign w:val="center"/>
                </w:tcPr>
                <w:p w14:paraId="6CB72C76">
                  <w:pPr>
                    <w:jc w:val="center"/>
                    <w:outlineLvl w:val="9"/>
                    <w:rPr>
                      <w:color w:val="000000" w:themeColor="text1"/>
                      <w:szCs w:val="21"/>
                      <w14:textFill>
                        <w14:solidFill>
                          <w14:schemeClr w14:val="tx1"/>
                        </w14:solidFill>
                      </w14:textFill>
                    </w:rPr>
                  </w:pPr>
                  <w:bookmarkStart w:id="180" w:name="_Toc9811"/>
                  <w:r>
                    <w:rPr>
                      <w:rFonts w:hint="eastAsia"/>
                      <w:color w:val="000000" w:themeColor="text1"/>
                      <w:szCs w:val="21"/>
                      <w14:textFill>
                        <w14:solidFill>
                          <w14:schemeClr w14:val="tx1"/>
                        </w14:solidFill>
                      </w14:textFill>
                    </w:rPr>
                    <w:t>白酒储存过程产生的废气</w:t>
                  </w:r>
                  <w:bookmarkEnd w:id="180"/>
                </w:p>
              </w:tc>
              <w:tc>
                <w:tcPr>
                  <w:tcW w:w="2381" w:type="dxa"/>
                  <w:vAlign w:val="center"/>
                </w:tcPr>
                <w:p w14:paraId="62C5738C">
                  <w:pPr>
                    <w:jc w:val="center"/>
                    <w:outlineLvl w:val="9"/>
                    <w:rPr>
                      <w:color w:val="000000" w:themeColor="text1"/>
                      <w:szCs w:val="21"/>
                      <w14:textFill>
                        <w14:solidFill>
                          <w14:schemeClr w14:val="tx1"/>
                        </w14:solidFill>
                      </w14:textFill>
                    </w:rPr>
                  </w:pPr>
                  <w:bookmarkStart w:id="181" w:name="_Toc11444"/>
                  <w:r>
                    <w:rPr>
                      <w:rFonts w:hint="eastAsia"/>
                      <w:color w:val="000000" w:themeColor="text1"/>
                      <w:szCs w:val="21"/>
                      <w14:textFill>
                        <w14:solidFill>
                          <w14:schemeClr w14:val="tx1"/>
                        </w14:solidFill>
                      </w14:textFill>
                    </w:rPr>
                    <w:t>非甲烷总烃</w:t>
                  </w:r>
                  <w:bookmarkEnd w:id="181"/>
                </w:p>
              </w:tc>
              <w:tc>
                <w:tcPr>
                  <w:tcW w:w="4125" w:type="dxa"/>
                  <w:vMerge w:val="continue"/>
                  <w:vAlign w:val="center"/>
                </w:tcPr>
                <w:p w14:paraId="6CA95584">
                  <w:pPr>
                    <w:snapToGrid w:val="0"/>
                    <w:jc w:val="center"/>
                    <w:rPr>
                      <w:color w:val="000000" w:themeColor="text1"/>
                      <w:szCs w:val="21"/>
                      <w14:textFill>
                        <w14:solidFill>
                          <w14:schemeClr w14:val="tx1"/>
                        </w14:solidFill>
                      </w14:textFill>
                    </w:rPr>
                  </w:pPr>
                </w:p>
              </w:tc>
              <w:tc>
                <w:tcPr>
                  <w:tcW w:w="1416" w:type="dxa"/>
                  <w:vMerge w:val="continue"/>
                  <w:vAlign w:val="center"/>
                </w:tcPr>
                <w:p w14:paraId="6D732072">
                  <w:pPr>
                    <w:snapToGrid w:val="0"/>
                    <w:jc w:val="center"/>
                    <w:rPr>
                      <w:color w:val="000000" w:themeColor="text1"/>
                      <w:szCs w:val="21"/>
                      <w14:textFill>
                        <w14:solidFill>
                          <w14:schemeClr w14:val="tx1"/>
                        </w14:solidFill>
                      </w14:textFill>
                    </w:rPr>
                  </w:pPr>
                </w:p>
              </w:tc>
            </w:tr>
            <w:tr w14:paraId="51BBC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04BE5D68">
                  <w:pPr>
                    <w:snapToGrid w:val="0"/>
                    <w:jc w:val="center"/>
                    <w:rPr>
                      <w:color w:val="000000" w:themeColor="text1"/>
                      <w:szCs w:val="21"/>
                      <w14:textFill>
                        <w14:solidFill>
                          <w14:schemeClr w14:val="tx1"/>
                        </w14:solidFill>
                      </w14:textFill>
                    </w:rPr>
                  </w:pPr>
                </w:p>
              </w:tc>
              <w:tc>
                <w:tcPr>
                  <w:tcW w:w="726" w:type="dxa"/>
                  <w:vMerge w:val="continue"/>
                  <w:vAlign w:val="center"/>
                </w:tcPr>
                <w:p w14:paraId="1C56A9CE">
                  <w:pPr>
                    <w:snapToGrid w:val="0"/>
                    <w:jc w:val="center"/>
                    <w:rPr>
                      <w:color w:val="000000" w:themeColor="text1"/>
                      <w:szCs w:val="21"/>
                      <w14:textFill>
                        <w14:solidFill>
                          <w14:schemeClr w14:val="tx1"/>
                        </w14:solidFill>
                      </w14:textFill>
                    </w:rPr>
                  </w:pPr>
                </w:p>
              </w:tc>
              <w:tc>
                <w:tcPr>
                  <w:tcW w:w="1120" w:type="dxa"/>
                  <w:vAlign w:val="center"/>
                </w:tcPr>
                <w:p w14:paraId="01AF6017">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黄酒车间</w:t>
                  </w:r>
                </w:p>
              </w:tc>
              <w:tc>
                <w:tcPr>
                  <w:tcW w:w="3005" w:type="dxa"/>
                  <w:vAlign w:val="center"/>
                </w:tcPr>
                <w:p w14:paraId="61E7ED0B">
                  <w:pPr>
                    <w:jc w:val="center"/>
                    <w:outlineLvl w:val="9"/>
                    <w:rPr>
                      <w:color w:val="000000" w:themeColor="text1"/>
                      <w:szCs w:val="21"/>
                      <w14:textFill>
                        <w14:solidFill>
                          <w14:schemeClr w14:val="tx1"/>
                        </w14:solidFill>
                      </w14:textFill>
                    </w:rPr>
                  </w:pPr>
                  <w:bookmarkStart w:id="182" w:name="_Toc28346"/>
                  <w:r>
                    <w:rPr>
                      <w:rFonts w:hint="eastAsia"/>
                      <w:color w:val="000000" w:themeColor="text1"/>
                      <w:kern w:val="52"/>
                      <w14:textFill>
                        <w14:solidFill>
                          <w14:schemeClr w14:val="tx1"/>
                        </w14:solidFill>
                      </w14:textFill>
                    </w:rPr>
                    <w:t>黄酒生产线原辅料投料过程粉尘</w:t>
                  </w:r>
                  <w:bookmarkEnd w:id="182"/>
                </w:p>
              </w:tc>
              <w:tc>
                <w:tcPr>
                  <w:tcW w:w="2381" w:type="dxa"/>
                  <w:vAlign w:val="center"/>
                </w:tcPr>
                <w:p w14:paraId="6B8788ED">
                  <w:pPr>
                    <w:jc w:val="center"/>
                    <w:outlineLvl w:val="9"/>
                    <w:rPr>
                      <w:color w:val="000000" w:themeColor="text1"/>
                      <w:szCs w:val="21"/>
                      <w14:textFill>
                        <w14:solidFill>
                          <w14:schemeClr w14:val="tx1"/>
                        </w14:solidFill>
                      </w14:textFill>
                    </w:rPr>
                  </w:pPr>
                  <w:bookmarkStart w:id="183" w:name="_Toc28"/>
                  <w:r>
                    <w:rPr>
                      <w:rFonts w:hint="eastAsia"/>
                      <w:color w:val="000000" w:themeColor="text1"/>
                      <w:szCs w:val="21"/>
                      <w14:textFill>
                        <w14:solidFill>
                          <w14:schemeClr w14:val="tx1"/>
                        </w14:solidFill>
                      </w14:textFill>
                    </w:rPr>
                    <w:t>颗粒物</w:t>
                  </w:r>
                  <w:bookmarkEnd w:id="183"/>
                </w:p>
              </w:tc>
              <w:tc>
                <w:tcPr>
                  <w:tcW w:w="4125" w:type="dxa"/>
                  <w:vAlign w:val="center"/>
                </w:tcPr>
                <w:p w14:paraId="217DD74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1416" w:type="dxa"/>
                  <w:vAlign w:val="center"/>
                </w:tcPr>
                <w:p w14:paraId="77BE7CDF">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r>
            <w:tr w14:paraId="539D6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60E48DE0">
                  <w:pPr>
                    <w:snapToGrid w:val="0"/>
                    <w:jc w:val="center"/>
                    <w:rPr>
                      <w:color w:val="000000" w:themeColor="text1"/>
                      <w:szCs w:val="21"/>
                      <w14:textFill>
                        <w14:solidFill>
                          <w14:schemeClr w14:val="tx1"/>
                        </w14:solidFill>
                      </w14:textFill>
                    </w:rPr>
                  </w:pPr>
                </w:p>
              </w:tc>
              <w:tc>
                <w:tcPr>
                  <w:tcW w:w="726" w:type="dxa"/>
                  <w:vMerge w:val="continue"/>
                  <w:vAlign w:val="center"/>
                </w:tcPr>
                <w:p w14:paraId="4DEB5022">
                  <w:pPr>
                    <w:snapToGrid w:val="0"/>
                    <w:jc w:val="center"/>
                    <w:rPr>
                      <w:color w:val="000000" w:themeColor="text1"/>
                      <w:szCs w:val="21"/>
                      <w14:textFill>
                        <w14:solidFill>
                          <w14:schemeClr w14:val="tx1"/>
                        </w14:solidFill>
                      </w14:textFill>
                    </w:rPr>
                  </w:pPr>
                </w:p>
              </w:tc>
              <w:tc>
                <w:tcPr>
                  <w:tcW w:w="1120" w:type="dxa"/>
                  <w:vAlign w:val="center"/>
                </w:tcPr>
                <w:p w14:paraId="0B7AF650">
                  <w:pPr>
                    <w:pStyle w:val="49"/>
                    <w:rPr>
                      <w:color w:val="000000" w:themeColor="text1"/>
                      <w:szCs w:val="21"/>
                      <w14:textFill>
                        <w14:solidFill>
                          <w14:schemeClr w14:val="tx1"/>
                        </w14:solidFill>
                      </w14:textFill>
                    </w:rPr>
                  </w:pPr>
                  <w:r>
                    <w:rPr>
                      <w:rFonts w:hint="eastAsia"/>
                      <w:color w:val="000000" w:themeColor="text1"/>
                      <w:kern w:val="52"/>
                      <w14:textFill>
                        <w14:solidFill>
                          <w14:schemeClr w14:val="tx1"/>
                        </w14:solidFill>
                      </w14:textFill>
                    </w:rPr>
                    <w:t>封坛发酵车间</w:t>
                  </w:r>
                </w:p>
              </w:tc>
              <w:tc>
                <w:tcPr>
                  <w:tcW w:w="3005" w:type="dxa"/>
                  <w:vAlign w:val="center"/>
                </w:tcPr>
                <w:p w14:paraId="71FCD393">
                  <w:pPr>
                    <w:jc w:val="center"/>
                    <w:outlineLvl w:val="9"/>
                    <w:rPr>
                      <w:color w:val="000000" w:themeColor="text1"/>
                      <w:szCs w:val="21"/>
                      <w14:textFill>
                        <w14:solidFill>
                          <w14:schemeClr w14:val="tx1"/>
                        </w14:solidFill>
                      </w14:textFill>
                    </w:rPr>
                  </w:pPr>
                  <w:bookmarkStart w:id="184" w:name="_Toc199"/>
                  <w:r>
                    <w:rPr>
                      <w:rFonts w:hint="eastAsia"/>
                      <w:color w:val="000000" w:themeColor="text1"/>
                      <w:kern w:val="52"/>
                      <w14:textFill>
                        <w14:solidFill>
                          <w14:schemeClr w14:val="tx1"/>
                        </w14:solidFill>
                      </w14:textFill>
                    </w:rPr>
                    <w:t>封坛发酵车间废气</w:t>
                  </w:r>
                  <w:bookmarkEnd w:id="184"/>
                </w:p>
              </w:tc>
              <w:tc>
                <w:tcPr>
                  <w:tcW w:w="2381" w:type="dxa"/>
                  <w:vAlign w:val="center"/>
                </w:tcPr>
                <w:p w14:paraId="37E36D7A">
                  <w:pPr>
                    <w:jc w:val="center"/>
                    <w:outlineLvl w:val="9"/>
                    <w:rPr>
                      <w:color w:val="000000" w:themeColor="text1"/>
                      <w:szCs w:val="21"/>
                      <w14:textFill>
                        <w14:solidFill>
                          <w14:schemeClr w14:val="tx1"/>
                        </w14:solidFill>
                      </w14:textFill>
                    </w:rPr>
                  </w:pPr>
                  <w:bookmarkStart w:id="185" w:name="_Toc28355"/>
                  <w:r>
                    <w:rPr>
                      <w:rFonts w:hint="eastAsia"/>
                      <w:color w:val="000000" w:themeColor="text1"/>
                      <w:szCs w:val="21"/>
                      <w14:textFill>
                        <w14:solidFill>
                          <w14:schemeClr w14:val="tx1"/>
                        </w14:solidFill>
                      </w14:textFill>
                    </w:rPr>
                    <w:t>二氧化碳</w:t>
                  </w:r>
                  <w:bookmarkEnd w:id="185"/>
                </w:p>
              </w:tc>
              <w:tc>
                <w:tcPr>
                  <w:tcW w:w="4125" w:type="dxa"/>
                  <w:vAlign w:val="center"/>
                </w:tcPr>
                <w:p w14:paraId="316334A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1416" w:type="dxa"/>
                  <w:vAlign w:val="center"/>
                </w:tcPr>
                <w:p w14:paraId="3E0D560D">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r>
            <w:tr w14:paraId="2A7BF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152675CC">
                  <w:pPr>
                    <w:snapToGrid w:val="0"/>
                    <w:jc w:val="center"/>
                    <w:rPr>
                      <w:color w:val="000000" w:themeColor="text1"/>
                      <w:szCs w:val="21"/>
                      <w14:textFill>
                        <w14:solidFill>
                          <w14:schemeClr w14:val="tx1"/>
                        </w14:solidFill>
                      </w14:textFill>
                    </w:rPr>
                  </w:pPr>
                </w:p>
              </w:tc>
              <w:tc>
                <w:tcPr>
                  <w:tcW w:w="726" w:type="dxa"/>
                  <w:vMerge w:val="continue"/>
                  <w:vAlign w:val="center"/>
                </w:tcPr>
                <w:p w14:paraId="6761813E">
                  <w:pPr>
                    <w:snapToGrid w:val="0"/>
                    <w:jc w:val="center"/>
                    <w:rPr>
                      <w:color w:val="000000" w:themeColor="text1"/>
                      <w:szCs w:val="21"/>
                      <w14:textFill>
                        <w14:solidFill>
                          <w14:schemeClr w14:val="tx1"/>
                        </w14:solidFill>
                      </w14:textFill>
                    </w:rPr>
                  </w:pPr>
                </w:p>
              </w:tc>
              <w:tc>
                <w:tcPr>
                  <w:tcW w:w="1120" w:type="dxa"/>
                  <w:vAlign w:val="center"/>
                </w:tcPr>
                <w:p w14:paraId="40C9F181">
                  <w:pPr>
                    <w:pStyle w:val="49"/>
                    <w:rPr>
                      <w:color w:val="000000" w:themeColor="text1"/>
                      <w:szCs w:val="21"/>
                      <w14:textFill>
                        <w14:solidFill>
                          <w14:schemeClr w14:val="tx1"/>
                        </w14:solidFill>
                      </w14:textFill>
                    </w:rPr>
                  </w:pPr>
                  <w:r>
                    <w:rPr>
                      <w:rFonts w:hint="eastAsia"/>
                      <w:color w:val="000000" w:themeColor="text1"/>
                      <w:kern w:val="52"/>
                      <w14:textFill>
                        <w14:solidFill>
                          <w14:schemeClr w14:val="tx1"/>
                        </w14:solidFill>
                      </w14:textFill>
                    </w:rPr>
                    <w:t>封坛区域</w:t>
                  </w:r>
                </w:p>
              </w:tc>
              <w:tc>
                <w:tcPr>
                  <w:tcW w:w="3005" w:type="dxa"/>
                  <w:vAlign w:val="center"/>
                </w:tcPr>
                <w:p w14:paraId="35C7E709">
                  <w:pPr>
                    <w:jc w:val="center"/>
                    <w:outlineLvl w:val="9"/>
                    <w:rPr>
                      <w:color w:val="000000" w:themeColor="text1"/>
                      <w:szCs w:val="21"/>
                      <w14:textFill>
                        <w14:solidFill>
                          <w14:schemeClr w14:val="tx1"/>
                        </w14:solidFill>
                      </w14:textFill>
                    </w:rPr>
                  </w:pPr>
                  <w:bookmarkStart w:id="186" w:name="_Toc27015"/>
                  <w:r>
                    <w:rPr>
                      <w:rFonts w:hint="eastAsia"/>
                      <w:color w:val="000000" w:themeColor="text1"/>
                      <w:kern w:val="52"/>
                      <w14:textFill>
                        <w14:solidFill>
                          <w14:schemeClr w14:val="tx1"/>
                        </w14:solidFill>
                      </w14:textFill>
                    </w:rPr>
                    <w:t>封坛区域废气</w:t>
                  </w:r>
                  <w:bookmarkEnd w:id="186"/>
                </w:p>
              </w:tc>
              <w:tc>
                <w:tcPr>
                  <w:tcW w:w="2381" w:type="dxa"/>
                  <w:vAlign w:val="center"/>
                </w:tcPr>
                <w:p w14:paraId="531E0C95">
                  <w:pPr>
                    <w:jc w:val="center"/>
                    <w:outlineLvl w:val="9"/>
                    <w:rPr>
                      <w:color w:val="000000" w:themeColor="text1"/>
                      <w:szCs w:val="21"/>
                      <w14:textFill>
                        <w14:solidFill>
                          <w14:schemeClr w14:val="tx1"/>
                        </w14:solidFill>
                      </w14:textFill>
                    </w:rPr>
                  </w:pPr>
                  <w:bookmarkStart w:id="187" w:name="_Toc11524"/>
                  <w:r>
                    <w:rPr>
                      <w:rFonts w:hint="eastAsia"/>
                      <w:color w:val="000000" w:themeColor="text1"/>
                      <w:szCs w:val="21"/>
                      <w14:textFill>
                        <w14:solidFill>
                          <w14:schemeClr w14:val="tx1"/>
                        </w14:solidFill>
                      </w14:textFill>
                    </w:rPr>
                    <w:t>二氧化碳</w:t>
                  </w:r>
                  <w:bookmarkEnd w:id="187"/>
                </w:p>
              </w:tc>
              <w:tc>
                <w:tcPr>
                  <w:tcW w:w="4125" w:type="dxa"/>
                  <w:vAlign w:val="center"/>
                </w:tcPr>
                <w:p w14:paraId="3D8B673E">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1416" w:type="dxa"/>
                  <w:vAlign w:val="center"/>
                </w:tcPr>
                <w:p w14:paraId="5E339FF4">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w:t>
                  </w:r>
                </w:p>
              </w:tc>
            </w:tr>
            <w:tr w14:paraId="49E85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6D9ADAC0">
                  <w:pPr>
                    <w:snapToGrid w:val="0"/>
                    <w:jc w:val="center"/>
                    <w:rPr>
                      <w:color w:val="000000" w:themeColor="text1"/>
                      <w:szCs w:val="21"/>
                      <w14:textFill>
                        <w14:solidFill>
                          <w14:schemeClr w14:val="tx1"/>
                        </w14:solidFill>
                      </w14:textFill>
                    </w:rPr>
                  </w:pPr>
                </w:p>
              </w:tc>
              <w:tc>
                <w:tcPr>
                  <w:tcW w:w="726" w:type="dxa"/>
                  <w:vMerge w:val="continue"/>
                  <w:vAlign w:val="center"/>
                </w:tcPr>
                <w:p w14:paraId="4C96ACB3">
                  <w:pPr>
                    <w:snapToGrid w:val="0"/>
                    <w:jc w:val="center"/>
                    <w:rPr>
                      <w:color w:val="000000" w:themeColor="text1"/>
                      <w:szCs w:val="21"/>
                      <w14:textFill>
                        <w14:solidFill>
                          <w14:schemeClr w14:val="tx1"/>
                        </w14:solidFill>
                      </w14:textFill>
                    </w:rPr>
                  </w:pPr>
                </w:p>
              </w:tc>
              <w:tc>
                <w:tcPr>
                  <w:tcW w:w="1120" w:type="dxa"/>
                  <w:vMerge w:val="restart"/>
                  <w:vAlign w:val="center"/>
                </w:tcPr>
                <w:p w14:paraId="37B00467">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1#二类器械车间</w:t>
                  </w:r>
                </w:p>
              </w:tc>
              <w:tc>
                <w:tcPr>
                  <w:tcW w:w="3005" w:type="dxa"/>
                  <w:vAlign w:val="center"/>
                </w:tcPr>
                <w:p w14:paraId="39731B80">
                  <w:pPr>
                    <w:jc w:val="center"/>
                    <w:outlineLvl w:val="9"/>
                    <w:rPr>
                      <w:color w:val="000000" w:themeColor="text1"/>
                      <w:szCs w:val="21"/>
                      <w14:textFill>
                        <w14:solidFill>
                          <w14:schemeClr w14:val="tx1"/>
                        </w14:solidFill>
                      </w14:textFill>
                    </w:rPr>
                  </w:pPr>
                  <w:bookmarkStart w:id="188" w:name="_Toc354"/>
                  <w:r>
                    <w:rPr>
                      <w:rFonts w:hint="eastAsia"/>
                      <w:color w:val="000000" w:themeColor="text1"/>
                      <w:szCs w:val="21"/>
                      <w14:textFill>
                        <w14:solidFill>
                          <w14:schemeClr w14:val="tx1"/>
                        </w14:solidFill>
                      </w14:textFill>
                    </w:rPr>
                    <w:t>医用手术衣生产线超声波缝合工序废气</w:t>
                  </w:r>
                  <w:bookmarkEnd w:id="188"/>
                </w:p>
              </w:tc>
              <w:tc>
                <w:tcPr>
                  <w:tcW w:w="2381" w:type="dxa"/>
                  <w:vAlign w:val="center"/>
                </w:tcPr>
                <w:p w14:paraId="1C20F358">
                  <w:pPr>
                    <w:jc w:val="center"/>
                    <w:outlineLvl w:val="9"/>
                    <w:rPr>
                      <w:color w:val="000000" w:themeColor="text1"/>
                      <w:szCs w:val="21"/>
                      <w14:textFill>
                        <w14:solidFill>
                          <w14:schemeClr w14:val="tx1"/>
                        </w14:solidFill>
                      </w14:textFill>
                    </w:rPr>
                  </w:pPr>
                  <w:bookmarkStart w:id="189" w:name="_Toc14647"/>
                  <w:r>
                    <w:rPr>
                      <w:rFonts w:hint="eastAsia"/>
                      <w:color w:val="000000" w:themeColor="text1"/>
                      <w:szCs w:val="21"/>
                      <w14:textFill>
                        <w14:solidFill>
                          <w14:schemeClr w14:val="tx1"/>
                        </w14:solidFill>
                      </w14:textFill>
                    </w:rPr>
                    <w:t>非甲烷总烃</w:t>
                  </w:r>
                  <w:bookmarkEnd w:id="189"/>
                </w:p>
              </w:tc>
              <w:tc>
                <w:tcPr>
                  <w:tcW w:w="4125" w:type="dxa"/>
                  <w:vMerge w:val="restart"/>
                  <w:vAlign w:val="center"/>
                </w:tcPr>
                <w:p w14:paraId="76C79146">
                  <w:pPr>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车间产生的废气经循环净风（采用三级过滤器+活性炭吸附装置）净化后循环利用，不外排</w:t>
                  </w:r>
                </w:p>
              </w:tc>
              <w:tc>
                <w:tcPr>
                  <w:tcW w:w="1416" w:type="dxa"/>
                  <w:vMerge w:val="restart"/>
                  <w:vAlign w:val="center"/>
                </w:tcPr>
                <w:p w14:paraId="7559CB21">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8</w:t>
                  </w:r>
                </w:p>
              </w:tc>
            </w:tr>
            <w:tr w14:paraId="16598B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5F7B34CB">
                  <w:pPr>
                    <w:snapToGrid w:val="0"/>
                    <w:jc w:val="center"/>
                    <w:rPr>
                      <w:color w:val="000000" w:themeColor="text1"/>
                      <w:szCs w:val="21"/>
                      <w14:textFill>
                        <w14:solidFill>
                          <w14:schemeClr w14:val="tx1"/>
                        </w14:solidFill>
                      </w14:textFill>
                    </w:rPr>
                  </w:pPr>
                </w:p>
              </w:tc>
              <w:tc>
                <w:tcPr>
                  <w:tcW w:w="726" w:type="dxa"/>
                  <w:vMerge w:val="continue"/>
                  <w:vAlign w:val="center"/>
                </w:tcPr>
                <w:p w14:paraId="5530C3C8">
                  <w:pPr>
                    <w:snapToGrid w:val="0"/>
                    <w:jc w:val="center"/>
                    <w:rPr>
                      <w:color w:val="000000" w:themeColor="text1"/>
                      <w:szCs w:val="21"/>
                      <w14:textFill>
                        <w14:solidFill>
                          <w14:schemeClr w14:val="tx1"/>
                        </w14:solidFill>
                      </w14:textFill>
                    </w:rPr>
                  </w:pPr>
                </w:p>
              </w:tc>
              <w:tc>
                <w:tcPr>
                  <w:tcW w:w="1120" w:type="dxa"/>
                  <w:vMerge w:val="continue"/>
                  <w:vAlign w:val="center"/>
                </w:tcPr>
                <w:p w14:paraId="16D49599">
                  <w:pPr>
                    <w:jc w:val="center"/>
                    <w:outlineLvl w:val="9"/>
                    <w:rPr>
                      <w:color w:val="000000" w:themeColor="text1"/>
                      <w:szCs w:val="21"/>
                      <w14:textFill>
                        <w14:solidFill>
                          <w14:schemeClr w14:val="tx1"/>
                        </w14:solidFill>
                      </w14:textFill>
                    </w:rPr>
                  </w:pPr>
                </w:p>
              </w:tc>
              <w:tc>
                <w:tcPr>
                  <w:tcW w:w="3005" w:type="dxa"/>
                  <w:vAlign w:val="center"/>
                </w:tcPr>
                <w:p w14:paraId="6A104690">
                  <w:pPr>
                    <w:jc w:val="center"/>
                    <w:outlineLvl w:val="9"/>
                    <w:rPr>
                      <w:color w:val="000000" w:themeColor="text1"/>
                      <w:szCs w:val="21"/>
                      <w14:textFill>
                        <w14:solidFill>
                          <w14:schemeClr w14:val="tx1"/>
                        </w14:solidFill>
                      </w14:textFill>
                    </w:rPr>
                  </w:pPr>
                  <w:bookmarkStart w:id="190" w:name="_Toc32412"/>
                  <w:r>
                    <w:rPr>
                      <w:rFonts w:hint="eastAsia"/>
                      <w:color w:val="000000" w:themeColor="text1"/>
                      <w:szCs w:val="21"/>
                      <w14:textFill>
                        <w14:solidFill>
                          <w14:schemeClr w14:val="tx1"/>
                        </w14:solidFill>
                      </w14:textFill>
                    </w:rPr>
                    <w:t>治疗凝胶生产线乳化工序未收集的废气</w:t>
                  </w:r>
                  <w:bookmarkEnd w:id="190"/>
                </w:p>
              </w:tc>
              <w:tc>
                <w:tcPr>
                  <w:tcW w:w="2381" w:type="dxa"/>
                  <w:vAlign w:val="center"/>
                </w:tcPr>
                <w:p w14:paraId="05C9A010">
                  <w:pPr>
                    <w:jc w:val="center"/>
                    <w:outlineLvl w:val="9"/>
                    <w:rPr>
                      <w:color w:val="000000" w:themeColor="text1"/>
                      <w:szCs w:val="21"/>
                      <w14:textFill>
                        <w14:solidFill>
                          <w14:schemeClr w14:val="tx1"/>
                        </w14:solidFill>
                      </w14:textFill>
                    </w:rPr>
                  </w:pPr>
                  <w:bookmarkStart w:id="191" w:name="_Toc1205"/>
                  <w:r>
                    <w:rPr>
                      <w:rFonts w:hint="eastAsia"/>
                      <w:color w:val="000000" w:themeColor="text1"/>
                      <w:szCs w:val="21"/>
                      <w14:textFill>
                        <w14:solidFill>
                          <w14:schemeClr w14:val="tx1"/>
                        </w14:solidFill>
                      </w14:textFill>
                    </w:rPr>
                    <w:t>非甲烷总烃</w:t>
                  </w:r>
                  <w:bookmarkEnd w:id="191"/>
                </w:p>
              </w:tc>
              <w:tc>
                <w:tcPr>
                  <w:tcW w:w="4125" w:type="dxa"/>
                  <w:vMerge w:val="continue"/>
                  <w:vAlign w:val="center"/>
                </w:tcPr>
                <w:p w14:paraId="197E3DA3">
                  <w:pPr>
                    <w:snapToGrid w:val="0"/>
                    <w:jc w:val="center"/>
                    <w:rPr>
                      <w:color w:val="000000" w:themeColor="text1"/>
                      <w:szCs w:val="21"/>
                      <w14:textFill>
                        <w14:solidFill>
                          <w14:schemeClr w14:val="tx1"/>
                        </w14:solidFill>
                      </w14:textFill>
                    </w:rPr>
                  </w:pPr>
                </w:p>
              </w:tc>
              <w:tc>
                <w:tcPr>
                  <w:tcW w:w="1416" w:type="dxa"/>
                  <w:vMerge w:val="continue"/>
                  <w:vAlign w:val="center"/>
                </w:tcPr>
                <w:p w14:paraId="4CFA6D19">
                  <w:pPr>
                    <w:snapToGrid w:val="0"/>
                    <w:jc w:val="center"/>
                    <w:rPr>
                      <w:color w:val="000000" w:themeColor="text1"/>
                      <w:szCs w:val="21"/>
                      <w14:textFill>
                        <w14:solidFill>
                          <w14:schemeClr w14:val="tx1"/>
                        </w14:solidFill>
                      </w14:textFill>
                    </w:rPr>
                  </w:pPr>
                </w:p>
              </w:tc>
            </w:tr>
            <w:tr w14:paraId="5B8E7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4878A936">
                  <w:pPr>
                    <w:snapToGrid w:val="0"/>
                    <w:jc w:val="center"/>
                    <w:rPr>
                      <w:color w:val="000000" w:themeColor="text1"/>
                      <w:szCs w:val="21"/>
                      <w14:textFill>
                        <w14:solidFill>
                          <w14:schemeClr w14:val="tx1"/>
                        </w14:solidFill>
                      </w14:textFill>
                    </w:rPr>
                  </w:pPr>
                </w:p>
              </w:tc>
              <w:tc>
                <w:tcPr>
                  <w:tcW w:w="726" w:type="dxa"/>
                  <w:vMerge w:val="continue"/>
                  <w:vAlign w:val="center"/>
                </w:tcPr>
                <w:p w14:paraId="5FA637D3">
                  <w:pPr>
                    <w:snapToGrid w:val="0"/>
                    <w:jc w:val="center"/>
                    <w:rPr>
                      <w:color w:val="000000" w:themeColor="text1"/>
                      <w:szCs w:val="21"/>
                      <w14:textFill>
                        <w14:solidFill>
                          <w14:schemeClr w14:val="tx1"/>
                        </w14:solidFill>
                      </w14:textFill>
                    </w:rPr>
                  </w:pPr>
                </w:p>
              </w:tc>
              <w:tc>
                <w:tcPr>
                  <w:tcW w:w="1120" w:type="dxa"/>
                  <w:vMerge w:val="restart"/>
                  <w:vAlign w:val="center"/>
                </w:tcPr>
                <w:p w14:paraId="4AB0F478">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2#二类器械车间</w:t>
                  </w:r>
                </w:p>
              </w:tc>
              <w:tc>
                <w:tcPr>
                  <w:tcW w:w="3005" w:type="dxa"/>
                  <w:vAlign w:val="center"/>
                </w:tcPr>
                <w:p w14:paraId="42F6875D">
                  <w:pPr>
                    <w:jc w:val="center"/>
                    <w:outlineLvl w:val="9"/>
                    <w:rPr>
                      <w:color w:val="000000" w:themeColor="text1"/>
                      <w:szCs w:val="21"/>
                      <w14:textFill>
                        <w14:solidFill>
                          <w14:schemeClr w14:val="tx1"/>
                        </w14:solidFill>
                      </w14:textFill>
                    </w:rPr>
                  </w:pPr>
                  <w:bookmarkStart w:id="192" w:name="_Toc22719"/>
                  <w:r>
                    <w:rPr>
                      <w:rFonts w:hint="eastAsia"/>
                      <w:color w:val="000000" w:themeColor="text1"/>
                      <w:szCs w:val="21"/>
                      <w14:textFill>
                        <w14:solidFill>
                          <w14:schemeClr w14:val="tx1"/>
                        </w14:solidFill>
                      </w14:textFill>
                    </w:rPr>
                    <w:t>热敷理疗产品上料工序未收集的粉尘</w:t>
                  </w:r>
                  <w:bookmarkEnd w:id="192"/>
                </w:p>
              </w:tc>
              <w:tc>
                <w:tcPr>
                  <w:tcW w:w="2381" w:type="dxa"/>
                  <w:vAlign w:val="center"/>
                </w:tcPr>
                <w:p w14:paraId="5148885A">
                  <w:pPr>
                    <w:jc w:val="center"/>
                    <w:outlineLvl w:val="9"/>
                    <w:rPr>
                      <w:color w:val="000000" w:themeColor="text1"/>
                      <w:szCs w:val="21"/>
                      <w14:textFill>
                        <w14:solidFill>
                          <w14:schemeClr w14:val="tx1"/>
                        </w14:solidFill>
                      </w14:textFill>
                    </w:rPr>
                  </w:pPr>
                  <w:bookmarkStart w:id="193" w:name="_Toc11791"/>
                  <w:r>
                    <w:rPr>
                      <w:rFonts w:hint="eastAsia"/>
                      <w:color w:val="000000" w:themeColor="text1"/>
                      <w:szCs w:val="21"/>
                      <w14:textFill>
                        <w14:solidFill>
                          <w14:schemeClr w14:val="tx1"/>
                        </w14:solidFill>
                      </w14:textFill>
                    </w:rPr>
                    <w:t>颗粒物</w:t>
                  </w:r>
                  <w:bookmarkEnd w:id="193"/>
                </w:p>
              </w:tc>
              <w:tc>
                <w:tcPr>
                  <w:tcW w:w="4125" w:type="dxa"/>
                  <w:vAlign w:val="center"/>
                </w:tcPr>
                <w:p w14:paraId="163D3019">
                  <w:pPr>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车间产生的废气经循环净风（采用三级过滤器+活性炭吸附装置）净化后循环利用，不外排</w:t>
                  </w:r>
                </w:p>
              </w:tc>
              <w:tc>
                <w:tcPr>
                  <w:tcW w:w="1416" w:type="dxa"/>
                  <w:vMerge w:val="restart"/>
                  <w:vAlign w:val="center"/>
                </w:tcPr>
                <w:p w14:paraId="26E29B39">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6</w:t>
                  </w:r>
                </w:p>
              </w:tc>
            </w:tr>
            <w:tr w14:paraId="37E99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17740D22">
                  <w:pPr>
                    <w:snapToGrid w:val="0"/>
                    <w:jc w:val="center"/>
                    <w:rPr>
                      <w:color w:val="000000" w:themeColor="text1"/>
                      <w:szCs w:val="21"/>
                      <w14:textFill>
                        <w14:solidFill>
                          <w14:schemeClr w14:val="tx1"/>
                        </w14:solidFill>
                      </w14:textFill>
                    </w:rPr>
                  </w:pPr>
                </w:p>
              </w:tc>
              <w:tc>
                <w:tcPr>
                  <w:tcW w:w="726" w:type="dxa"/>
                  <w:vMerge w:val="continue"/>
                  <w:vAlign w:val="center"/>
                </w:tcPr>
                <w:p w14:paraId="7130FBEC">
                  <w:pPr>
                    <w:snapToGrid w:val="0"/>
                    <w:jc w:val="center"/>
                    <w:rPr>
                      <w:color w:val="000000" w:themeColor="text1"/>
                      <w:szCs w:val="21"/>
                      <w14:textFill>
                        <w14:solidFill>
                          <w14:schemeClr w14:val="tx1"/>
                        </w14:solidFill>
                      </w14:textFill>
                    </w:rPr>
                  </w:pPr>
                </w:p>
              </w:tc>
              <w:tc>
                <w:tcPr>
                  <w:tcW w:w="1120" w:type="dxa"/>
                  <w:vMerge w:val="continue"/>
                  <w:vAlign w:val="center"/>
                </w:tcPr>
                <w:p w14:paraId="70AB886F">
                  <w:pPr>
                    <w:pStyle w:val="49"/>
                    <w:rPr>
                      <w:color w:val="000000" w:themeColor="text1"/>
                      <w:szCs w:val="21"/>
                      <w14:textFill>
                        <w14:solidFill>
                          <w14:schemeClr w14:val="tx1"/>
                        </w14:solidFill>
                      </w14:textFill>
                    </w:rPr>
                  </w:pPr>
                </w:p>
              </w:tc>
              <w:tc>
                <w:tcPr>
                  <w:tcW w:w="3005" w:type="dxa"/>
                  <w:vAlign w:val="center"/>
                </w:tcPr>
                <w:p w14:paraId="4D0E3F25">
                  <w:pPr>
                    <w:jc w:val="center"/>
                    <w:outlineLvl w:val="9"/>
                    <w:rPr>
                      <w:color w:val="000000" w:themeColor="text1"/>
                      <w:szCs w:val="21"/>
                      <w14:textFill>
                        <w14:solidFill>
                          <w14:schemeClr w14:val="tx1"/>
                        </w14:solidFill>
                      </w14:textFill>
                    </w:rPr>
                  </w:pPr>
                  <w:bookmarkStart w:id="194" w:name="_Toc27785"/>
                  <w:r>
                    <w:rPr>
                      <w:rFonts w:hint="eastAsia"/>
                      <w:color w:val="000000" w:themeColor="text1"/>
                      <w:szCs w:val="21"/>
                      <w14:textFill>
                        <w14:solidFill>
                          <w14:schemeClr w14:val="tx1"/>
                        </w14:solidFill>
                      </w14:textFill>
                    </w:rPr>
                    <w:t>热敷理疗产品超声波点焊废气</w:t>
                  </w:r>
                  <w:bookmarkEnd w:id="194"/>
                </w:p>
              </w:tc>
              <w:tc>
                <w:tcPr>
                  <w:tcW w:w="2381" w:type="dxa"/>
                  <w:vAlign w:val="center"/>
                </w:tcPr>
                <w:p w14:paraId="30B56751">
                  <w:pPr>
                    <w:jc w:val="center"/>
                    <w:outlineLvl w:val="9"/>
                    <w:rPr>
                      <w:color w:val="000000" w:themeColor="text1"/>
                      <w:szCs w:val="21"/>
                      <w14:textFill>
                        <w14:solidFill>
                          <w14:schemeClr w14:val="tx1"/>
                        </w14:solidFill>
                      </w14:textFill>
                    </w:rPr>
                  </w:pPr>
                  <w:bookmarkStart w:id="195" w:name="_Toc7631"/>
                  <w:r>
                    <w:rPr>
                      <w:rFonts w:hint="eastAsia"/>
                      <w:color w:val="000000" w:themeColor="text1"/>
                      <w:szCs w:val="21"/>
                      <w14:textFill>
                        <w14:solidFill>
                          <w14:schemeClr w14:val="tx1"/>
                        </w14:solidFill>
                      </w14:textFill>
                    </w:rPr>
                    <w:t>非甲烷总烃</w:t>
                  </w:r>
                  <w:bookmarkEnd w:id="195"/>
                </w:p>
              </w:tc>
              <w:tc>
                <w:tcPr>
                  <w:tcW w:w="4125" w:type="dxa"/>
                  <w:vAlign w:val="center"/>
                </w:tcPr>
                <w:p w14:paraId="0EAB414E">
                  <w:pPr>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车间产生的废气经循环净风（采用三级过滤器+活性炭吸附装置）净化后循环利用，不外排</w:t>
                  </w:r>
                </w:p>
              </w:tc>
              <w:tc>
                <w:tcPr>
                  <w:tcW w:w="1416" w:type="dxa"/>
                  <w:vMerge w:val="continue"/>
                  <w:vAlign w:val="center"/>
                </w:tcPr>
                <w:p w14:paraId="2501C5E6">
                  <w:pPr>
                    <w:snapToGrid w:val="0"/>
                    <w:jc w:val="center"/>
                    <w:rPr>
                      <w:color w:val="000000" w:themeColor="text1"/>
                      <w:szCs w:val="21"/>
                      <w14:textFill>
                        <w14:solidFill>
                          <w14:schemeClr w14:val="tx1"/>
                        </w14:solidFill>
                      </w14:textFill>
                    </w:rPr>
                  </w:pPr>
                </w:p>
              </w:tc>
            </w:tr>
            <w:tr w14:paraId="5EE462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26" w:type="dxa"/>
                  <w:vMerge w:val="continue"/>
                  <w:vAlign w:val="center"/>
                </w:tcPr>
                <w:p w14:paraId="5FDA7BA8">
                  <w:pPr>
                    <w:snapToGrid w:val="0"/>
                    <w:jc w:val="center"/>
                    <w:rPr>
                      <w:color w:val="000000" w:themeColor="text1"/>
                      <w:szCs w:val="21"/>
                      <w14:textFill>
                        <w14:solidFill>
                          <w14:schemeClr w14:val="tx1"/>
                        </w14:solidFill>
                      </w14:textFill>
                    </w:rPr>
                  </w:pPr>
                </w:p>
              </w:tc>
              <w:tc>
                <w:tcPr>
                  <w:tcW w:w="726" w:type="dxa"/>
                  <w:vMerge w:val="continue"/>
                  <w:vAlign w:val="center"/>
                </w:tcPr>
                <w:p w14:paraId="589656D1">
                  <w:pPr>
                    <w:snapToGrid w:val="0"/>
                    <w:jc w:val="center"/>
                    <w:rPr>
                      <w:color w:val="000000" w:themeColor="text1"/>
                      <w:szCs w:val="21"/>
                      <w14:textFill>
                        <w14:solidFill>
                          <w14:schemeClr w14:val="tx1"/>
                        </w14:solidFill>
                      </w14:textFill>
                    </w:rPr>
                  </w:pPr>
                </w:p>
              </w:tc>
              <w:tc>
                <w:tcPr>
                  <w:tcW w:w="1120" w:type="dxa"/>
                  <w:vAlign w:val="center"/>
                </w:tcPr>
                <w:p w14:paraId="62CC4E1E">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污水处理站及酒糟暂存</w:t>
                  </w:r>
                </w:p>
              </w:tc>
              <w:tc>
                <w:tcPr>
                  <w:tcW w:w="3005" w:type="dxa"/>
                  <w:vAlign w:val="center"/>
                </w:tcPr>
                <w:p w14:paraId="165ADCF5">
                  <w:pPr>
                    <w:jc w:val="center"/>
                    <w:outlineLvl w:val="9"/>
                    <w:rPr>
                      <w:color w:val="000000" w:themeColor="text1"/>
                      <w:szCs w:val="21"/>
                      <w14:textFill>
                        <w14:solidFill>
                          <w14:schemeClr w14:val="tx1"/>
                        </w14:solidFill>
                      </w14:textFill>
                    </w:rPr>
                  </w:pPr>
                  <w:bookmarkStart w:id="196" w:name="_Toc3088"/>
                  <w:r>
                    <w:rPr>
                      <w:rFonts w:hint="eastAsia"/>
                      <w:color w:val="000000" w:themeColor="text1"/>
                      <w:szCs w:val="21"/>
                      <w14:textFill>
                        <w14:solidFill>
                          <w14:schemeClr w14:val="tx1"/>
                        </w14:solidFill>
                      </w14:textFill>
                    </w:rPr>
                    <w:t>污水处理站恶臭气体</w:t>
                  </w:r>
                  <w:bookmarkEnd w:id="196"/>
                </w:p>
              </w:tc>
              <w:tc>
                <w:tcPr>
                  <w:tcW w:w="2381" w:type="dxa"/>
                  <w:vAlign w:val="center"/>
                </w:tcPr>
                <w:p w14:paraId="04B5A8E0">
                  <w:pPr>
                    <w:jc w:val="center"/>
                    <w:outlineLvl w:val="9"/>
                    <w:rPr>
                      <w:color w:val="000000" w:themeColor="text1"/>
                      <w:szCs w:val="21"/>
                      <w14:textFill>
                        <w14:solidFill>
                          <w14:schemeClr w14:val="tx1"/>
                        </w14:solidFill>
                      </w14:textFill>
                    </w:rPr>
                  </w:pPr>
                  <w:bookmarkStart w:id="197" w:name="_Toc8834"/>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bookmarkEnd w:id="197"/>
                </w:p>
              </w:tc>
              <w:tc>
                <w:tcPr>
                  <w:tcW w:w="4125" w:type="dxa"/>
                  <w:vAlign w:val="center"/>
                </w:tcPr>
                <w:p w14:paraId="67555031">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污水处理站加盖密闭，定期喷洒除臭剂等</w:t>
                  </w:r>
                </w:p>
              </w:tc>
              <w:tc>
                <w:tcPr>
                  <w:tcW w:w="1416" w:type="dxa"/>
                  <w:vAlign w:val="center"/>
                </w:tcPr>
                <w:p w14:paraId="19E79C52">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r>
            <w:tr w14:paraId="0A23C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restart"/>
                  <w:vAlign w:val="center"/>
                </w:tcPr>
                <w:p w14:paraId="5D54F073">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废水</w:t>
                  </w:r>
                </w:p>
              </w:tc>
              <w:tc>
                <w:tcPr>
                  <w:tcW w:w="4125" w:type="dxa"/>
                  <w:gridSpan w:val="2"/>
                  <w:vAlign w:val="center"/>
                </w:tcPr>
                <w:p w14:paraId="49CC8E77">
                  <w:pPr>
                    <w:autoSpaceDE w:val="0"/>
                    <w:autoSpaceDN w:val="0"/>
                    <w:adjustRightInd w:val="0"/>
                    <w:snapToGrid w:val="0"/>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生产废水</w:t>
                  </w:r>
                </w:p>
              </w:tc>
              <w:tc>
                <w:tcPr>
                  <w:tcW w:w="2381" w:type="dxa"/>
                  <w:vAlign w:val="center"/>
                </w:tcPr>
                <w:p w14:paraId="3B3C0A3C">
                  <w:pPr>
                    <w:snapToGrid w:val="0"/>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COD、BOD</w:t>
                  </w:r>
                  <w:r>
                    <w:rPr>
                      <w:color w:val="000000" w:themeColor="text1"/>
                      <w:kern w:val="0"/>
                      <w:szCs w:val="21"/>
                      <w:vertAlign w:val="subscript"/>
                      <w14:textFill>
                        <w14:solidFill>
                          <w14:schemeClr w14:val="tx1"/>
                        </w14:solidFill>
                      </w14:textFill>
                    </w:rPr>
                    <w:t>5</w:t>
                  </w:r>
                  <w:r>
                    <w:rPr>
                      <w:color w:val="000000" w:themeColor="text1"/>
                      <w:kern w:val="0"/>
                      <w:szCs w:val="21"/>
                      <w14:textFill>
                        <w14:solidFill>
                          <w14:schemeClr w14:val="tx1"/>
                        </w14:solidFill>
                      </w14:textFill>
                    </w:rPr>
                    <w:t>、NH</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-N、SS、石油类</w:t>
                  </w:r>
                </w:p>
              </w:tc>
              <w:tc>
                <w:tcPr>
                  <w:tcW w:w="4125" w:type="dxa"/>
                  <w:vAlign w:val="center"/>
                </w:tcPr>
                <w:p w14:paraId="6DBE17A4">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生产废水与经化粪池处理后的生活污水进入厂区污水处理站</w:t>
                  </w:r>
                  <w:r>
                    <w:rPr>
                      <w:color w:val="000000" w:themeColor="text1"/>
                      <w:szCs w:val="21"/>
                      <w14:textFill>
                        <w14:solidFill>
                          <w14:schemeClr w14:val="tx1"/>
                        </w14:solidFill>
                      </w14:textFill>
                    </w:rPr>
                    <w:t>（新建，1座，处理规模</w:t>
                  </w:r>
                  <w:r>
                    <w:rPr>
                      <w:rFonts w:hint="eastAsia"/>
                      <w:color w:val="000000" w:themeColor="text1"/>
                      <w:szCs w:val="21"/>
                      <w14:textFill>
                        <w14:solidFill>
                          <w14:schemeClr w14:val="tx1"/>
                        </w14:solidFill>
                      </w14:textFill>
                    </w:rPr>
                    <w:t>30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/d，主体工艺：</w:t>
                  </w:r>
                  <w:r>
                    <w:rPr>
                      <w:rFonts w:hint="eastAsia"/>
                      <w:color w:val="000000" w:themeColor="text1"/>
                      <w:szCs w:val="21"/>
                      <w14:textFill>
                        <w14:solidFill>
                          <w14:schemeClr w14:val="tx1"/>
                        </w14:solidFill>
                      </w14:textFill>
                    </w:rPr>
                    <w:t>综合废水-均质调节池-水解酸化-接触氧化-沉淀池-出水</w:t>
                  </w:r>
                  <w:r>
                    <w:rPr>
                      <w:color w:val="000000" w:themeColor="text1"/>
                      <w:szCs w:val="21"/>
                      <w14:textFill>
                        <w14:solidFill>
                          <w14:schemeClr w14:val="tx1"/>
                        </w14:solidFill>
                      </w14:textFill>
                    </w:rPr>
                    <w:t>）处理</w:t>
                  </w:r>
                </w:p>
              </w:tc>
              <w:tc>
                <w:tcPr>
                  <w:tcW w:w="1416" w:type="dxa"/>
                  <w:vAlign w:val="center"/>
                </w:tcPr>
                <w:p w14:paraId="219749B9">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10</w:t>
                  </w:r>
                  <w:r>
                    <w:rPr>
                      <w:color w:val="000000" w:themeColor="text1"/>
                      <w:szCs w:val="21"/>
                      <w14:textFill>
                        <w14:solidFill>
                          <w14:schemeClr w14:val="tx1"/>
                        </w14:solidFill>
                      </w14:textFill>
                    </w:rPr>
                    <w:t>0</w:t>
                  </w:r>
                </w:p>
              </w:tc>
            </w:tr>
            <w:tr w14:paraId="05B6F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7FB7F60A">
                  <w:pPr>
                    <w:snapToGrid w:val="0"/>
                    <w:jc w:val="center"/>
                    <w:rPr>
                      <w:color w:val="000000" w:themeColor="text1"/>
                      <w:szCs w:val="21"/>
                      <w14:textFill>
                        <w14:solidFill>
                          <w14:schemeClr w14:val="tx1"/>
                        </w14:solidFill>
                      </w14:textFill>
                    </w:rPr>
                  </w:pPr>
                </w:p>
              </w:tc>
              <w:tc>
                <w:tcPr>
                  <w:tcW w:w="4125" w:type="dxa"/>
                  <w:gridSpan w:val="2"/>
                  <w:vAlign w:val="center"/>
                </w:tcPr>
                <w:p w14:paraId="17724540">
                  <w:pPr>
                    <w:autoSpaceDE w:val="0"/>
                    <w:autoSpaceDN w:val="0"/>
                    <w:adjustRightInd w:val="0"/>
                    <w:snapToGrid w:val="0"/>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生活污水</w:t>
                  </w:r>
                </w:p>
              </w:tc>
              <w:tc>
                <w:tcPr>
                  <w:tcW w:w="2381" w:type="dxa"/>
                  <w:vAlign w:val="center"/>
                </w:tcPr>
                <w:p w14:paraId="0660338C">
                  <w:pPr>
                    <w:snapToGrid w:val="0"/>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COD、BOD</w:t>
                  </w:r>
                  <w:r>
                    <w:rPr>
                      <w:color w:val="000000" w:themeColor="text1"/>
                      <w:kern w:val="0"/>
                      <w:szCs w:val="21"/>
                      <w:vertAlign w:val="subscript"/>
                      <w14:textFill>
                        <w14:solidFill>
                          <w14:schemeClr w14:val="tx1"/>
                        </w14:solidFill>
                      </w14:textFill>
                    </w:rPr>
                    <w:t>5</w:t>
                  </w:r>
                  <w:r>
                    <w:rPr>
                      <w:color w:val="000000" w:themeColor="text1"/>
                      <w:kern w:val="0"/>
                      <w:szCs w:val="21"/>
                      <w14:textFill>
                        <w14:solidFill>
                          <w14:schemeClr w14:val="tx1"/>
                        </w14:solidFill>
                      </w14:textFill>
                    </w:rPr>
                    <w:t>、NH</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-N、SS</w:t>
                  </w:r>
                </w:p>
              </w:tc>
              <w:tc>
                <w:tcPr>
                  <w:tcW w:w="4125" w:type="dxa"/>
                  <w:vAlign w:val="center"/>
                </w:tcPr>
                <w:p w14:paraId="5628DC8F">
                  <w:pPr>
                    <w:snapToGrid w:val="0"/>
                    <w:jc w:val="center"/>
                    <w:rPr>
                      <w:color w:val="000000" w:themeColor="text1"/>
                      <w:szCs w:val="21"/>
                      <w14:textFill>
                        <w14:solidFill>
                          <w14:schemeClr w14:val="tx1"/>
                        </w14:solidFill>
                      </w14:textFill>
                    </w:rPr>
                  </w:pPr>
                  <w:r>
                    <w:rPr>
                      <w:bCs/>
                      <w:color w:val="000000" w:themeColor="text1"/>
                      <w:szCs w:val="21"/>
                      <w14:textFill>
                        <w14:solidFill>
                          <w14:schemeClr w14:val="tx1"/>
                        </w14:solidFill>
                      </w14:textFill>
                    </w:rPr>
                    <w:t>经化粪池（</w:t>
                  </w:r>
                  <w:r>
                    <w:rPr>
                      <w:rFonts w:hint="eastAsia"/>
                      <w:bCs/>
                      <w:color w:val="000000" w:themeColor="text1"/>
                      <w:szCs w:val="21"/>
                      <w14:textFill>
                        <w14:solidFill>
                          <w14:schemeClr w14:val="tx1"/>
                        </w14:solidFill>
                      </w14:textFill>
                    </w:rPr>
                    <w:t>总</w:t>
                  </w:r>
                  <w:r>
                    <w:rPr>
                      <w:bCs/>
                      <w:color w:val="000000" w:themeColor="text1"/>
                      <w:szCs w:val="21"/>
                      <w14:textFill>
                        <w14:solidFill>
                          <w14:schemeClr w14:val="tx1"/>
                        </w14:solidFill>
                      </w14:textFill>
                    </w:rPr>
                    <w:t>容积5m</w:t>
                  </w:r>
                  <w:r>
                    <w:rPr>
                      <w:bCs/>
                      <w:color w:val="000000" w:themeColor="text1"/>
                      <w:szCs w:val="21"/>
                      <w:vertAlign w:val="superscript"/>
                      <w14:textFill>
                        <w14:solidFill>
                          <w14:schemeClr w14:val="tx1"/>
                        </w14:solidFill>
                      </w14:textFill>
                    </w:rPr>
                    <w:t>3</w:t>
                  </w:r>
                  <w:r>
                    <w:rPr>
                      <w:bCs/>
                      <w:color w:val="000000" w:themeColor="text1"/>
                      <w:szCs w:val="21"/>
                      <w14:textFill>
                        <w14:solidFill>
                          <w14:schemeClr w14:val="tx1"/>
                        </w14:solidFill>
                      </w14:textFill>
                    </w:rPr>
                    <w:t>，三防措施）</w:t>
                  </w:r>
                  <w:r>
                    <w:rPr>
                      <w:rFonts w:hint="eastAsia"/>
                      <w:bCs/>
                      <w:color w:val="000000" w:themeColor="text1"/>
                      <w:szCs w:val="21"/>
                      <w14:textFill>
                        <w14:solidFill>
                          <w14:schemeClr w14:val="tx1"/>
                        </w14:solidFill>
                      </w14:textFill>
                    </w:rPr>
                    <w:t>后与各生产废水一并</w:t>
                  </w:r>
                  <w:r>
                    <w:rPr>
                      <w:rFonts w:hint="eastAsia"/>
                      <w:color w:val="000000" w:themeColor="text1"/>
                      <w:szCs w:val="21"/>
                      <w14:textFill>
                        <w14:solidFill>
                          <w14:schemeClr w14:val="tx1"/>
                        </w14:solidFill>
                      </w14:textFill>
                    </w:rPr>
                    <w:t>经污水处理站处理</w:t>
                  </w:r>
                </w:p>
              </w:tc>
              <w:tc>
                <w:tcPr>
                  <w:tcW w:w="1416" w:type="dxa"/>
                  <w:vAlign w:val="center"/>
                </w:tcPr>
                <w:p w14:paraId="684D1235">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5</w:t>
                  </w:r>
                </w:p>
              </w:tc>
            </w:tr>
            <w:tr w14:paraId="7D530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restart"/>
                  <w:vAlign w:val="center"/>
                </w:tcPr>
                <w:p w14:paraId="1784698A">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固废</w:t>
                  </w:r>
                </w:p>
              </w:tc>
              <w:tc>
                <w:tcPr>
                  <w:tcW w:w="4125" w:type="dxa"/>
                  <w:gridSpan w:val="2"/>
                  <w:vAlign w:val="center"/>
                </w:tcPr>
                <w:p w14:paraId="73D4068E">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职工生活</w:t>
                  </w:r>
                </w:p>
              </w:tc>
              <w:tc>
                <w:tcPr>
                  <w:tcW w:w="2381" w:type="dxa"/>
                  <w:vAlign w:val="center"/>
                </w:tcPr>
                <w:p w14:paraId="20900D2E">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生活垃圾</w:t>
                  </w:r>
                </w:p>
              </w:tc>
              <w:tc>
                <w:tcPr>
                  <w:tcW w:w="4125" w:type="dxa"/>
                  <w:vAlign w:val="center"/>
                </w:tcPr>
                <w:p w14:paraId="400DBAAC">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分类收集后交由环卫部门运至垃圾中转站处理</w:t>
                  </w:r>
                </w:p>
              </w:tc>
              <w:tc>
                <w:tcPr>
                  <w:tcW w:w="1416" w:type="dxa"/>
                  <w:vAlign w:val="center"/>
                </w:tcPr>
                <w:p w14:paraId="732CAD0B">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6C412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2FCF1A66">
                  <w:pPr>
                    <w:snapToGrid w:val="0"/>
                    <w:jc w:val="center"/>
                    <w:rPr>
                      <w:color w:val="000000" w:themeColor="text1"/>
                      <w:szCs w:val="21"/>
                      <w14:textFill>
                        <w14:solidFill>
                          <w14:schemeClr w14:val="tx1"/>
                        </w14:solidFill>
                      </w14:textFill>
                    </w:rPr>
                  </w:pPr>
                </w:p>
              </w:tc>
              <w:tc>
                <w:tcPr>
                  <w:tcW w:w="4125" w:type="dxa"/>
                  <w:gridSpan w:val="2"/>
                  <w:vAlign w:val="center"/>
                </w:tcPr>
                <w:p w14:paraId="20CD117B">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化粪池</w:t>
                  </w:r>
                </w:p>
              </w:tc>
              <w:tc>
                <w:tcPr>
                  <w:tcW w:w="2381" w:type="dxa"/>
                  <w:vAlign w:val="center"/>
                </w:tcPr>
                <w:p w14:paraId="04ED5323">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污泥</w:t>
                  </w:r>
                </w:p>
              </w:tc>
              <w:tc>
                <w:tcPr>
                  <w:tcW w:w="4125" w:type="dxa"/>
                  <w:vAlign w:val="center"/>
                </w:tcPr>
                <w:p w14:paraId="4BD3F61D">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定期清掏后交由环卫部门处理</w:t>
                  </w:r>
                </w:p>
              </w:tc>
              <w:tc>
                <w:tcPr>
                  <w:tcW w:w="1416" w:type="dxa"/>
                  <w:vAlign w:val="center"/>
                </w:tcPr>
                <w:p w14:paraId="407BF72A">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64C32F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60C3A9FF">
                  <w:pPr>
                    <w:snapToGrid w:val="0"/>
                    <w:jc w:val="center"/>
                    <w:rPr>
                      <w:color w:val="000000" w:themeColor="text1"/>
                      <w:szCs w:val="21"/>
                      <w14:textFill>
                        <w14:solidFill>
                          <w14:schemeClr w14:val="tx1"/>
                        </w14:solidFill>
                      </w14:textFill>
                    </w:rPr>
                  </w:pPr>
                </w:p>
              </w:tc>
              <w:tc>
                <w:tcPr>
                  <w:tcW w:w="4125" w:type="dxa"/>
                  <w:gridSpan w:val="2"/>
                  <w:vAlign w:val="center"/>
                </w:tcPr>
                <w:p w14:paraId="777E85FA">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原料粉碎工序</w:t>
                  </w:r>
                </w:p>
              </w:tc>
              <w:tc>
                <w:tcPr>
                  <w:tcW w:w="2381" w:type="dxa"/>
                  <w:vAlign w:val="center"/>
                </w:tcPr>
                <w:p w14:paraId="09780C38">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除尘器收集到的粉尘</w:t>
                  </w:r>
                </w:p>
              </w:tc>
              <w:tc>
                <w:tcPr>
                  <w:tcW w:w="4125" w:type="dxa"/>
                  <w:vAlign w:val="center"/>
                </w:tcPr>
                <w:p w14:paraId="57BB99B4">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收集后外售综合利用</w:t>
                  </w:r>
                </w:p>
              </w:tc>
              <w:tc>
                <w:tcPr>
                  <w:tcW w:w="1416" w:type="dxa"/>
                  <w:vAlign w:val="center"/>
                </w:tcPr>
                <w:p w14:paraId="3782E8ED">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37A90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6553645B">
                  <w:pPr>
                    <w:snapToGrid w:val="0"/>
                    <w:jc w:val="center"/>
                    <w:rPr>
                      <w:color w:val="000000" w:themeColor="text1"/>
                      <w:szCs w:val="21"/>
                      <w14:textFill>
                        <w14:solidFill>
                          <w14:schemeClr w14:val="tx1"/>
                        </w14:solidFill>
                      </w14:textFill>
                    </w:rPr>
                  </w:pPr>
                </w:p>
              </w:tc>
              <w:tc>
                <w:tcPr>
                  <w:tcW w:w="4125" w:type="dxa"/>
                  <w:gridSpan w:val="2"/>
                  <w:vAlign w:val="center"/>
                </w:tcPr>
                <w:p w14:paraId="4C3EF7A1">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蒸馏、压滤以及过滤等工序</w:t>
                  </w:r>
                </w:p>
              </w:tc>
              <w:tc>
                <w:tcPr>
                  <w:tcW w:w="2381" w:type="dxa"/>
                  <w:vAlign w:val="center"/>
                </w:tcPr>
                <w:p w14:paraId="5E650850">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废酒糟</w:t>
                  </w:r>
                </w:p>
              </w:tc>
              <w:tc>
                <w:tcPr>
                  <w:tcW w:w="4125" w:type="dxa"/>
                  <w:vAlign w:val="center"/>
                </w:tcPr>
                <w:p w14:paraId="61EFB596">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外售给养畜农户用作饲料</w:t>
                  </w:r>
                </w:p>
              </w:tc>
              <w:tc>
                <w:tcPr>
                  <w:tcW w:w="1416" w:type="dxa"/>
                  <w:vAlign w:val="center"/>
                </w:tcPr>
                <w:p w14:paraId="766E2096">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6B6BB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5782362F">
                  <w:pPr>
                    <w:snapToGrid w:val="0"/>
                    <w:jc w:val="center"/>
                    <w:rPr>
                      <w:color w:val="000000" w:themeColor="text1"/>
                      <w:szCs w:val="21"/>
                      <w14:textFill>
                        <w14:solidFill>
                          <w14:schemeClr w14:val="tx1"/>
                        </w14:solidFill>
                      </w14:textFill>
                    </w:rPr>
                  </w:pPr>
                </w:p>
              </w:tc>
              <w:tc>
                <w:tcPr>
                  <w:tcW w:w="4125" w:type="dxa"/>
                  <w:gridSpan w:val="2"/>
                  <w:vAlign w:val="center"/>
                </w:tcPr>
                <w:p w14:paraId="7CDDAE26">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煮沸、沉淀工序</w:t>
                  </w:r>
                </w:p>
              </w:tc>
              <w:tc>
                <w:tcPr>
                  <w:tcW w:w="2381" w:type="dxa"/>
                  <w:vAlign w:val="center"/>
                </w:tcPr>
                <w:p w14:paraId="248CE2B7">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废啤酒花、热凝固物</w:t>
                  </w:r>
                </w:p>
              </w:tc>
              <w:tc>
                <w:tcPr>
                  <w:tcW w:w="4125" w:type="dxa"/>
                  <w:vAlign w:val="center"/>
                </w:tcPr>
                <w:p w14:paraId="10AE34C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1416" w:type="dxa"/>
                  <w:vAlign w:val="center"/>
                </w:tcPr>
                <w:p w14:paraId="2CCEAC9B">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1EBA3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61487176">
                  <w:pPr>
                    <w:snapToGrid w:val="0"/>
                    <w:jc w:val="center"/>
                    <w:rPr>
                      <w:color w:val="000000" w:themeColor="text1"/>
                      <w:szCs w:val="21"/>
                      <w14:textFill>
                        <w14:solidFill>
                          <w14:schemeClr w14:val="tx1"/>
                        </w14:solidFill>
                      </w14:textFill>
                    </w:rPr>
                  </w:pPr>
                </w:p>
              </w:tc>
              <w:tc>
                <w:tcPr>
                  <w:tcW w:w="4125" w:type="dxa"/>
                  <w:gridSpan w:val="2"/>
                  <w:vAlign w:val="center"/>
                </w:tcPr>
                <w:p w14:paraId="23DBE96D">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发酵工序</w:t>
                  </w:r>
                </w:p>
              </w:tc>
              <w:tc>
                <w:tcPr>
                  <w:tcW w:w="2381" w:type="dxa"/>
                  <w:vAlign w:val="center"/>
                </w:tcPr>
                <w:p w14:paraId="2E146CC2">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废酵母（含冷凝固物）</w:t>
                  </w:r>
                </w:p>
              </w:tc>
              <w:tc>
                <w:tcPr>
                  <w:tcW w:w="4125" w:type="dxa"/>
                  <w:vAlign w:val="center"/>
                </w:tcPr>
                <w:p w14:paraId="1BB8500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1416" w:type="dxa"/>
                  <w:vAlign w:val="center"/>
                </w:tcPr>
                <w:p w14:paraId="30080218">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3C9F4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2C3F2BD8">
                  <w:pPr>
                    <w:snapToGrid w:val="0"/>
                    <w:jc w:val="center"/>
                    <w:rPr>
                      <w:color w:val="000000" w:themeColor="text1"/>
                      <w:szCs w:val="21"/>
                      <w14:textFill>
                        <w14:solidFill>
                          <w14:schemeClr w14:val="tx1"/>
                        </w14:solidFill>
                      </w14:textFill>
                    </w:rPr>
                  </w:pPr>
                </w:p>
              </w:tc>
              <w:tc>
                <w:tcPr>
                  <w:tcW w:w="4125" w:type="dxa"/>
                  <w:gridSpan w:val="2"/>
                  <w:vAlign w:val="center"/>
                </w:tcPr>
                <w:p w14:paraId="04FDB98D">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压榨及过滤工序</w:t>
                  </w:r>
                </w:p>
              </w:tc>
              <w:tc>
                <w:tcPr>
                  <w:tcW w:w="2381" w:type="dxa"/>
                  <w:vAlign w:val="center"/>
                </w:tcPr>
                <w:p w14:paraId="15A16CA1">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废果、果皮、果渣及果梗</w:t>
                  </w:r>
                </w:p>
              </w:tc>
              <w:tc>
                <w:tcPr>
                  <w:tcW w:w="4125" w:type="dxa"/>
                  <w:vAlign w:val="center"/>
                </w:tcPr>
                <w:p w14:paraId="0A79E4F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1416" w:type="dxa"/>
                  <w:vAlign w:val="center"/>
                </w:tcPr>
                <w:p w14:paraId="64CA2BD4">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424F97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6972132A">
                  <w:pPr>
                    <w:snapToGrid w:val="0"/>
                    <w:jc w:val="center"/>
                    <w:rPr>
                      <w:color w:val="000000" w:themeColor="text1"/>
                      <w:szCs w:val="21"/>
                      <w14:textFill>
                        <w14:solidFill>
                          <w14:schemeClr w14:val="tx1"/>
                        </w14:solidFill>
                      </w14:textFill>
                    </w:rPr>
                  </w:pPr>
                </w:p>
              </w:tc>
              <w:tc>
                <w:tcPr>
                  <w:tcW w:w="4125" w:type="dxa"/>
                  <w:gridSpan w:val="2"/>
                  <w:vAlign w:val="center"/>
                </w:tcPr>
                <w:p w14:paraId="40D5C894">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提取工序</w:t>
                  </w:r>
                </w:p>
              </w:tc>
              <w:tc>
                <w:tcPr>
                  <w:tcW w:w="2381" w:type="dxa"/>
                  <w:vAlign w:val="center"/>
                </w:tcPr>
                <w:p w14:paraId="7F14A18A">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过滤残渣</w:t>
                  </w:r>
                </w:p>
              </w:tc>
              <w:tc>
                <w:tcPr>
                  <w:tcW w:w="4125" w:type="dxa"/>
                  <w:vAlign w:val="center"/>
                </w:tcPr>
                <w:p w14:paraId="439ACDE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1416" w:type="dxa"/>
                  <w:vAlign w:val="center"/>
                </w:tcPr>
                <w:p w14:paraId="0005C520">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63582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4409C33E">
                  <w:pPr>
                    <w:snapToGrid w:val="0"/>
                    <w:jc w:val="center"/>
                    <w:rPr>
                      <w:color w:val="000000" w:themeColor="text1"/>
                      <w:szCs w:val="21"/>
                      <w14:textFill>
                        <w14:solidFill>
                          <w14:schemeClr w14:val="tx1"/>
                        </w14:solidFill>
                      </w14:textFill>
                    </w:rPr>
                  </w:pPr>
                </w:p>
              </w:tc>
              <w:tc>
                <w:tcPr>
                  <w:tcW w:w="4125" w:type="dxa"/>
                  <w:gridSpan w:val="2"/>
                  <w:vAlign w:val="center"/>
                </w:tcPr>
                <w:p w14:paraId="1A899C8E">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剪切工序</w:t>
                  </w:r>
                </w:p>
              </w:tc>
              <w:tc>
                <w:tcPr>
                  <w:tcW w:w="2381" w:type="dxa"/>
                  <w:vAlign w:val="center"/>
                </w:tcPr>
                <w:p w14:paraId="31E88719">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废边角料</w:t>
                  </w:r>
                </w:p>
              </w:tc>
              <w:tc>
                <w:tcPr>
                  <w:tcW w:w="4125" w:type="dxa"/>
                  <w:vAlign w:val="center"/>
                </w:tcPr>
                <w:p w14:paraId="2C488341">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1416" w:type="dxa"/>
                  <w:vAlign w:val="center"/>
                </w:tcPr>
                <w:p w14:paraId="28039D67">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237B2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632BE142">
                  <w:pPr>
                    <w:snapToGrid w:val="0"/>
                    <w:jc w:val="center"/>
                    <w:rPr>
                      <w:color w:val="000000" w:themeColor="text1"/>
                      <w:szCs w:val="21"/>
                      <w14:textFill>
                        <w14:solidFill>
                          <w14:schemeClr w14:val="tx1"/>
                        </w14:solidFill>
                      </w14:textFill>
                    </w:rPr>
                  </w:pPr>
                </w:p>
              </w:tc>
              <w:tc>
                <w:tcPr>
                  <w:tcW w:w="4125" w:type="dxa"/>
                  <w:gridSpan w:val="2"/>
                  <w:vAlign w:val="center"/>
                </w:tcPr>
                <w:p w14:paraId="3CFD01B0">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原料拆包及产品包装</w:t>
                  </w:r>
                </w:p>
              </w:tc>
              <w:tc>
                <w:tcPr>
                  <w:tcW w:w="2381" w:type="dxa"/>
                  <w:vAlign w:val="center"/>
                </w:tcPr>
                <w:p w14:paraId="37A50088">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废包装材料</w:t>
                  </w:r>
                </w:p>
              </w:tc>
              <w:tc>
                <w:tcPr>
                  <w:tcW w:w="4125" w:type="dxa"/>
                  <w:vAlign w:val="center"/>
                </w:tcPr>
                <w:p w14:paraId="13FD16F1">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1416" w:type="dxa"/>
                  <w:vAlign w:val="center"/>
                </w:tcPr>
                <w:p w14:paraId="2769CF5C">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2F499C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65E78706">
                  <w:pPr>
                    <w:snapToGrid w:val="0"/>
                    <w:jc w:val="center"/>
                    <w:rPr>
                      <w:color w:val="000000" w:themeColor="text1"/>
                      <w:szCs w:val="21"/>
                      <w14:textFill>
                        <w14:solidFill>
                          <w14:schemeClr w14:val="tx1"/>
                        </w14:solidFill>
                      </w14:textFill>
                    </w:rPr>
                  </w:pPr>
                </w:p>
              </w:tc>
              <w:tc>
                <w:tcPr>
                  <w:tcW w:w="4125" w:type="dxa"/>
                  <w:gridSpan w:val="2"/>
                  <w:vAlign w:val="center"/>
                </w:tcPr>
                <w:p w14:paraId="3B5D29E7">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2381" w:type="dxa"/>
                  <w:vAlign w:val="center"/>
                </w:tcPr>
                <w:p w14:paraId="145FDF8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废石英砂</w:t>
                  </w:r>
                </w:p>
              </w:tc>
              <w:tc>
                <w:tcPr>
                  <w:tcW w:w="4125" w:type="dxa"/>
                  <w:vAlign w:val="center"/>
                </w:tcPr>
                <w:p w14:paraId="7CF55A07">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416" w:type="dxa"/>
                  <w:vAlign w:val="center"/>
                </w:tcPr>
                <w:p w14:paraId="399AFBAA">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4E4A3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7DF42108">
                  <w:pPr>
                    <w:snapToGrid w:val="0"/>
                    <w:jc w:val="center"/>
                    <w:rPr>
                      <w:color w:val="000000" w:themeColor="text1"/>
                      <w:szCs w:val="21"/>
                      <w14:textFill>
                        <w14:solidFill>
                          <w14:schemeClr w14:val="tx1"/>
                        </w14:solidFill>
                      </w14:textFill>
                    </w:rPr>
                  </w:pPr>
                </w:p>
              </w:tc>
              <w:tc>
                <w:tcPr>
                  <w:tcW w:w="4125" w:type="dxa"/>
                  <w:gridSpan w:val="2"/>
                  <w:vAlign w:val="center"/>
                </w:tcPr>
                <w:p w14:paraId="39F5EAFD">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2381" w:type="dxa"/>
                  <w:vAlign w:val="center"/>
                </w:tcPr>
                <w:p w14:paraId="79188F4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废滤芯</w:t>
                  </w:r>
                </w:p>
              </w:tc>
              <w:tc>
                <w:tcPr>
                  <w:tcW w:w="4125" w:type="dxa"/>
                  <w:vAlign w:val="center"/>
                </w:tcPr>
                <w:p w14:paraId="17EF7263">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416" w:type="dxa"/>
                  <w:vAlign w:val="center"/>
                </w:tcPr>
                <w:p w14:paraId="69436A88">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2106DB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35581549">
                  <w:pPr>
                    <w:snapToGrid w:val="0"/>
                    <w:jc w:val="center"/>
                    <w:rPr>
                      <w:color w:val="000000" w:themeColor="text1"/>
                      <w:szCs w:val="21"/>
                      <w14:textFill>
                        <w14:solidFill>
                          <w14:schemeClr w14:val="tx1"/>
                        </w14:solidFill>
                      </w14:textFill>
                    </w:rPr>
                  </w:pPr>
                </w:p>
              </w:tc>
              <w:tc>
                <w:tcPr>
                  <w:tcW w:w="4125" w:type="dxa"/>
                  <w:gridSpan w:val="2"/>
                  <w:vAlign w:val="center"/>
                </w:tcPr>
                <w:p w14:paraId="49BFB1E8">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2381" w:type="dxa"/>
                  <w:vAlign w:val="center"/>
                </w:tcPr>
                <w:p w14:paraId="4BE0FB5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废活性炭</w:t>
                  </w:r>
                </w:p>
              </w:tc>
              <w:tc>
                <w:tcPr>
                  <w:tcW w:w="4125" w:type="dxa"/>
                  <w:vAlign w:val="center"/>
                </w:tcPr>
                <w:p w14:paraId="545AEE8D">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416" w:type="dxa"/>
                  <w:vAlign w:val="center"/>
                </w:tcPr>
                <w:p w14:paraId="248AB34C">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734CE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1DA254EF">
                  <w:pPr>
                    <w:snapToGrid w:val="0"/>
                    <w:jc w:val="center"/>
                    <w:rPr>
                      <w:color w:val="000000" w:themeColor="text1"/>
                      <w:szCs w:val="21"/>
                      <w14:textFill>
                        <w14:solidFill>
                          <w14:schemeClr w14:val="tx1"/>
                        </w14:solidFill>
                      </w14:textFill>
                    </w:rPr>
                  </w:pPr>
                </w:p>
              </w:tc>
              <w:tc>
                <w:tcPr>
                  <w:tcW w:w="4125" w:type="dxa"/>
                  <w:gridSpan w:val="2"/>
                  <w:vAlign w:val="center"/>
                </w:tcPr>
                <w:p w14:paraId="17ADBFB9">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2381" w:type="dxa"/>
                  <w:vAlign w:val="center"/>
                </w:tcPr>
                <w:p w14:paraId="500855A3">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废反渗透膜</w:t>
                  </w:r>
                </w:p>
              </w:tc>
              <w:tc>
                <w:tcPr>
                  <w:tcW w:w="4125" w:type="dxa"/>
                  <w:vAlign w:val="center"/>
                </w:tcPr>
                <w:p w14:paraId="2B113491">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416" w:type="dxa"/>
                  <w:vAlign w:val="center"/>
                </w:tcPr>
                <w:p w14:paraId="105DDF36">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0BA119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4F94102C">
                  <w:pPr>
                    <w:snapToGrid w:val="0"/>
                    <w:jc w:val="center"/>
                    <w:rPr>
                      <w:color w:val="000000" w:themeColor="text1"/>
                      <w:szCs w:val="21"/>
                      <w14:textFill>
                        <w14:solidFill>
                          <w14:schemeClr w14:val="tx1"/>
                        </w14:solidFill>
                      </w14:textFill>
                    </w:rPr>
                  </w:pPr>
                </w:p>
              </w:tc>
              <w:tc>
                <w:tcPr>
                  <w:tcW w:w="4125" w:type="dxa"/>
                  <w:gridSpan w:val="2"/>
                  <w:vAlign w:val="center"/>
                </w:tcPr>
                <w:p w14:paraId="7BEC1D2C">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过滤工序</w:t>
                  </w:r>
                </w:p>
              </w:tc>
              <w:tc>
                <w:tcPr>
                  <w:tcW w:w="2381" w:type="dxa"/>
                  <w:vAlign w:val="center"/>
                </w:tcPr>
                <w:p w14:paraId="23C2F26B">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废硅藻土</w:t>
                  </w:r>
                </w:p>
              </w:tc>
              <w:tc>
                <w:tcPr>
                  <w:tcW w:w="4125" w:type="dxa"/>
                  <w:vAlign w:val="center"/>
                </w:tcPr>
                <w:p w14:paraId="7826E0A7">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1416" w:type="dxa"/>
                  <w:vAlign w:val="center"/>
                </w:tcPr>
                <w:p w14:paraId="1A0E841C">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23ECB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12AB3F5A">
                  <w:pPr>
                    <w:snapToGrid w:val="0"/>
                    <w:jc w:val="center"/>
                    <w:rPr>
                      <w:color w:val="000000" w:themeColor="text1"/>
                      <w:szCs w:val="21"/>
                      <w14:textFill>
                        <w14:solidFill>
                          <w14:schemeClr w14:val="tx1"/>
                        </w14:solidFill>
                      </w14:textFill>
                    </w:rPr>
                  </w:pPr>
                </w:p>
              </w:tc>
              <w:tc>
                <w:tcPr>
                  <w:tcW w:w="4125" w:type="dxa"/>
                  <w:gridSpan w:val="2"/>
                  <w:vAlign w:val="center"/>
                </w:tcPr>
                <w:p w14:paraId="5523A42C">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灌装工序</w:t>
                  </w:r>
                </w:p>
              </w:tc>
              <w:tc>
                <w:tcPr>
                  <w:tcW w:w="2381" w:type="dxa"/>
                  <w:vAlign w:val="center"/>
                </w:tcPr>
                <w:p w14:paraId="7E3143E0">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废酒瓶</w:t>
                  </w:r>
                </w:p>
              </w:tc>
              <w:tc>
                <w:tcPr>
                  <w:tcW w:w="4125" w:type="dxa"/>
                  <w:vAlign w:val="center"/>
                </w:tcPr>
                <w:p w14:paraId="0D6364EE">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1416" w:type="dxa"/>
                  <w:vAlign w:val="center"/>
                </w:tcPr>
                <w:p w14:paraId="3CDC8302">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09285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678C64C7">
                  <w:pPr>
                    <w:snapToGrid w:val="0"/>
                    <w:jc w:val="center"/>
                    <w:rPr>
                      <w:color w:val="000000" w:themeColor="text1"/>
                      <w:szCs w:val="21"/>
                      <w14:textFill>
                        <w14:solidFill>
                          <w14:schemeClr w14:val="tx1"/>
                        </w14:solidFill>
                      </w14:textFill>
                    </w:rPr>
                  </w:pPr>
                </w:p>
              </w:tc>
              <w:tc>
                <w:tcPr>
                  <w:tcW w:w="4125" w:type="dxa"/>
                  <w:gridSpan w:val="2"/>
                  <w:vAlign w:val="center"/>
                </w:tcPr>
                <w:p w14:paraId="26169E46">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生产废水治理设施</w:t>
                  </w:r>
                </w:p>
              </w:tc>
              <w:tc>
                <w:tcPr>
                  <w:tcW w:w="2381" w:type="dxa"/>
                  <w:vAlign w:val="center"/>
                </w:tcPr>
                <w:p w14:paraId="66C64020">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污泥</w:t>
                  </w:r>
                </w:p>
              </w:tc>
              <w:tc>
                <w:tcPr>
                  <w:tcW w:w="4125" w:type="dxa"/>
                  <w:vAlign w:val="center"/>
                </w:tcPr>
                <w:p w14:paraId="53ADCCE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定期清掏交由环卫部门处理</w:t>
                  </w:r>
                </w:p>
              </w:tc>
              <w:tc>
                <w:tcPr>
                  <w:tcW w:w="1416" w:type="dxa"/>
                  <w:vAlign w:val="center"/>
                </w:tcPr>
                <w:p w14:paraId="7B415FBE">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7ECD1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restart"/>
                  <w:vAlign w:val="center"/>
                </w:tcPr>
                <w:p w14:paraId="20A14983">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危废</w:t>
                  </w:r>
                </w:p>
              </w:tc>
              <w:tc>
                <w:tcPr>
                  <w:tcW w:w="4125" w:type="dxa"/>
                  <w:gridSpan w:val="2"/>
                  <w:vAlign w:val="center"/>
                </w:tcPr>
                <w:p w14:paraId="7FFE5865">
                  <w:pPr>
                    <w:snapToGrid w:val="0"/>
                    <w:jc w:val="center"/>
                    <w:rPr>
                      <w:color w:val="000000" w:themeColor="text1"/>
                      <w:szCs w:val="21"/>
                      <w14:textFill>
                        <w14:solidFill>
                          <w14:schemeClr w14:val="tx1"/>
                        </w14:solidFill>
                      </w14:textFill>
                    </w:rPr>
                  </w:pPr>
                  <w:r>
                    <w:rPr>
                      <w:bCs/>
                      <w:color w:val="000000" w:themeColor="text1"/>
                      <w:szCs w:val="21"/>
                      <w14:textFill>
                        <w14:solidFill>
                          <w14:schemeClr w14:val="tx1"/>
                        </w14:solidFill>
                      </w14:textFill>
                    </w:rPr>
                    <w:t>设备维护过程</w:t>
                  </w:r>
                </w:p>
              </w:tc>
              <w:tc>
                <w:tcPr>
                  <w:tcW w:w="2381" w:type="dxa"/>
                  <w:vAlign w:val="center"/>
                </w:tcPr>
                <w:p w14:paraId="09E6CA57">
                  <w:pPr>
                    <w:tabs>
                      <w:tab w:val="left" w:pos="5250"/>
                    </w:tabs>
                    <w:adjustRightInd w:val="0"/>
                    <w:snapToGrid w:val="0"/>
                    <w:jc w:val="center"/>
                    <w:rPr>
                      <w:color w:val="000000" w:themeColor="text1"/>
                      <w:szCs w:val="21"/>
                      <w14:textFill>
                        <w14:solidFill>
                          <w14:schemeClr w14:val="tx1"/>
                        </w14:solidFill>
                      </w14:textFill>
                    </w:rPr>
                  </w:pPr>
                  <w:r>
                    <w:rPr>
                      <w:bCs/>
                      <w:color w:val="000000" w:themeColor="text1"/>
                      <w:szCs w:val="21"/>
                      <w14:textFill>
                        <w14:solidFill>
                          <w14:schemeClr w14:val="tx1"/>
                        </w14:solidFill>
                      </w14:textFill>
                    </w:rPr>
                    <w:t>废润滑油、废润滑油桶</w:t>
                  </w:r>
                </w:p>
              </w:tc>
              <w:tc>
                <w:tcPr>
                  <w:tcW w:w="4125" w:type="dxa"/>
                  <w:vMerge w:val="restart"/>
                  <w:vAlign w:val="center"/>
                </w:tcPr>
                <w:p w14:paraId="611B13CA">
                  <w:pPr>
                    <w:widowControl/>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分类集中收集于危废暂存间（面积</w:t>
                  </w: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0m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，采取“六防”措施），定期交由有危废处理资质单位进行处置。</w:t>
                  </w:r>
                </w:p>
              </w:tc>
              <w:tc>
                <w:tcPr>
                  <w:tcW w:w="1416" w:type="dxa"/>
                  <w:vMerge w:val="restart"/>
                  <w:vAlign w:val="center"/>
                </w:tcPr>
                <w:p w14:paraId="693F4949">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w:t>
                  </w:r>
                </w:p>
              </w:tc>
            </w:tr>
            <w:tr w14:paraId="088B0B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4C2DA625">
                  <w:pPr>
                    <w:snapToGrid w:val="0"/>
                    <w:jc w:val="center"/>
                    <w:rPr>
                      <w:color w:val="000000" w:themeColor="text1"/>
                      <w:szCs w:val="21"/>
                      <w14:textFill>
                        <w14:solidFill>
                          <w14:schemeClr w14:val="tx1"/>
                        </w14:solidFill>
                      </w14:textFill>
                    </w:rPr>
                  </w:pPr>
                </w:p>
              </w:tc>
              <w:tc>
                <w:tcPr>
                  <w:tcW w:w="4125" w:type="dxa"/>
                  <w:gridSpan w:val="2"/>
                  <w:vAlign w:val="center"/>
                </w:tcPr>
                <w:p w14:paraId="6F4F4C95">
                  <w:pPr>
                    <w:snapToGrid w:val="0"/>
                    <w:jc w:val="center"/>
                    <w:rPr>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废气治理过程</w:t>
                  </w:r>
                </w:p>
              </w:tc>
              <w:tc>
                <w:tcPr>
                  <w:tcW w:w="2381" w:type="dxa"/>
                  <w:vAlign w:val="center"/>
                </w:tcPr>
                <w:p w14:paraId="6605AACC">
                  <w:pPr>
                    <w:tabs>
                      <w:tab w:val="left" w:pos="5250"/>
                    </w:tabs>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w:t>
                  </w:r>
                  <w:r>
                    <w:rPr>
                      <w:rFonts w:hint="eastAsia"/>
                      <w:color w:val="000000" w:themeColor="text1"/>
                      <w:szCs w:val="21"/>
                      <w14:textFill>
                        <w14:solidFill>
                          <w14:schemeClr w14:val="tx1"/>
                        </w14:solidFill>
                      </w14:textFill>
                    </w:rPr>
                    <w:t>活性炭</w:t>
                  </w:r>
                </w:p>
              </w:tc>
              <w:tc>
                <w:tcPr>
                  <w:tcW w:w="4125" w:type="dxa"/>
                  <w:vMerge w:val="continue"/>
                  <w:vAlign w:val="center"/>
                </w:tcPr>
                <w:p w14:paraId="7945B5B5">
                  <w:pPr>
                    <w:widowControl/>
                    <w:adjustRightInd w:val="0"/>
                    <w:snapToGrid w:val="0"/>
                    <w:jc w:val="center"/>
                    <w:rPr>
                      <w:color w:val="000000" w:themeColor="text1"/>
                      <w:szCs w:val="21"/>
                      <w14:textFill>
                        <w14:solidFill>
                          <w14:schemeClr w14:val="tx1"/>
                        </w14:solidFill>
                      </w14:textFill>
                    </w:rPr>
                  </w:pPr>
                </w:p>
              </w:tc>
              <w:tc>
                <w:tcPr>
                  <w:tcW w:w="1416" w:type="dxa"/>
                  <w:vMerge w:val="continue"/>
                  <w:vAlign w:val="center"/>
                </w:tcPr>
                <w:p w14:paraId="701A512A">
                  <w:pPr>
                    <w:snapToGrid w:val="0"/>
                    <w:jc w:val="center"/>
                    <w:rPr>
                      <w:color w:val="000000" w:themeColor="text1"/>
                      <w:szCs w:val="21"/>
                      <w14:textFill>
                        <w14:solidFill>
                          <w14:schemeClr w14:val="tx1"/>
                        </w14:solidFill>
                      </w14:textFill>
                    </w:rPr>
                  </w:pPr>
                </w:p>
              </w:tc>
            </w:tr>
            <w:tr w14:paraId="36907D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67A7B500">
                  <w:pPr>
                    <w:snapToGrid w:val="0"/>
                    <w:jc w:val="center"/>
                    <w:rPr>
                      <w:color w:val="000000" w:themeColor="text1"/>
                      <w:szCs w:val="21"/>
                      <w14:textFill>
                        <w14:solidFill>
                          <w14:schemeClr w14:val="tx1"/>
                        </w14:solidFill>
                      </w14:textFill>
                    </w:rPr>
                  </w:pPr>
                </w:p>
              </w:tc>
              <w:tc>
                <w:tcPr>
                  <w:tcW w:w="4125" w:type="dxa"/>
                  <w:gridSpan w:val="2"/>
                  <w:vAlign w:val="center"/>
                </w:tcPr>
                <w:p w14:paraId="21A0B6AB">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原料</w:t>
                  </w:r>
                  <w:r>
                    <w:rPr>
                      <w:color w:val="000000" w:themeColor="text1"/>
                      <w:szCs w:val="21"/>
                      <w14:textFill>
                        <w14:solidFill>
                          <w14:schemeClr w14:val="tx1"/>
                        </w14:solidFill>
                      </w14:textFill>
                    </w:rPr>
                    <w:t>（氢氧化钠、硝酸）</w:t>
                  </w:r>
                  <w:r>
                    <w:rPr>
                      <w:rFonts w:hint="eastAsia"/>
                      <w:color w:val="000000" w:themeColor="text1"/>
                      <w:szCs w:val="21"/>
                      <w14:textFill>
                        <w14:solidFill>
                          <w14:schemeClr w14:val="tx1"/>
                        </w14:solidFill>
                      </w14:textFill>
                    </w:rPr>
                    <w:t>使用</w:t>
                  </w:r>
                </w:p>
              </w:tc>
              <w:tc>
                <w:tcPr>
                  <w:tcW w:w="2381" w:type="dxa"/>
                  <w:vAlign w:val="center"/>
                </w:tcPr>
                <w:p w14:paraId="517C97D3">
                  <w:pPr>
                    <w:tabs>
                      <w:tab w:val="left" w:pos="5250"/>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废包装材料</w:t>
                  </w:r>
                </w:p>
              </w:tc>
              <w:tc>
                <w:tcPr>
                  <w:tcW w:w="4125" w:type="dxa"/>
                  <w:vMerge w:val="continue"/>
                  <w:vAlign w:val="center"/>
                </w:tcPr>
                <w:p w14:paraId="6FAFF3C5">
                  <w:pPr>
                    <w:widowControl/>
                    <w:adjustRightInd w:val="0"/>
                    <w:snapToGrid w:val="0"/>
                    <w:jc w:val="center"/>
                    <w:rPr>
                      <w:color w:val="000000" w:themeColor="text1"/>
                      <w:szCs w:val="21"/>
                      <w14:textFill>
                        <w14:solidFill>
                          <w14:schemeClr w14:val="tx1"/>
                        </w14:solidFill>
                      </w14:textFill>
                    </w:rPr>
                  </w:pPr>
                </w:p>
              </w:tc>
              <w:tc>
                <w:tcPr>
                  <w:tcW w:w="1416" w:type="dxa"/>
                  <w:vMerge w:val="continue"/>
                  <w:vAlign w:val="center"/>
                </w:tcPr>
                <w:p w14:paraId="2991DA0C">
                  <w:pPr>
                    <w:snapToGrid w:val="0"/>
                    <w:jc w:val="center"/>
                    <w:rPr>
                      <w:color w:val="000000" w:themeColor="text1"/>
                      <w:szCs w:val="21"/>
                      <w14:textFill>
                        <w14:solidFill>
                          <w14:schemeClr w14:val="tx1"/>
                        </w14:solidFill>
                      </w14:textFill>
                    </w:rPr>
                  </w:pPr>
                </w:p>
              </w:tc>
            </w:tr>
            <w:tr w14:paraId="661C6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Align w:val="center"/>
                </w:tcPr>
                <w:p w14:paraId="43B0AFD6">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噪声</w:t>
                  </w:r>
                </w:p>
              </w:tc>
              <w:tc>
                <w:tcPr>
                  <w:tcW w:w="4125" w:type="dxa"/>
                  <w:gridSpan w:val="2"/>
                  <w:vAlign w:val="center"/>
                </w:tcPr>
                <w:p w14:paraId="371A7A47">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灌装线</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激光喷码机</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连续封口机、粉碎机、风机</w:t>
                  </w:r>
                  <w:r>
                    <w:rPr>
                      <w:color w:val="000000" w:themeColor="text1"/>
                      <w:szCs w:val="21"/>
                      <w14:textFill>
                        <w14:solidFill>
                          <w14:schemeClr w14:val="tx1"/>
                        </w14:solidFill>
                      </w14:textFill>
                    </w:rPr>
                    <w:t>等设备</w:t>
                  </w:r>
                </w:p>
              </w:tc>
              <w:tc>
                <w:tcPr>
                  <w:tcW w:w="2381" w:type="dxa"/>
                  <w:vAlign w:val="center"/>
                </w:tcPr>
                <w:p w14:paraId="147EC52D">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机械噪声</w:t>
                  </w:r>
                </w:p>
              </w:tc>
              <w:tc>
                <w:tcPr>
                  <w:tcW w:w="4125" w:type="dxa"/>
                  <w:vAlign w:val="center"/>
                </w:tcPr>
                <w:p w14:paraId="482450A2">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产噪设备采取基础减振、厂房隔声等降噪措施；设备定期维护保养</w:t>
                  </w:r>
                </w:p>
              </w:tc>
              <w:tc>
                <w:tcPr>
                  <w:tcW w:w="1416" w:type="dxa"/>
                  <w:vAlign w:val="center"/>
                </w:tcPr>
                <w:p w14:paraId="76C1072D">
                  <w:pPr>
                    <w:snapToGrid w:val="0"/>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2</w:t>
                  </w:r>
                </w:p>
              </w:tc>
            </w:tr>
            <w:tr w14:paraId="36F00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restart"/>
                  <w:vAlign w:val="center"/>
                </w:tcPr>
                <w:p w14:paraId="6F193583">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其他</w:t>
                  </w:r>
                </w:p>
              </w:tc>
              <w:tc>
                <w:tcPr>
                  <w:tcW w:w="6506" w:type="dxa"/>
                  <w:gridSpan w:val="3"/>
                  <w:vMerge w:val="restart"/>
                  <w:vAlign w:val="center"/>
                </w:tcPr>
                <w:p w14:paraId="5A0E34F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风险防范措施</w:t>
                  </w:r>
                </w:p>
              </w:tc>
              <w:tc>
                <w:tcPr>
                  <w:tcW w:w="4125" w:type="dxa"/>
                  <w:vAlign w:val="center"/>
                </w:tcPr>
                <w:p w14:paraId="0B06D7CA">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液体物料储存区设置围堰</w:t>
                  </w:r>
                </w:p>
              </w:tc>
              <w:tc>
                <w:tcPr>
                  <w:tcW w:w="1416" w:type="dxa"/>
                  <w:vAlign w:val="center"/>
                </w:tcPr>
                <w:p w14:paraId="22DB3836">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5</w:t>
                  </w:r>
                </w:p>
              </w:tc>
            </w:tr>
            <w:tr w14:paraId="376CF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0AE80CE8">
                  <w:pPr>
                    <w:jc w:val="center"/>
                    <w:rPr>
                      <w:color w:val="000000" w:themeColor="text1"/>
                      <w:szCs w:val="21"/>
                      <w14:textFill>
                        <w14:solidFill>
                          <w14:schemeClr w14:val="tx1"/>
                        </w14:solidFill>
                      </w14:textFill>
                    </w:rPr>
                  </w:pPr>
                </w:p>
              </w:tc>
              <w:tc>
                <w:tcPr>
                  <w:tcW w:w="6506" w:type="dxa"/>
                  <w:gridSpan w:val="3"/>
                  <w:vMerge w:val="continue"/>
                  <w:vAlign w:val="center"/>
                </w:tcPr>
                <w:p w14:paraId="6D968A2C">
                  <w:pPr>
                    <w:adjustRightInd w:val="0"/>
                    <w:snapToGrid w:val="0"/>
                    <w:jc w:val="center"/>
                    <w:rPr>
                      <w:color w:val="000000" w:themeColor="text1"/>
                      <w:szCs w:val="21"/>
                      <w14:textFill>
                        <w14:solidFill>
                          <w14:schemeClr w14:val="tx1"/>
                        </w14:solidFill>
                      </w14:textFill>
                    </w:rPr>
                  </w:pPr>
                </w:p>
              </w:tc>
              <w:tc>
                <w:tcPr>
                  <w:tcW w:w="4125" w:type="dxa"/>
                  <w:vAlign w:val="center"/>
                </w:tcPr>
                <w:p w14:paraId="3499D83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车间设置禁火标识，在仓库以及危废暂存间配备消防沙、灭火器等消防器材</w:t>
                  </w:r>
                </w:p>
              </w:tc>
              <w:tc>
                <w:tcPr>
                  <w:tcW w:w="1416" w:type="dxa"/>
                  <w:vAlign w:val="center"/>
                </w:tcPr>
                <w:p w14:paraId="7DFD9AA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p>
              </w:tc>
            </w:tr>
            <w:tr w14:paraId="6CA31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25BDA2B1">
                  <w:pPr>
                    <w:jc w:val="center"/>
                    <w:rPr>
                      <w:color w:val="000000" w:themeColor="text1"/>
                      <w:szCs w:val="21"/>
                      <w14:textFill>
                        <w14:solidFill>
                          <w14:schemeClr w14:val="tx1"/>
                        </w14:solidFill>
                      </w14:textFill>
                    </w:rPr>
                  </w:pPr>
                </w:p>
              </w:tc>
              <w:tc>
                <w:tcPr>
                  <w:tcW w:w="6506" w:type="dxa"/>
                  <w:gridSpan w:val="3"/>
                  <w:vMerge w:val="continue"/>
                  <w:vAlign w:val="center"/>
                </w:tcPr>
                <w:p w14:paraId="6401ED80">
                  <w:pPr>
                    <w:jc w:val="center"/>
                    <w:rPr>
                      <w:color w:val="000000" w:themeColor="text1"/>
                      <w:szCs w:val="21"/>
                      <w14:textFill>
                        <w14:solidFill>
                          <w14:schemeClr w14:val="tx1"/>
                        </w14:solidFill>
                      </w14:textFill>
                    </w:rPr>
                  </w:pPr>
                </w:p>
              </w:tc>
              <w:tc>
                <w:tcPr>
                  <w:tcW w:w="4125" w:type="dxa"/>
                  <w:vAlign w:val="center"/>
                </w:tcPr>
                <w:p w14:paraId="6D5DC34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制定针对车间、仓库火灾的现场应急处置方案，加强员工生产安全培训及事故应急处理培训</w:t>
                  </w:r>
                </w:p>
              </w:tc>
              <w:tc>
                <w:tcPr>
                  <w:tcW w:w="1416" w:type="dxa"/>
                  <w:vAlign w:val="center"/>
                </w:tcPr>
                <w:p w14:paraId="1F7A175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r>
            <w:tr w14:paraId="6D5E4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1F8E8BB3">
                  <w:pPr>
                    <w:jc w:val="center"/>
                    <w:rPr>
                      <w:color w:val="000000" w:themeColor="text1"/>
                      <w:szCs w:val="21"/>
                      <w14:textFill>
                        <w14:solidFill>
                          <w14:schemeClr w14:val="tx1"/>
                        </w14:solidFill>
                      </w14:textFill>
                    </w:rPr>
                  </w:pPr>
                </w:p>
              </w:tc>
              <w:tc>
                <w:tcPr>
                  <w:tcW w:w="6506" w:type="dxa"/>
                  <w:gridSpan w:val="3"/>
                  <w:vMerge w:val="continue"/>
                  <w:vAlign w:val="center"/>
                </w:tcPr>
                <w:p w14:paraId="408DC8C9">
                  <w:pPr>
                    <w:jc w:val="center"/>
                    <w:rPr>
                      <w:color w:val="000000" w:themeColor="text1"/>
                      <w:szCs w:val="21"/>
                      <w14:textFill>
                        <w14:solidFill>
                          <w14:schemeClr w14:val="tx1"/>
                        </w14:solidFill>
                      </w14:textFill>
                    </w:rPr>
                  </w:pPr>
                </w:p>
              </w:tc>
              <w:tc>
                <w:tcPr>
                  <w:tcW w:w="4125" w:type="dxa"/>
                  <w:vAlign w:val="center"/>
                </w:tcPr>
                <w:p w14:paraId="2997768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废水处理设置</w:t>
                  </w:r>
                  <w:r>
                    <w:rPr>
                      <w:color w:val="000000" w:themeColor="text1"/>
                      <w:szCs w:val="21"/>
                      <w14:textFill>
                        <w14:solidFill>
                          <w14:schemeClr w14:val="tx1"/>
                        </w14:solidFill>
                      </w14:textFill>
                    </w:rPr>
                    <w:t>设置1座</w:t>
                  </w:r>
                  <w:r>
                    <w:rPr>
                      <w:rFonts w:hint="eastAsia"/>
                      <w:color w:val="000000" w:themeColor="text1"/>
                      <w:szCs w:val="21"/>
                      <w14:textFill>
                        <w14:solidFill>
                          <w14:schemeClr w14:val="tx1"/>
                        </w14:solidFill>
                      </w14:textFill>
                    </w:rPr>
                    <w:t>500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的事故应急池，并配收集管道</w:t>
                  </w:r>
                </w:p>
              </w:tc>
              <w:tc>
                <w:tcPr>
                  <w:tcW w:w="1416" w:type="dxa"/>
                  <w:vAlign w:val="center"/>
                </w:tcPr>
                <w:p w14:paraId="13157811">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30</w:t>
                  </w:r>
                </w:p>
              </w:tc>
            </w:tr>
            <w:tr w14:paraId="75822B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452" w:type="dxa"/>
                  <w:gridSpan w:val="2"/>
                  <w:vMerge w:val="continue"/>
                  <w:vAlign w:val="center"/>
                </w:tcPr>
                <w:p w14:paraId="29951E7F">
                  <w:pPr>
                    <w:jc w:val="center"/>
                    <w:rPr>
                      <w:color w:val="000000" w:themeColor="text1"/>
                      <w:szCs w:val="21"/>
                      <w14:textFill>
                        <w14:solidFill>
                          <w14:schemeClr w14:val="tx1"/>
                        </w14:solidFill>
                      </w14:textFill>
                    </w:rPr>
                  </w:pPr>
                </w:p>
              </w:tc>
              <w:tc>
                <w:tcPr>
                  <w:tcW w:w="6506" w:type="dxa"/>
                  <w:gridSpan w:val="3"/>
                  <w:vAlign w:val="center"/>
                </w:tcPr>
                <w:p w14:paraId="74D6E6C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地下水、土壤防渗措施</w:t>
                  </w:r>
                </w:p>
              </w:tc>
              <w:tc>
                <w:tcPr>
                  <w:tcW w:w="4125" w:type="dxa"/>
                  <w:vAlign w:val="center"/>
                </w:tcPr>
                <w:p w14:paraId="115248F6">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根据本次评价防渗分区要求进行分区防渗</w:t>
                  </w:r>
                </w:p>
              </w:tc>
              <w:tc>
                <w:tcPr>
                  <w:tcW w:w="1416" w:type="dxa"/>
                  <w:vAlign w:val="center"/>
                </w:tcPr>
                <w:p w14:paraId="1E7CD1F5">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0</w:t>
                  </w:r>
                </w:p>
              </w:tc>
            </w:tr>
            <w:tr w14:paraId="6835A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2083" w:type="dxa"/>
                  <w:gridSpan w:val="6"/>
                  <w:vAlign w:val="center"/>
                </w:tcPr>
                <w:p w14:paraId="2BED5F50">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合计</w:t>
                  </w:r>
                </w:p>
              </w:tc>
              <w:tc>
                <w:tcPr>
                  <w:tcW w:w="1416" w:type="dxa"/>
                  <w:vAlign w:val="center"/>
                </w:tcPr>
                <w:p w14:paraId="7AACE374">
                  <w:pPr>
                    <w:snapToGrid w:val="0"/>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240.5</w:t>
                  </w:r>
                </w:p>
              </w:tc>
            </w:tr>
          </w:tbl>
          <w:p w14:paraId="22C0C785">
            <w:pPr>
              <w:rPr>
                <w:color w:val="000000" w:themeColor="text1"/>
                <w14:textFill>
                  <w14:solidFill>
                    <w14:schemeClr w14:val="tx1"/>
                  </w14:solidFill>
                </w14:textFill>
              </w:rPr>
            </w:pPr>
          </w:p>
        </w:tc>
      </w:tr>
    </w:tbl>
    <w:p w14:paraId="1E3A6A5D">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p w14:paraId="0195B21E">
      <w:pPr>
        <w:pStyle w:val="3"/>
        <w:topLinePunct/>
        <w:jc w:val="center"/>
        <w:outlineLvl w:val="0"/>
        <w:rPr>
          <w:rFonts w:hint="default"/>
          <w:color w:val="000000" w:themeColor="text1"/>
          <w14:textFill>
            <w14:solidFill>
              <w14:schemeClr w14:val="tx1"/>
            </w14:solidFill>
          </w14:textFill>
        </w:rPr>
      </w:pPr>
      <w:bookmarkStart w:id="198" w:name="_Toc26207"/>
      <w:r>
        <w:rPr>
          <w:color w:val="000000" w:themeColor="text1"/>
          <w14:textFill>
            <w14:solidFill>
              <w14:schemeClr w14:val="tx1"/>
            </w14:solidFill>
          </w14:textFill>
        </w:rPr>
        <w:t>五、</w:t>
      </w:r>
      <w:bookmarkStart w:id="199" w:name="_Hlk54167917"/>
      <w:r>
        <w:rPr>
          <w:color w:val="000000" w:themeColor="text1"/>
          <w14:textFill>
            <w14:solidFill>
              <w14:schemeClr w14:val="tx1"/>
            </w14:solidFill>
          </w14:textFill>
        </w:rPr>
        <w:t>环境保护措施监督检查清单</w:t>
      </w:r>
      <w:bookmarkEnd w:id="198"/>
      <w:bookmarkEnd w:id="199"/>
    </w:p>
    <w:tbl>
      <w:tblPr>
        <w:tblStyle w:val="25"/>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467"/>
        <w:gridCol w:w="822"/>
        <w:gridCol w:w="686"/>
        <w:gridCol w:w="2323"/>
        <w:gridCol w:w="1604"/>
        <w:gridCol w:w="3768"/>
        <w:gridCol w:w="3493"/>
      </w:tblGrid>
      <w:tr w14:paraId="53C3C3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tcBorders>
              <w:bottom w:val="single" w:color="auto" w:sz="4" w:space="0"/>
              <w:tl2br w:val="single" w:color="auto" w:sz="4" w:space="0"/>
            </w:tcBorders>
          </w:tcPr>
          <w:p w14:paraId="1AA99D08">
            <w:pPr>
              <w:jc w:val="right"/>
              <w:outlineLvl w:val="9"/>
              <w:rPr>
                <w:color w:val="000000" w:themeColor="text1"/>
                <w:szCs w:val="21"/>
                <w14:textFill>
                  <w14:solidFill>
                    <w14:schemeClr w14:val="tx1"/>
                  </w14:solidFill>
                </w14:textFill>
              </w:rPr>
            </w:pPr>
            <w:bookmarkStart w:id="200" w:name="_Toc17721"/>
            <w:r>
              <w:rPr>
                <w:color w:val="000000" w:themeColor="text1"/>
                <w:szCs w:val="21"/>
                <w14:textFill>
                  <w14:solidFill>
                    <w14:schemeClr w14:val="tx1"/>
                  </w14:solidFill>
                </w14:textFill>
              </w:rPr>
              <w:t>内容</w:t>
            </w:r>
            <w:bookmarkEnd w:id="200"/>
          </w:p>
          <w:p w14:paraId="7E927EB6">
            <w:pPr>
              <w:jc w:val="left"/>
              <w:outlineLvl w:val="9"/>
              <w:rPr>
                <w:color w:val="000000" w:themeColor="text1"/>
                <w:szCs w:val="21"/>
                <w14:textFill>
                  <w14:solidFill>
                    <w14:schemeClr w14:val="tx1"/>
                  </w14:solidFill>
                </w14:textFill>
              </w:rPr>
            </w:pPr>
            <w:bookmarkStart w:id="201" w:name="_Toc19936"/>
            <w:r>
              <w:rPr>
                <w:color w:val="000000" w:themeColor="text1"/>
                <w:szCs w:val="21"/>
                <w14:textFill>
                  <w14:solidFill>
                    <w14:schemeClr w14:val="tx1"/>
                  </w14:solidFill>
                </w14:textFill>
              </w:rPr>
              <w:t>要素</w:t>
            </w:r>
            <w:bookmarkEnd w:id="201"/>
          </w:p>
        </w:tc>
        <w:tc>
          <w:tcPr>
            <w:tcW w:w="1352" w:type="pct"/>
            <w:gridSpan w:val="3"/>
            <w:vAlign w:val="center"/>
          </w:tcPr>
          <w:p w14:paraId="7FE71450">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排放口(编号、名称)/污染源</w:t>
            </w:r>
          </w:p>
        </w:tc>
        <w:tc>
          <w:tcPr>
            <w:tcW w:w="566" w:type="pct"/>
            <w:vAlign w:val="center"/>
          </w:tcPr>
          <w:p w14:paraId="21373D59">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污染物项目</w:t>
            </w:r>
          </w:p>
        </w:tc>
        <w:tc>
          <w:tcPr>
            <w:tcW w:w="1330" w:type="pct"/>
            <w:vAlign w:val="center"/>
          </w:tcPr>
          <w:p w14:paraId="2AFF6190">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环境保护措施</w:t>
            </w:r>
          </w:p>
        </w:tc>
        <w:tc>
          <w:tcPr>
            <w:tcW w:w="1232" w:type="pct"/>
            <w:vAlign w:val="center"/>
          </w:tcPr>
          <w:p w14:paraId="398A4D3F">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执行标准</w:t>
            </w:r>
          </w:p>
        </w:tc>
      </w:tr>
      <w:tr w14:paraId="346218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518" w:type="pct"/>
            <w:vMerge w:val="restart"/>
            <w:vAlign w:val="center"/>
          </w:tcPr>
          <w:p w14:paraId="5510DFE4">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大气环境</w:t>
            </w:r>
          </w:p>
        </w:tc>
        <w:tc>
          <w:tcPr>
            <w:tcW w:w="290" w:type="pct"/>
            <w:vMerge w:val="restart"/>
            <w:vAlign w:val="center"/>
          </w:tcPr>
          <w:p w14:paraId="5654794C">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有组织</w:t>
            </w:r>
          </w:p>
        </w:tc>
        <w:tc>
          <w:tcPr>
            <w:tcW w:w="1062" w:type="pct"/>
            <w:gridSpan w:val="2"/>
            <w:vMerge w:val="restart"/>
            <w:shd w:val="clear" w:color="auto" w:fill="auto"/>
            <w:vAlign w:val="center"/>
          </w:tcPr>
          <w:p w14:paraId="27D37194">
            <w:pPr>
              <w:jc w:val="center"/>
              <w:outlineLvl w:val="9"/>
              <w:rPr>
                <w:color w:val="000000" w:themeColor="text1"/>
                <w:szCs w:val="21"/>
                <w14:textFill>
                  <w14:solidFill>
                    <w14:schemeClr w14:val="tx1"/>
                  </w14:solidFill>
                </w14:textFill>
              </w:rPr>
            </w:pPr>
            <w:bookmarkStart w:id="202" w:name="_Toc14517"/>
            <w:r>
              <w:rPr>
                <w:rFonts w:hint="eastAsia"/>
                <w:color w:val="000000" w:themeColor="text1"/>
                <w:szCs w:val="21"/>
                <w14:textFill>
                  <w14:solidFill>
                    <w14:schemeClr w14:val="tx1"/>
                  </w14:solidFill>
                </w14:textFill>
              </w:rPr>
              <w:t>原料投料、粉碎工序和袋泡茶生产过程粉尘</w:t>
            </w:r>
            <w:bookmarkEnd w:id="202"/>
          </w:p>
        </w:tc>
        <w:tc>
          <w:tcPr>
            <w:tcW w:w="566" w:type="pct"/>
            <w:vMerge w:val="restart"/>
            <w:shd w:val="clear" w:color="auto" w:fill="auto"/>
            <w:vAlign w:val="center"/>
          </w:tcPr>
          <w:p w14:paraId="25105726">
            <w:pPr>
              <w:jc w:val="center"/>
              <w:outlineLvl w:val="9"/>
              <w:rPr>
                <w:color w:val="000000" w:themeColor="text1"/>
                <w:szCs w:val="21"/>
                <w14:textFill>
                  <w14:solidFill>
                    <w14:schemeClr w14:val="tx1"/>
                  </w14:solidFill>
                </w14:textFill>
              </w:rPr>
            </w:pPr>
            <w:bookmarkStart w:id="203" w:name="_Toc9283"/>
            <w:r>
              <w:rPr>
                <w:rFonts w:hint="eastAsia"/>
                <w:color w:val="000000" w:themeColor="text1"/>
                <w:szCs w:val="21"/>
                <w14:textFill>
                  <w14:solidFill>
                    <w14:schemeClr w14:val="tx1"/>
                  </w14:solidFill>
                </w14:textFill>
              </w:rPr>
              <w:t>颗粒物</w:t>
            </w:r>
            <w:bookmarkEnd w:id="203"/>
          </w:p>
        </w:tc>
        <w:tc>
          <w:tcPr>
            <w:tcW w:w="1330" w:type="pct"/>
            <w:vMerge w:val="restart"/>
            <w:shd w:val="clear" w:color="auto" w:fill="auto"/>
            <w:vAlign w:val="center"/>
          </w:tcPr>
          <w:p w14:paraId="4D39A664">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经集气罩收集引入1套覆膜袋式除尘器（TA001）处理后通过1根15m高排气筒（DA001）排放</w:t>
            </w:r>
          </w:p>
        </w:tc>
        <w:tc>
          <w:tcPr>
            <w:tcW w:w="1232" w:type="pct"/>
            <w:vAlign w:val="center"/>
          </w:tcPr>
          <w:p w14:paraId="75499BAB">
            <w:pPr>
              <w:jc w:val="center"/>
              <w:rPr>
                <w:color w:val="000000" w:themeColor="text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r>
      <w:tr w14:paraId="367138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518" w:type="pct"/>
            <w:vMerge w:val="continue"/>
            <w:vAlign w:val="center"/>
          </w:tcPr>
          <w:p w14:paraId="0A8B00E0">
            <w:pPr>
              <w:jc w:val="center"/>
              <w:rPr>
                <w:color w:val="000000" w:themeColor="text1"/>
                <w14:textFill>
                  <w14:solidFill>
                    <w14:schemeClr w14:val="tx1"/>
                  </w14:solidFill>
                </w14:textFill>
              </w:rPr>
            </w:pPr>
          </w:p>
        </w:tc>
        <w:tc>
          <w:tcPr>
            <w:tcW w:w="290" w:type="pct"/>
            <w:vMerge w:val="continue"/>
            <w:vAlign w:val="center"/>
          </w:tcPr>
          <w:p w14:paraId="779D82BE">
            <w:pPr>
              <w:jc w:val="center"/>
              <w:rPr>
                <w:color w:val="000000" w:themeColor="text1"/>
                <w14:textFill>
                  <w14:solidFill>
                    <w14:schemeClr w14:val="tx1"/>
                  </w14:solidFill>
                </w14:textFill>
              </w:rPr>
            </w:pPr>
          </w:p>
        </w:tc>
        <w:tc>
          <w:tcPr>
            <w:tcW w:w="1062" w:type="pct"/>
            <w:gridSpan w:val="2"/>
            <w:vMerge w:val="continue"/>
            <w:shd w:val="clear" w:color="auto" w:fill="auto"/>
            <w:vAlign w:val="center"/>
          </w:tcPr>
          <w:p w14:paraId="32CB7214">
            <w:pPr>
              <w:jc w:val="center"/>
              <w:rPr>
                <w:color w:val="000000" w:themeColor="text1"/>
                <w14:textFill>
                  <w14:solidFill>
                    <w14:schemeClr w14:val="tx1"/>
                  </w14:solidFill>
                </w14:textFill>
              </w:rPr>
            </w:pPr>
          </w:p>
        </w:tc>
        <w:tc>
          <w:tcPr>
            <w:tcW w:w="566" w:type="pct"/>
            <w:vMerge w:val="continue"/>
            <w:shd w:val="clear" w:color="auto" w:fill="auto"/>
            <w:vAlign w:val="center"/>
          </w:tcPr>
          <w:p w14:paraId="2B4A1933">
            <w:pPr>
              <w:jc w:val="center"/>
              <w:rPr>
                <w:color w:val="000000" w:themeColor="text1"/>
                <w14:textFill>
                  <w14:solidFill>
                    <w14:schemeClr w14:val="tx1"/>
                  </w14:solidFill>
                </w14:textFill>
              </w:rPr>
            </w:pPr>
          </w:p>
        </w:tc>
        <w:tc>
          <w:tcPr>
            <w:tcW w:w="1330" w:type="pct"/>
            <w:vMerge w:val="continue"/>
            <w:shd w:val="clear" w:color="auto" w:fill="auto"/>
            <w:vAlign w:val="center"/>
          </w:tcPr>
          <w:p w14:paraId="51AE6707">
            <w:pPr>
              <w:jc w:val="center"/>
              <w:rPr>
                <w:color w:val="000000" w:themeColor="text1"/>
                <w14:textFill>
                  <w14:solidFill>
                    <w14:schemeClr w14:val="tx1"/>
                  </w14:solidFill>
                </w14:textFill>
              </w:rPr>
            </w:pPr>
          </w:p>
        </w:tc>
        <w:tc>
          <w:tcPr>
            <w:tcW w:w="1232" w:type="pct"/>
            <w:vAlign w:val="center"/>
          </w:tcPr>
          <w:p w14:paraId="499FF1C8">
            <w:pPr>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年修订版）附录2中其他工序PM排放限值</w:t>
            </w:r>
          </w:p>
        </w:tc>
      </w:tr>
      <w:tr w14:paraId="3FF915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18" w:type="pct"/>
            <w:vMerge w:val="continue"/>
            <w:vAlign w:val="center"/>
          </w:tcPr>
          <w:p w14:paraId="5D08FE53">
            <w:pPr>
              <w:snapToGrid w:val="0"/>
              <w:jc w:val="center"/>
              <w:rPr>
                <w:color w:val="000000" w:themeColor="text1"/>
                <w:szCs w:val="21"/>
                <w14:textFill>
                  <w14:solidFill>
                    <w14:schemeClr w14:val="tx1"/>
                  </w14:solidFill>
                </w14:textFill>
              </w:rPr>
            </w:pPr>
          </w:p>
        </w:tc>
        <w:tc>
          <w:tcPr>
            <w:tcW w:w="290" w:type="pct"/>
            <w:vMerge w:val="continue"/>
            <w:vAlign w:val="center"/>
          </w:tcPr>
          <w:p w14:paraId="343F9FA7">
            <w:pPr>
              <w:autoSpaceDE w:val="0"/>
              <w:autoSpaceDN w:val="0"/>
              <w:adjustRightInd w:val="0"/>
              <w:snapToGrid w:val="0"/>
              <w:jc w:val="center"/>
              <w:rPr>
                <w:color w:val="000000" w:themeColor="text1"/>
                <w:kern w:val="0"/>
                <w:szCs w:val="21"/>
                <w14:textFill>
                  <w14:solidFill>
                    <w14:schemeClr w14:val="tx1"/>
                  </w14:solidFill>
                </w14:textFill>
              </w:rPr>
            </w:pPr>
          </w:p>
        </w:tc>
        <w:tc>
          <w:tcPr>
            <w:tcW w:w="1062" w:type="pct"/>
            <w:gridSpan w:val="2"/>
            <w:vMerge w:val="restart"/>
            <w:shd w:val="clear" w:color="auto" w:fill="auto"/>
            <w:vAlign w:val="center"/>
          </w:tcPr>
          <w:p w14:paraId="1549F2E6">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1t/h蒸汽发生器天然气燃烧废气</w:t>
            </w:r>
          </w:p>
        </w:tc>
        <w:tc>
          <w:tcPr>
            <w:tcW w:w="566" w:type="pct"/>
            <w:vMerge w:val="restart"/>
            <w:shd w:val="clear" w:color="auto" w:fill="auto"/>
            <w:vAlign w:val="center"/>
          </w:tcPr>
          <w:p w14:paraId="105FD0B2">
            <w:pPr>
              <w:jc w:val="center"/>
              <w:outlineLvl w:val="9"/>
              <w:rPr>
                <w:color w:val="000000" w:themeColor="text1"/>
                <w:szCs w:val="21"/>
                <w14:textFill>
                  <w14:solidFill>
                    <w14:schemeClr w14:val="tx1"/>
                  </w14:solidFill>
                </w14:textFill>
              </w:rPr>
            </w:pPr>
            <w:bookmarkStart w:id="204" w:name="_Toc28196"/>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bookmarkEnd w:id="204"/>
          </w:p>
        </w:tc>
        <w:tc>
          <w:tcPr>
            <w:tcW w:w="1330" w:type="pct"/>
            <w:vMerge w:val="restart"/>
            <w:shd w:val="clear" w:color="auto" w:fill="auto"/>
            <w:vAlign w:val="center"/>
          </w:tcPr>
          <w:p w14:paraId="058D6C7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（TA002）</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2</w:t>
            </w:r>
            <w:r>
              <w:rPr>
                <w:color w:val="000000" w:themeColor="text1"/>
                <w:szCs w:val="21"/>
                <w14:textFill>
                  <w14:solidFill>
                    <w14:schemeClr w14:val="tx1"/>
                  </w14:solidFill>
                </w14:textFill>
              </w:rPr>
              <w:t>排放</w:t>
            </w:r>
          </w:p>
        </w:tc>
        <w:tc>
          <w:tcPr>
            <w:tcW w:w="1232" w:type="pct"/>
            <w:vAlign w:val="center"/>
          </w:tcPr>
          <w:p w14:paraId="456DE403">
            <w:pPr>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49C95E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18" w:type="pct"/>
            <w:vMerge w:val="continue"/>
            <w:vAlign w:val="center"/>
          </w:tcPr>
          <w:p w14:paraId="0EB66D71">
            <w:pPr>
              <w:jc w:val="center"/>
              <w:rPr>
                <w:color w:val="000000" w:themeColor="text1"/>
                <w14:textFill>
                  <w14:solidFill>
                    <w14:schemeClr w14:val="tx1"/>
                  </w14:solidFill>
                </w14:textFill>
              </w:rPr>
            </w:pPr>
          </w:p>
        </w:tc>
        <w:tc>
          <w:tcPr>
            <w:tcW w:w="290" w:type="pct"/>
            <w:vMerge w:val="continue"/>
            <w:vAlign w:val="center"/>
          </w:tcPr>
          <w:p w14:paraId="40949B5C">
            <w:pPr>
              <w:jc w:val="center"/>
              <w:rPr>
                <w:color w:val="000000" w:themeColor="text1"/>
                <w14:textFill>
                  <w14:solidFill>
                    <w14:schemeClr w14:val="tx1"/>
                  </w14:solidFill>
                </w14:textFill>
              </w:rPr>
            </w:pPr>
          </w:p>
        </w:tc>
        <w:tc>
          <w:tcPr>
            <w:tcW w:w="1062" w:type="pct"/>
            <w:gridSpan w:val="2"/>
            <w:vMerge w:val="continue"/>
            <w:shd w:val="clear" w:color="auto" w:fill="auto"/>
            <w:vAlign w:val="center"/>
          </w:tcPr>
          <w:p w14:paraId="064A8785">
            <w:pPr>
              <w:jc w:val="center"/>
              <w:rPr>
                <w:color w:val="000000" w:themeColor="text1"/>
                <w14:textFill>
                  <w14:solidFill>
                    <w14:schemeClr w14:val="tx1"/>
                  </w14:solidFill>
                </w14:textFill>
              </w:rPr>
            </w:pPr>
          </w:p>
        </w:tc>
        <w:tc>
          <w:tcPr>
            <w:tcW w:w="566" w:type="pct"/>
            <w:vMerge w:val="continue"/>
            <w:shd w:val="clear" w:color="auto" w:fill="auto"/>
            <w:vAlign w:val="center"/>
          </w:tcPr>
          <w:p w14:paraId="5B704C6D">
            <w:pPr>
              <w:jc w:val="center"/>
              <w:rPr>
                <w:color w:val="000000" w:themeColor="text1"/>
                <w14:textFill>
                  <w14:solidFill>
                    <w14:schemeClr w14:val="tx1"/>
                  </w14:solidFill>
                </w14:textFill>
              </w:rPr>
            </w:pPr>
          </w:p>
        </w:tc>
        <w:tc>
          <w:tcPr>
            <w:tcW w:w="1330" w:type="pct"/>
            <w:vMerge w:val="continue"/>
            <w:shd w:val="clear" w:color="auto" w:fill="auto"/>
            <w:vAlign w:val="center"/>
          </w:tcPr>
          <w:p w14:paraId="0D414E23">
            <w:pPr>
              <w:jc w:val="center"/>
              <w:rPr>
                <w:color w:val="000000" w:themeColor="text1"/>
                <w14:textFill>
                  <w14:solidFill>
                    <w14:schemeClr w14:val="tx1"/>
                  </w14:solidFill>
                </w14:textFill>
              </w:rPr>
            </w:pPr>
          </w:p>
        </w:tc>
        <w:tc>
          <w:tcPr>
            <w:tcW w:w="1232" w:type="pct"/>
            <w:vAlign w:val="center"/>
          </w:tcPr>
          <w:p w14:paraId="420EBEA9">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234BD8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18" w:type="pct"/>
            <w:vMerge w:val="continue"/>
            <w:vAlign w:val="center"/>
          </w:tcPr>
          <w:p w14:paraId="300F75F7">
            <w:pPr>
              <w:snapToGrid w:val="0"/>
              <w:jc w:val="center"/>
              <w:rPr>
                <w:color w:val="000000" w:themeColor="text1"/>
                <w:szCs w:val="21"/>
                <w14:textFill>
                  <w14:solidFill>
                    <w14:schemeClr w14:val="tx1"/>
                  </w14:solidFill>
                </w14:textFill>
              </w:rPr>
            </w:pPr>
          </w:p>
        </w:tc>
        <w:tc>
          <w:tcPr>
            <w:tcW w:w="290" w:type="pct"/>
            <w:vMerge w:val="continue"/>
            <w:vAlign w:val="center"/>
          </w:tcPr>
          <w:p w14:paraId="62AB2EFC">
            <w:pPr>
              <w:autoSpaceDE w:val="0"/>
              <w:autoSpaceDN w:val="0"/>
              <w:adjustRightInd w:val="0"/>
              <w:snapToGrid w:val="0"/>
              <w:jc w:val="center"/>
              <w:rPr>
                <w:color w:val="000000" w:themeColor="text1"/>
                <w:kern w:val="0"/>
                <w:szCs w:val="21"/>
                <w14:textFill>
                  <w14:solidFill>
                    <w14:schemeClr w14:val="tx1"/>
                  </w14:solidFill>
                </w14:textFill>
              </w:rPr>
            </w:pPr>
          </w:p>
        </w:tc>
        <w:tc>
          <w:tcPr>
            <w:tcW w:w="1062" w:type="pct"/>
            <w:gridSpan w:val="2"/>
            <w:vMerge w:val="restart"/>
            <w:shd w:val="clear" w:color="auto" w:fill="auto"/>
            <w:vAlign w:val="center"/>
          </w:tcPr>
          <w:p w14:paraId="39C02B1F">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0.3t/h蒸汽发生器天然气燃烧废气</w:t>
            </w:r>
          </w:p>
        </w:tc>
        <w:tc>
          <w:tcPr>
            <w:tcW w:w="566" w:type="pct"/>
            <w:vMerge w:val="restart"/>
            <w:shd w:val="clear" w:color="auto" w:fill="auto"/>
            <w:vAlign w:val="center"/>
          </w:tcPr>
          <w:p w14:paraId="68BDC9F7">
            <w:pPr>
              <w:jc w:val="center"/>
              <w:outlineLvl w:val="9"/>
              <w:rPr>
                <w:color w:val="000000" w:themeColor="text1"/>
                <w:szCs w:val="21"/>
                <w14:textFill>
                  <w14:solidFill>
                    <w14:schemeClr w14:val="tx1"/>
                  </w14:solidFill>
                </w14:textFill>
              </w:rPr>
            </w:pPr>
            <w:bookmarkStart w:id="205" w:name="_Toc30928"/>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bookmarkEnd w:id="205"/>
          </w:p>
        </w:tc>
        <w:tc>
          <w:tcPr>
            <w:tcW w:w="1330" w:type="pct"/>
            <w:vMerge w:val="restart"/>
            <w:shd w:val="clear" w:color="auto" w:fill="auto"/>
            <w:vAlign w:val="center"/>
          </w:tcPr>
          <w:p w14:paraId="0710EB9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（TA003）</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3</w:t>
            </w:r>
            <w:r>
              <w:rPr>
                <w:color w:val="000000" w:themeColor="text1"/>
                <w:szCs w:val="21"/>
                <w14:textFill>
                  <w14:solidFill>
                    <w14:schemeClr w14:val="tx1"/>
                  </w14:solidFill>
                </w14:textFill>
              </w:rPr>
              <w:t>排放</w:t>
            </w:r>
          </w:p>
        </w:tc>
        <w:tc>
          <w:tcPr>
            <w:tcW w:w="1232" w:type="pct"/>
            <w:vAlign w:val="center"/>
          </w:tcPr>
          <w:p w14:paraId="4C6B108D">
            <w:pPr>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22C502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18" w:type="pct"/>
            <w:vMerge w:val="continue"/>
            <w:vAlign w:val="center"/>
          </w:tcPr>
          <w:p w14:paraId="7E3F8610">
            <w:pPr>
              <w:adjustRightInd w:val="0"/>
              <w:snapToGrid w:val="0"/>
              <w:jc w:val="center"/>
              <w:rPr>
                <w:color w:val="000000" w:themeColor="text1"/>
                <w14:textFill>
                  <w14:solidFill>
                    <w14:schemeClr w14:val="tx1"/>
                  </w14:solidFill>
                </w14:textFill>
              </w:rPr>
            </w:pPr>
          </w:p>
        </w:tc>
        <w:tc>
          <w:tcPr>
            <w:tcW w:w="290" w:type="pct"/>
            <w:vMerge w:val="continue"/>
            <w:vAlign w:val="center"/>
          </w:tcPr>
          <w:p w14:paraId="2100327C">
            <w:pPr>
              <w:adjustRightInd w:val="0"/>
              <w:snapToGrid w:val="0"/>
              <w:jc w:val="center"/>
              <w:rPr>
                <w:color w:val="000000" w:themeColor="text1"/>
                <w14:textFill>
                  <w14:solidFill>
                    <w14:schemeClr w14:val="tx1"/>
                  </w14:solidFill>
                </w14:textFill>
              </w:rPr>
            </w:pPr>
          </w:p>
        </w:tc>
        <w:tc>
          <w:tcPr>
            <w:tcW w:w="1062" w:type="pct"/>
            <w:gridSpan w:val="2"/>
            <w:vMerge w:val="continue"/>
            <w:shd w:val="clear" w:color="auto" w:fill="auto"/>
            <w:vAlign w:val="center"/>
          </w:tcPr>
          <w:p w14:paraId="5EF521C9">
            <w:pPr>
              <w:adjustRightInd w:val="0"/>
              <w:snapToGrid w:val="0"/>
              <w:jc w:val="center"/>
              <w:rPr>
                <w:color w:val="000000" w:themeColor="text1"/>
                <w14:textFill>
                  <w14:solidFill>
                    <w14:schemeClr w14:val="tx1"/>
                  </w14:solidFill>
                </w14:textFill>
              </w:rPr>
            </w:pPr>
          </w:p>
        </w:tc>
        <w:tc>
          <w:tcPr>
            <w:tcW w:w="566" w:type="pct"/>
            <w:vMerge w:val="continue"/>
            <w:shd w:val="clear" w:color="auto" w:fill="auto"/>
            <w:vAlign w:val="center"/>
          </w:tcPr>
          <w:p w14:paraId="5EDC40A2">
            <w:pPr>
              <w:adjustRightInd w:val="0"/>
              <w:snapToGrid w:val="0"/>
              <w:jc w:val="center"/>
              <w:rPr>
                <w:color w:val="000000" w:themeColor="text1"/>
                <w14:textFill>
                  <w14:solidFill>
                    <w14:schemeClr w14:val="tx1"/>
                  </w14:solidFill>
                </w14:textFill>
              </w:rPr>
            </w:pPr>
          </w:p>
        </w:tc>
        <w:tc>
          <w:tcPr>
            <w:tcW w:w="1330" w:type="pct"/>
            <w:vMerge w:val="continue"/>
            <w:shd w:val="clear" w:color="auto" w:fill="auto"/>
            <w:vAlign w:val="center"/>
          </w:tcPr>
          <w:p w14:paraId="7303A982">
            <w:pPr>
              <w:adjustRightInd w:val="0"/>
              <w:snapToGrid w:val="0"/>
              <w:jc w:val="center"/>
              <w:rPr>
                <w:color w:val="000000" w:themeColor="text1"/>
                <w14:textFill>
                  <w14:solidFill>
                    <w14:schemeClr w14:val="tx1"/>
                  </w14:solidFill>
                </w14:textFill>
              </w:rPr>
            </w:pPr>
          </w:p>
        </w:tc>
        <w:tc>
          <w:tcPr>
            <w:tcW w:w="1232" w:type="pct"/>
            <w:vAlign w:val="center"/>
          </w:tcPr>
          <w:p w14:paraId="43EDB8C0">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6C868A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18" w:type="pct"/>
            <w:vMerge w:val="continue"/>
            <w:vAlign w:val="center"/>
          </w:tcPr>
          <w:p w14:paraId="78EE6870">
            <w:pPr>
              <w:snapToGrid w:val="0"/>
              <w:jc w:val="center"/>
              <w:rPr>
                <w:color w:val="000000" w:themeColor="text1"/>
                <w:szCs w:val="21"/>
                <w14:textFill>
                  <w14:solidFill>
                    <w14:schemeClr w14:val="tx1"/>
                  </w14:solidFill>
                </w14:textFill>
              </w:rPr>
            </w:pPr>
          </w:p>
        </w:tc>
        <w:tc>
          <w:tcPr>
            <w:tcW w:w="290" w:type="pct"/>
            <w:vMerge w:val="continue"/>
            <w:vAlign w:val="center"/>
          </w:tcPr>
          <w:p w14:paraId="54E40B83">
            <w:pPr>
              <w:autoSpaceDE w:val="0"/>
              <w:autoSpaceDN w:val="0"/>
              <w:adjustRightInd w:val="0"/>
              <w:snapToGrid w:val="0"/>
              <w:jc w:val="center"/>
              <w:rPr>
                <w:color w:val="000000" w:themeColor="text1"/>
                <w:kern w:val="0"/>
                <w:szCs w:val="21"/>
                <w14:textFill>
                  <w14:solidFill>
                    <w14:schemeClr w14:val="tx1"/>
                  </w14:solidFill>
                </w14:textFill>
              </w:rPr>
            </w:pPr>
          </w:p>
        </w:tc>
        <w:tc>
          <w:tcPr>
            <w:tcW w:w="1062" w:type="pct"/>
            <w:gridSpan w:val="2"/>
            <w:vMerge w:val="restart"/>
            <w:shd w:val="clear" w:color="auto" w:fill="auto"/>
            <w:vAlign w:val="center"/>
          </w:tcPr>
          <w:p w14:paraId="2004EF9A">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0.5t/h蒸汽发生器天然气燃烧废气</w:t>
            </w:r>
          </w:p>
        </w:tc>
        <w:tc>
          <w:tcPr>
            <w:tcW w:w="566" w:type="pct"/>
            <w:vMerge w:val="restart"/>
            <w:shd w:val="clear" w:color="auto" w:fill="auto"/>
            <w:vAlign w:val="center"/>
          </w:tcPr>
          <w:p w14:paraId="3137414F">
            <w:pPr>
              <w:jc w:val="center"/>
              <w:outlineLvl w:val="9"/>
              <w:rPr>
                <w:color w:val="000000" w:themeColor="text1"/>
                <w:szCs w:val="21"/>
                <w14:textFill>
                  <w14:solidFill>
                    <w14:schemeClr w14:val="tx1"/>
                  </w14:solidFill>
                </w14:textFill>
              </w:rPr>
            </w:pPr>
            <w:bookmarkStart w:id="206" w:name="_Toc13838"/>
            <w:r>
              <w:rPr>
                <w:rFonts w:hint="eastAsia"/>
                <w:color w:val="000000" w:themeColor="text1"/>
                <w:szCs w:val="21"/>
                <w14:textFill>
                  <w14:solidFill>
                    <w14:schemeClr w14:val="tx1"/>
                  </w14:solidFill>
                </w14:textFill>
              </w:rPr>
              <w:t>颗粒物、SO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、NOx</w:t>
            </w:r>
            <w:bookmarkEnd w:id="206"/>
          </w:p>
        </w:tc>
        <w:tc>
          <w:tcPr>
            <w:tcW w:w="1330" w:type="pct"/>
            <w:vMerge w:val="restart"/>
            <w:shd w:val="clear" w:color="auto" w:fill="auto"/>
            <w:vAlign w:val="center"/>
          </w:tcPr>
          <w:p w14:paraId="03C9DA6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经1套低氮燃烧器+烟气循环系统</w:t>
            </w:r>
            <w:r>
              <w:rPr>
                <w:rFonts w:hint="eastAsia"/>
                <w:color w:val="000000" w:themeColor="text1"/>
                <w:szCs w:val="21"/>
                <w14:textFill>
                  <w14:solidFill>
                    <w14:schemeClr w14:val="tx1"/>
                  </w14:solidFill>
                </w14:textFill>
              </w:rPr>
              <w:t>（TA004）</w:t>
            </w:r>
            <w:r>
              <w:rPr>
                <w:color w:val="000000" w:themeColor="text1"/>
                <w:szCs w:val="21"/>
                <w14:textFill>
                  <w14:solidFill>
                    <w14:schemeClr w14:val="tx1"/>
                  </w14:solidFill>
                </w14:textFill>
              </w:rPr>
              <w:t>处理后</w:t>
            </w:r>
            <w:r>
              <w:rPr>
                <w:rFonts w:hint="eastAsia"/>
                <w:color w:val="000000" w:themeColor="text1"/>
                <w:szCs w:val="21"/>
                <w14:textFill>
                  <w14:solidFill>
                    <w14:schemeClr w14:val="tx1"/>
                  </w14:solidFill>
                </w14:textFill>
              </w:rPr>
              <w:t>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排放</w:t>
            </w:r>
          </w:p>
        </w:tc>
        <w:tc>
          <w:tcPr>
            <w:tcW w:w="1232" w:type="pct"/>
            <w:vAlign w:val="center"/>
          </w:tcPr>
          <w:p w14:paraId="5E6A71AE">
            <w:pPr>
              <w:jc w:val="center"/>
              <w:rPr>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w:t>
            </w:r>
            <w:r>
              <w:rPr>
                <w:rFonts w:hint="eastAsia"/>
                <w:color w:val="000000" w:themeColor="text1"/>
                <w:szCs w:val="21"/>
                <w14:textFill>
                  <w14:solidFill>
                    <w14:schemeClr w14:val="tx1"/>
                  </w14:solidFill>
                </w14:textFill>
              </w:rPr>
              <w:t>（2024年修订版）</w:t>
            </w:r>
            <w:r>
              <w:rPr>
                <w:color w:val="000000" w:themeColor="text1"/>
                <w:szCs w:val="21"/>
                <w14:textFill>
                  <w14:solidFill>
                    <w14:schemeClr w14:val="tx1"/>
                  </w14:solidFill>
                </w14:textFill>
              </w:rPr>
              <w:t>涉锅炉/炉窑企业绩效A级</w:t>
            </w:r>
          </w:p>
        </w:tc>
      </w:tr>
      <w:tr w14:paraId="3C10DB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518" w:type="pct"/>
            <w:vMerge w:val="continue"/>
            <w:vAlign w:val="center"/>
          </w:tcPr>
          <w:p w14:paraId="4B8C5843">
            <w:pPr>
              <w:jc w:val="center"/>
              <w:rPr>
                <w:color w:val="000000" w:themeColor="text1"/>
                <w14:textFill>
                  <w14:solidFill>
                    <w14:schemeClr w14:val="tx1"/>
                  </w14:solidFill>
                </w14:textFill>
              </w:rPr>
            </w:pPr>
          </w:p>
        </w:tc>
        <w:tc>
          <w:tcPr>
            <w:tcW w:w="290" w:type="pct"/>
            <w:vMerge w:val="continue"/>
            <w:vAlign w:val="center"/>
          </w:tcPr>
          <w:p w14:paraId="08D6A27D">
            <w:pPr>
              <w:jc w:val="center"/>
              <w:rPr>
                <w:color w:val="000000" w:themeColor="text1"/>
                <w14:textFill>
                  <w14:solidFill>
                    <w14:schemeClr w14:val="tx1"/>
                  </w14:solidFill>
                </w14:textFill>
              </w:rPr>
            </w:pPr>
          </w:p>
        </w:tc>
        <w:tc>
          <w:tcPr>
            <w:tcW w:w="1062" w:type="pct"/>
            <w:gridSpan w:val="2"/>
            <w:vMerge w:val="continue"/>
            <w:shd w:val="clear" w:color="auto" w:fill="auto"/>
            <w:vAlign w:val="center"/>
          </w:tcPr>
          <w:p w14:paraId="3BB84809">
            <w:pPr>
              <w:jc w:val="center"/>
              <w:rPr>
                <w:color w:val="000000" w:themeColor="text1"/>
                <w14:textFill>
                  <w14:solidFill>
                    <w14:schemeClr w14:val="tx1"/>
                  </w14:solidFill>
                </w14:textFill>
              </w:rPr>
            </w:pPr>
          </w:p>
        </w:tc>
        <w:tc>
          <w:tcPr>
            <w:tcW w:w="566" w:type="pct"/>
            <w:vMerge w:val="continue"/>
            <w:shd w:val="clear" w:color="auto" w:fill="auto"/>
            <w:vAlign w:val="center"/>
          </w:tcPr>
          <w:p w14:paraId="7B1FE989">
            <w:pPr>
              <w:jc w:val="center"/>
              <w:rPr>
                <w:color w:val="000000" w:themeColor="text1"/>
                <w14:textFill>
                  <w14:solidFill>
                    <w14:schemeClr w14:val="tx1"/>
                  </w14:solidFill>
                </w14:textFill>
              </w:rPr>
            </w:pPr>
          </w:p>
        </w:tc>
        <w:tc>
          <w:tcPr>
            <w:tcW w:w="1330" w:type="pct"/>
            <w:vMerge w:val="continue"/>
            <w:shd w:val="clear" w:color="auto" w:fill="auto"/>
            <w:vAlign w:val="center"/>
          </w:tcPr>
          <w:p w14:paraId="745B964B">
            <w:pPr>
              <w:jc w:val="center"/>
              <w:rPr>
                <w:color w:val="000000" w:themeColor="text1"/>
                <w14:textFill>
                  <w14:solidFill>
                    <w14:schemeClr w14:val="tx1"/>
                  </w14:solidFill>
                </w14:textFill>
              </w:rPr>
            </w:pPr>
          </w:p>
        </w:tc>
        <w:tc>
          <w:tcPr>
            <w:tcW w:w="1232" w:type="pct"/>
            <w:vAlign w:val="center"/>
          </w:tcPr>
          <w:p w14:paraId="4F5D55D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《河南省地方标准 锅炉大气污染物排放标准》（DB41/2089-2021）表1中新建燃气锅炉标准</w:t>
            </w:r>
          </w:p>
        </w:tc>
      </w:tr>
      <w:tr w14:paraId="5ABC5B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518" w:type="pct"/>
            <w:vMerge w:val="continue"/>
            <w:vAlign w:val="center"/>
          </w:tcPr>
          <w:p w14:paraId="3CC236BF">
            <w:pPr>
              <w:snapToGrid w:val="0"/>
              <w:jc w:val="center"/>
              <w:rPr>
                <w:color w:val="000000" w:themeColor="text1"/>
                <w:szCs w:val="21"/>
                <w14:textFill>
                  <w14:solidFill>
                    <w14:schemeClr w14:val="tx1"/>
                  </w14:solidFill>
                </w14:textFill>
              </w:rPr>
            </w:pPr>
          </w:p>
        </w:tc>
        <w:tc>
          <w:tcPr>
            <w:tcW w:w="290" w:type="pct"/>
            <w:vMerge w:val="continue"/>
            <w:vAlign w:val="center"/>
          </w:tcPr>
          <w:p w14:paraId="5722B320">
            <w:pPr>
              <w:autoSpaceDE w:val="0"/>
              <w:autoSpaceDN w:val="0"/>
              <w:adjustRightInd w:val="0"/>
              <w:snapToGrid w:val="0"/>
              <w:jc w:val="center"/>
              <w:rPr>
                <w:color w:val="000000" w:themeColor="text1"/>
                <w:kern w:val="0"/>
                <w:szCs w:val="21"/>
                <w14:textFill>
                  <w14:solidFill>
                    <w14:schemeClr w14:val="tx1"/>
                  </w14:solidFill>
                </w14:textFill>
              </w:rPr>
            </w:pPr>
          </w:p>
        </w:tc>
        <w:tc>
          <w:tcPr>
            <w:tcW w:w="1062" w:type="pct"/>
            <w:gridSpan w:val="2"/>
            <w:vMerge w:val="restart"/>
            <w:shd w:val="clear" w:color="auto" w:fill="auto"/>
            <w:vAlign w:val="center"/>
          </w:tcPr>
          <w:p w14:paraId="4C717AB3">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治疗凝胶生产线乳化工序废气</w:t>
            </w:r>
          </w:p>
        </w:tc>
        <w:tc>
          <w:tcPr>
            <w:tcW w:w="566" w:type="pct"/>
            <w:vMerge w:val="restart"/>
            <w:shd w:val="clear" w:color="auto" w:fill="auto"/>
            <w:vAlign w:val="center"/>
          </w:tcPr>
          <w:p w14:paraId="04145284">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1330" w:type="pct"/>
            <w:vMerge w:val="restart"/>
            <w:shd w:val="clear" w:color="auto" w:fill="auto"/>
            <w:vAlign w:val="center"/>
          </w:tcPr>
          <w:p w14:paraId="0C1723C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w:t>
            </w: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套</w:t>
            </w:r>
            <w:r>
              <w:rPr>
                <w:rFonts w:hint="eastAsia"/>
                <w:color w:val="000000" w:themeColor="text1"/>
                <w:szCs w:val="21"/>
                <w14:textFill>
                  <w14:solidFill>
                    <w14:schemeClr w14:val="tx1"/>
                  </w14:solidFill>
                </w14:textFill>
              </w:rPr>
              <w:t>“二级</w:t>
            </w:r>
            <w:r>
              <w:rPr>
                <w:color w:val="000000" w:themeColor="text1"/>
                <w:szCs w:val="21"/>
                <w14:textFill>
                  <w14:solidFill>
                    <w14:schemeClr w14:val="tx1"/>
                  </w14:solidFill>
                </w14:textFill>
              </w:rPr>
              <w:t>活性炭吸附</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（TA00</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）设施</w:t>
            </w:r>
            <w:r>
              <w:rPr>
                <w:rFonts w:hint="eastAsia"/>
                <w:color w:val="000000" w:themeColor="text1"/>
                <w:szCs w:val="21"/>
                <w14:textFill>
                  <w14:solidFill>
                    <w14:schemeClr w14:val="tx1"/>
                  </w14:solidFill>
                </w14:textFill>
              </w:rPr>
              <w:t>处理</w:t>
            </w:r>
            <w:r>
              <w:rPr>
                <w:color w:val="000000" w:themeColor="text1"/>
                <w:szCs w:val="21"/>
                <w14:textFill>
                  <w14:solidFill>
                    <w14:schemeClr w14:val="tx1"/>
                  </w14:solidFill>
                </w14:textFill>
              </w:rPr>
              <w:t>后通过</w:t>
            </w:r>
            <w:r>
              <w:rPr>
                <w:rFonts w:hint="eastAsia"/>
                <w:color w:val="000000" w:themeColor="text1"/>
                <w:szCs w:val="21"/>
                <w14:textFill>
                  <w14:solidFill>
                    <w14:schemeClr w14:val="tx1"/>
                  </w14:solidFill>
                </w14:textFill>
              </w:rPr>
              <w:t>1根15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5</w:t>
            </w:r>
            <w:r>
              <w:rPr>
                <w:color w:val="000000" w:themeColor="text1"/>
                <w:szCs w:val="21"/>
                <w14:textFill>
                  <w14:solidFill>
                    <w14:schemeClr w14:val="tx1"/>
                  </w14:solidFill>
                </w14:textFill>
              </w:rPr>
              <w:t>排放</w:t>
            </w:r>
          </w:p>
        </w:tc>
        <w:tc>
          <w:tcPr>
            <w:tcW w:w="1232" w:type="pct"/>
            <w:vAlign w:val="center"/>
          </w:tcPr>
          <w:p w14:paraId="187B99E7">
            <w:pPr>
              <w:jc w:val="center"/>
              <w:rPr>
                <w:color w:val="000000" w:themeColor="text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r>
      <w:tr w14:paraId="1748F5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518" w:type="pct"/>
            <w:vMerge w:val="continue"/>
            <w:vAlign w:val="center"/>
          </w:tcPr>
          <w:p w14:paraId="6508D499">
            <w:pPr>
              <w:jc w:val="center"/>
              <w:rPr>
                <w:color w:val="000000" w:themeColor="text1"/>
                <w14:textFill>
                  <w14:solidFill>
                    <w14:schemeClr w14:val="tx1"/>
                  </w14:solidFill>
                </w14:textFill>
              </w:rPr>
            </w:pPr>
          </w:p>
        </w:tc>
        <w:tc>
          <w:tcPr>
            <w:tcW w:w="290" w:type="pct"/>
            <w:vMerge w:val="continue"/>
            <w:vAlign w:val="center"/>
          </w:tcPr>
          <w:p w14:paraId="4935DC0E">
            <w:pPr>
              <w:jc w:val="center"/>
              <w:rPr>
                <w:color w:val="000000" w:themeColor="text1"/>
                <w14:textFill>
                  <w14:solidFill>
                    <w14:schemeClr w14:val="tx1"/>
                  </w14:solidFill>
                </w14:textFill>
              </w:rPr>
            </w:pPr>
          </w:p>
        </w:tc>
        <w:tc>
          <w:tcPr>
            <w:tcW w:w="1062" w:type="pct"/>
            <w:gridSpan w:val="2"/>
            <w:vMerge w:val="continue"/>
            <w:shd w:val="clear" w:color="auto" w:fill="auto"/>
            <w:vAlign w:val="center"/>
          </w:tcPr>
          <w:p w14:paraId="0E091007">
            <w:pPr>
              <w:jc w:val="center"/>
              <w:rPr>
                <w:color w:val="000000" w:themeColor="text1"/>
                <w14:textFill>
                  <w14:solidFill>
                    <w14:schemeClr w14:val="tx1"/>
                  </w14:solidFill>
                </w14:textFill>
              </w:rPr>
            </w:pPr>
          </w:p>
        </w:tc>
        <w:tc>
          <w:tcPr>
            <w:tcW w:w="566" w:type="pct"/>
            <w:vMerge w:val="continue"/>
            <w:shd w:val="clear" w:color="auto" w:fill="auto"/>
            <w:vAlign w:val="center"/>
          </w:tcPr>
          <w:p w14:paraId="6C92EB97">
            <w:pPr>
              <w:jc w:val="center"/>
              <w:rPr>
                <w:color w:val="000000" w:themeColor="text1"/>
                <w14:textFill>
                  <w14:solidFill>
                    <w14:schemeClr w14:val="tx1"/>
                  </w14:solidFill>
                </w14:textFill>
              </w:rPr>
            </w:pPr>
          </w:p>
        </w:tc>
        <w:tc>
          <w:tcPr>
            <w:tcW w:w="1330" w:type="pct"/>
            <w:vMerge w:val="continue"/>
            <w:shd w:val="clear" w:color="auto" w:fill="auto"/>
            <w:vAlign w:val="center"/>
          </w:tcPr>
          <w:p w14:paraId="1FA299E2">
            <w:pPr>
              <w:jc w:val="center"/>
              <w:rPr>
                <w:color w:val="000000" w:themeColor="text1"/>
                <w14:textFill>
                  <w14:solidFill>
                    <w14:schemeClr w14:val="tx1"/>
                  </w14:solidFill>
                </w14:textFill>
              </w:rPr>
            </w:pPr>
          </w:p>
        </w:tc>
        <w:tc>
          <w:tcPr>
            <w:tcW w:w="1232" w:type="pct"/>
            <w:vAlign w:val="center"/>
          </w:tcPr>
          <w:p w14:paraId="0822467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w:t>
            </w:r>
            <w:r>
              <w:rPr>
                <w:bCs/>
                <w:color w:val="000000" w:themeColor="text1"/>
                <w:kern w:val="0"/>
                <w:szCs w:val="21"/>
                <w14:textFill>
                  <w14:solidFill>
                    <w14:schemeClr w14:val="tx1"/>
                  </w14:solidFill>
                </w14:textFill>
              </w:rPr>
              <w:t>VOC</w:t>
            </w:r>
            <w:r>
              <w:rPr>
                <w:rFonts w:hint="eastAsia"/>
                <w:bCs/>
                <w:color w:val="000000" w:themeColor="text1"/>
                <w:kern w:val="0"/>
                <w:szCs w:val="21"/>
                <w14:textFill>
                  <w14:solidFill>
                    <w14:schemeClr w14:val="tx1"/>
                  </w14:solidFill>
                </w14:textFill>
              </w:rPr>
              <w:t>s</w:t>
            </w:r>
            <w:r>
              <w:rPr>
                <w:color w:val="000000" w:themeColor="text1"/>
                <w:szCs w:val="21"/>
                <w14:textFill>
                  <w14:solidFill>
                    <w14:schemeClr w14:val="tx1"/>
                  </w14:solidFill>
                </w14:textFill>
              </w:rPr>
              <w:t>排放限值</w:t>
            </w:r>
          </w:p>
        </w:tc>
      </w:tr>
      <w:tr w14:paraId="49999C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518" w:type="pct"/>
            <w:vMerge w:val="continue"/>
            <w:vAlign w:val="center"/>
          </w:tcPr>
          <w:p w14:paraId="69AD6EF4">
            <w:pPr>
              <w:jc w:val="center"/>
              <w:rPr>
                <w:color w:val="000000" w:themeColor="text1"/>
                <w:szCs w:val="21"/>
                <w14:textFill>
                  <w14:solidFill>
                    <w14:schemeClr w14:val="tx1"/>
                  </w14:solidFill>
                </w14:textFill>
              </w:rPr>
            </w:pPr>
          </w:p>
        </w:tc>
        <w:tc>
          <w:tcPr>
            <w:tcW w:w="290" w:type="pct"/>
            <w:vMerge w:val="continue"/>
            <w:vAlign w:val="center"/>
          </w:tcPr>
          <w:p w14:paraId="66FBE346">
            <w:pPr>
              <w:jc w:val="center"/>
              <w:rPr>
                <w:color w:val="000000" w:themeColor="text1"/>
                <w:szCs w:val="21"/>
                <w14:textFill>
                  <w14:solidFill>
                    <w14:schemeClr w14:val="tx1"/>
                  </w14:solidFill>
                </w14:textFill>
              </w:rPr>
            </w:pPr>
          </w:p>
        </w:tc>
        <w:tc>
          <w:tcPr>
            <w:tcW w:w="1062" w:type="pct"/>
            <w:gridSpan w:val="2"/>
            <w:vMerge w:val="continue"/>
            <w:shd w:val="clear" w:color="auto" w:fill="auto"/>
            <w:vAlign w:val="center"/>
          </w:tcPr>
          <w:p w14:paraId="07A37CF6">
            <w:pPr>
              <w:jc w:val="center"/>
              <w:rPr>
                <w:color w:val="000000" w:themeColor="text1"/>
                <w:szCs w:val="21"/>
                <w14:textFill>
                  <w14:solidFill>
                    <w14:schemeClr w14:val="tx1"/>
                  </w14:solidFill>
                </w14:textFill>
              </w:rPr>
            </w:pPr>
          </w:p>
        </w:tc>
        <w:tc>
          <w:tcPr>
            <w:tcW w:w="566" w:type="pct"/>
            <w:vMerge w:val="continue"/>
            <w:shd w:val="clear" w:color="auto" w:fill="auto"/>
            <w:vAlign w:val="center"/>
          </w:tcPr>
          <w:p w14:paraId="063C7B47">
            <w:pPr>
              <w:jc w:val="center"/>
              <w:rPr>
                <w:color w:val="000000" w:themeColor="text1"/>
                <w:szCs w:val="21"/>
                <w14:textFill>
                  <w14:solidFill>
                    <w14:schemeClr w14:val="tx1"/>
                  </w14:solidFill>
                </w14:textFill>
              </w:rPr>
            </w:pPr>
          </w:p>
        </w:tc>
        <w:tc>
          <w:tcPr>
            <w:tcW w:w="1330" w:type="pct"/>
            <w:vMerge w:val="continue"/>
            <w:shd w:val="clear" w:color="auto" w:fill="auto"/>
            <w:vAlign w:val="center"/>
          </w:tcPr>
          <w:p w14:paraId="59F9E514">
            <w:pPr>
              <w:jc w:val="center"/>
              <w:rPr>
                <w:color w:val="000000" w:themeColor="text1"/>
                <w:szCs w:val="21"/>
                <w14:textFill>
                  <w14:solidFill>
                    <w14:schemeClr w14:val="tx1"/>
                  </w14:solidFill>
                </w14:textFill>
              </w:rPr>
            </w:pPr>
          </w:p>
        </w:tc>
        <w:tc>
          <w:tcPr>
            <w:tcW w:w="1232" w:type="pct"/>
            <w:vAlign w:val="center"/>
          </w:tcPr>
          <w:p w14:paraId="35DC2A5E">
            <w:pPr>
              <w:jc w:val="center"/>
              <w:rPr>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《关</w:t>
            </w:r>
            <w:r>
              <w:rPr>
                <w:color w:val="000000" w:themeColor="text1"/>
                <w:szCs w:val="21"/>
                <w14:textFill>
                  <w14:solidFill>
                    <w14:schemeClr w14:val="tx1"/>
                  </w14:solidFill>
                </w14:textFill>
              </w:rPr>
              <w:t>于全省开展工业企业挥发性有机物专项治理工作中排放建议值的通知》（豫环攻坚办[2017]162号）</w:t>
            </w:r>
            <w:r>
              <w:rPr>
                <w:rFonts w:hint="eastAsia"/>
                <w:color w:val="000000" w:themeColor="text1"/>
                <w:szCs w:val="21"/>
                <w14:textFill>
                  <w14:solidFill>
                    <w14:schemeClr w14:val="tx1"/>
                  </w14:solidFill>
                </w14:textFill>
              </w:rPr>
              <w:t>中“其他行业”</w:t>
            </w:r>
          </w:p>
        </w:tc>
      </w:tr>
      <w:tr w14:paraId="4CD899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518" w:type="pct"/>
            <w:vMerge w:val="continue"/>
            <w:vAlign w:val="center"/>
          </w:tcPr>
          <w:p w14:paraId="0271CCA8">
            <w:pPr>
              <w:snapToGrid w:val="0"/>
              <w:jc w:val="center"/>
              <w:rPr>
                <w:color w:val="000000" w:themeColor="text1"/>
                <w:szCs w:val="21"/>
                <w14:textFill>
                  <w14:solidFill>
                    <w14:schemeClr w14:val="tx1"/>
                  </w14:solidFill>
                </w14:textFill>
              </w:rPr>
            </w:pPr>
          </w:p>
        </w:tc>
        <w:tc>
          <w:tcPr>
            <w:tcW w:w="290" w:type="pct"/>
            <w:vMerge w:val="continue"/>
            <w:vAlign w:val="center"/>
          </w:tcPr>
          <w:p w14:paraId="2F8616AF">
            <w:pPr>
              <w:autoSpaceDE w:val="0"/>
              <w:autoSpaceDN w:val="0"/>
              <w:adjustRightInd w:val="0"/>
              <w:snapToGrid w:val="0"/>
              <w:jc w:val="center"/>
              <w:rPr>
                <w:color w:val="000000" w:themeColor="text1"/>
                <w:kern w:val="0"/>
                <w:szCs w:val="21"/>
                <w14:textFill>
                  <w14:solidFill>
                    <w14:schemeClr w14:val="tx1"/>
                  </w14:solidFill>
                </w14:textFill>
              </w:rPr>
            </w:pPr>
          </w:p>
        </w:tc>
        <w:tc>
          <w:tcPr>
            <w:tcW w:w="1062" w:type="pct"/>
            <w:gridSpan w:val="2"/>
            <w:vMerge w:val="restart"/>
            <w:shd w:val="clear" w:color="auto" w:fill="auto"/>
            <w:vAlign w:val="center"/>
          </w:tcPr>
          <w:p w14:paraId="74DA25EC">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热敷理疗产品上料粉尘</w:t>
            </w:r>
          </w:p>
        </w:tc>
        <w:tc>
          <w:tcPr>
            <w:tcW w:w="566" w:type="pct"/>
            <w:vMerge w:val="restart"/>
            <w:shd w:val="clear" w:color="auto" w:fill="auto"/>
            <w:vAlign w:val="center"/>
          </w:tcPr>
          <w:p w14:paraId="27987058">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颗粒物</w:t>
            </w:r>
          </w:p>
        </w:tc>
        <w:tc>
          <w:tcPr>
            <w:tcW w:w="1330" w:type="pct"/>
            <w:vMerge w:val="restart"/>
            <w:shd w:val="clear" w:color="auto" w:fill="auto"/>
            <w:vAlign w:val="center"/>
          </w:tcPr>
          <w:p w14:paraId="315459DD">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经1套</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覆膜袋式除尘器</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（TA00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处理后通过</w:t>
            </w:r>
            <w:r>
              <w:rPr>
                <w:color w:val="000000" w:themeColor="text1"/>
                <w:szCs w:val="21"/>
                <w14:textFill>
                  <w14:solidFill>
                    <w14:schemeClr w14:val="tx1"/>
                  </w14:solidFill>
                </w14:textFill>
              </w:rPr>
              <w:t>1根</w:t>
            </w:r>
            <w:r>
              <w:rPr>
                <w:rFonts w:hint="eastAsia"/>
                <w:color w:val="000000" w:themeColor="text1"/>
                <w:szCs w:val="21"/>
                <w14:textFill>
                  <w14:solidFill>
                    <w14:schemeClr w14:val="tx1"/>
                  </w14:solidFill>
                </w14:textFill>
              </w:rPr>
              <w:t>15</w:t>
            </w:r>
            <w:r>
              <w:rPr>
                <w:color w:val="000000" w:themeColor="text1"/>
                <w:szCs w:val="21"/>
                <w14:textFill>
                  <w14:solidFill>
                    <w14:schemeClr w14:val="tx1"/>
                  </w14:solidFill>
                </w14:textFill>
              </w:rPr>
              <w:t>m高排气筒DA00</w:t>
            </w:r>
            <w:r>
              <w:rPr>
                <w:rFonts w:hint="eastAsia"/>
                <w:color w:val="000000" w:themeColor="text1"/>
                <w:szCs w:val="21"/>
                <w14:textFill>
                  <w14:solidFill>
                    <w14:schemeClr w14:val="tx1"/>
                  </w14:solidFill>
                </w14:textFill>
              </w:rPr>
              <w:t>6</w:t>
            </w:r>
            <w:r>
              <w:rPr>
                <w:color w:val="000000" w:themeColor="text1"/>
                <w:szCs w:val="21"/>
                <w14:textFill>
                  <w14:solidFill>
                    <w14:schemeClr w14:val="tx1"/>
                  </w14:solidFill>
                </w14:textFill>
              </w:rPr>
              <w:t>排放</w:t>
            </w:r>
          </w:p>
        </w:tc>
        <w:tc>
          <w:tcPr>
            <w:tcW w:w="1232" w:type="pct"/>
            <w:vAlign w:val="center"/>
          </w:tcPr>
          <w:p w14:paraId="43EE5E4A">
            <w:pPr>
              <w:jc w:val="center"/>
              <w:rPr>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《大气污染物综合排放标准》（GB16297-1996）表2中二级标准</w:t>
            </w:r>
          </w:p>
        </w:tc>
      </w:tr>
      <w:tr w14:paraId="31DFCB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1" w:hRule="atLeast"/>
          <w:jc w:val="center"/>
        </w:trPr>
        <w:tc>
          <w:tcPr>
            <w:tcW w:w="518" w:type="pct"/>
            <w:vMerge w:val="continue"/>
            <w:vAlign w:val="center"/>
          </w:tcPr>
          <w:p w14:paraId="567A3F8A">
            <w:pPr>
              <w:jc w:val="center"/>
              <w:rPr>
                <w:color w:val="000000" w:themeColor="text1"/>
                <w14:textFill>
                  <w14:solidFill>
                    <w14:schemeClr w14:val="tx1"/>
                  </w14:solidFill>
                </w14:textFill>
              </w:rPr>
            </w:pPr>
          </w:p>
        </w:tc>
        <w:tc>
          <w:tcPr>
            <w:tcW w:w="290" w:type="pct"/>
            <w:vMerge w:val="continue"/>
            <w:vAlign w:val="center"/>
          </w:tcPr>
          <w:p w14:paraId="77D90464">
            <w:pPr>
              <w:jc w:val="center"/>
              <w:rPr>
                <w:color w:val="000000" w:themeColor="text1"/>
                <w14:textFill>
                  <w14:solidFill>
                    <w14:schemeClr w14:val="tx1"/>
                  </w14:solidFill>
                </w14:textFill>
              </w:rPr>
            </w:pPr>
          </w:p>
        </w:tc>
        <w:tc>
          <w:tcPr>
            <w:tcW w:w="1062" w:type="pct"/>
            <w:gridSpan w:val="2"/>
            <w:vMerge w:val="continue"/>
            <w:shd w:val="clear" w:color="auto" w:fill="auto"/>
            <w:vAlign w:val="center"/>
          </w:tcPr>
          <w:p w14:paraId="73A12DBE">
            <w:pPr>
              <w:jc w:val="center"/>
              <w:rPr>
                <w:color w:val="000000" w:themeColor="text1"/>
                <w14:textFill>
                  <w14:solidFill>
                    <w14:schemeClr w14:val="tx1"/>
                  </w14:solidFill>
                </w14:textFill>
              </w:rPr>
            </w:pPr>
          </w:p>
        </w:tc>
        <w:tc>
          <w:tcPr>
            <w:tcW w:w="566" w:type="pct"/>
            <w:vMerge w:val="continue"/>
            <w:shd w:val="clear" w:color="auto" w:fill="auto"/>
            <w:vAlign w:val="center"/>
          </w:tcPr>
          <w:p w14:paraId="43BAE7B9">
            <w:pPr>
              <w:jc w:val="center"/>
              <w:rPr>
                <w:color w:val="000000" w:themeColor="text1"/>
                <w14:textFill>
                  <w14:solidFill>
                    <w14:schemeClr w14:val="tx1"/>
                  </w14:solidFill>
                </w14:textFill>
              </w:rPr>
            </w:pPr>
          </w:p>
        </w:tc>
        <w:tc>
          <w:tcPr>
            <w:tcW w:w="1330" w:type="pct"/>
            <w:vMerge w:val="continue"/>
            <w:shd w:val="clear" w:color="auto" w:fill="auto"/>
            <w:vAlign w:val="center"/>
          </w:tcPr>
          <w:p w14:paraId="38B741F4">
            <w:pPr>
              <w:jc w:val="center"/>
              <w:rPr>
                <w:color w:val="000000" w:themeColor="text1"/>
                <w14:textFill>
                  <w14:solidFill>
                    <w14:schemeClr w14:val="tx1"/>
                  </w14:solidFill>
                </w14:textFill>
              </w:rPr>
            </w:pPr>
          </w:p>
        </w:tc>
        <w:tc>
          <w:tcPr>
            <w:tcW w:w="1232" w:type="pct"/>
            <w:vAlign w:val="center"/>
          </w:tcPr>
          <w:p w14:paraId="13F1C6E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《河南省重污染天气通用行业应急减排措施制定技术指南》（202</w:t>
            </w:r>
            <w:r>
              <w:rPr>
                <w:rFonts w:hint="eastAsia"/>
                <w:color w:val="000000" w:themeColor="text1"/>
                <w:szCs w:val="21"/>
                <w14:textFill>
                  <w14:solidFill>
                    <w14:schemeClr w14:val="tx1"/>
                  </w14:solidFill>
                </w14:textFill>
              </w:rPr>
              <w:t>4</w:t>
            </w:r>
            <w:r>
              <w:rPr>
                <w:color w:val="000000" w:themeColor="text1"/>
                <w:szCs w:val="21"/>
                <w14:textFill>
                  <w14:solidFill>
                    <w14:schemeClr w14:val="tx1"/>
                  </w14:solidFill>
                </w14:textFill>
              </w:rPr>
              <w:t>年修订版）附录2中其他工序PM排放限值</w:t>
            </w:r>
          </w:p>
        </w:tc>
      </w:tr>
      <w:tr w14:paraId="68A9A3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vAlign w:val="center"/>
          </w:tcPr>
          <w:p w14:paraId="547CB3B8">
            <w:pPr>
              <w:snapToGrid w:val="0"/>
              <w:jc w:val="center"/>
              <w:rPr>
                <w:color w:val="000000" w:themeColor="text1"/>
                <w:szCs w:val="21"/>
                <w14:textFill>
                  <w14:solidFill>
                    <w14:schemeClr w14:val="tx1"/>
                  </w14:solidFill>
                </w14:textFill>
              </w:rPr>
            </w:pPr>
          </w:p>
        </w:tc>
        <w:tc>
          <w:tcPr>
            <w:tcW w:w="290" w:type="pct"/>
            <w:vMerge w:val="continue"/>
            <w:vAlign w:val="center"/>
          </w:tcPr>
          <w:p w14:paraId="13B4D4A0">
            <w:pPr>
              <w:autoSpaceDE w:val="0"/>
              <w:autoSpaceDN w:val="0"/>
              <w:adjustRightInd w:val="0"/>
              <w:snapToGrid w:val="0"/>
              <w:jc w:val="center"/>
              <w:rPr>
                <w:color w:val="000000" w:themeColor="text1"/>
                <w:kern w:val="0"/>
                <w:szCs w:val="21"/>
                <w14:textFill>
                  <w14:solidFill>
                    <w14:schemeClr w14:val="tx1"/>
                  </w14:solidFill>
                </w14:textFill>
              </w:rPr>
            </w:pPr>
          </w:p>
        </w:tc>
        <w:tc>
          <w:tcPr>
            <w:tcW w:w="1062" w:type="pct"/>
            <w:gridSpan w:val="2"/>
            <w:shd w:val="clear" w:color="auto" w:fill="auto"/>
            <w:vAlign w:val="center"/>
          </w:tcPr>
          <w:p w14:paraId="0D59458B">
            <w:pPr>
              <w:snapToGrid w:val="0"/>
              <w:jc w:val="center"/>
              <w:rPr>
                <w:color w:val="000000" w:themeColor="text1"/>
                <w:szCs w:val="21"/>
                <w14:textFill>
                  <w14:solidFill>
                    <w14:schemeClr w14:val="tx1"/>
                  </w14:solidFill>
                </w14:textFill>
              </w:rPr>
            </w:pPr>
            <w:r>
              <w:rPr>
                <w:color w:val="000000" w:themeColor="text1"/>
                <w:kern w:val="52"/>
                <w14:textFill>
                  <w14:solidFill>
                    <w14:schemeClr w14:val="tx1"/>
                  </w14:solidFill>
                </w14:textFill>
              </w:rPr>
              <w:t>污水处理站</w:t>
            </w:r>
            <w:r>
              <w:rPr>
                <w:rFonts w:hint="eastAsia"/>
                <w:color w:val="000000" w:themeColor="text1"/>
                <w:kern w:val="52"/>
                <w14:textFill>
                  <w14:solidFill>
                    <w14:schemeClr w14:val="tx1"/>
                  </w14:solidFill>
                </w14:textFill>
              </w:rPr>
              <w:t>及酒糟暂存恶臭气体</w:t>
            </w:r>
          </w:p>
        </w:tc>
        <w:tc>
          <w:tcPr>
            <w:tcW w:w="566" w:type="pct"/>
            <w:shd w:val="clear" w:color="auto" w:fill="auto"/>
            <w:vAlign w:val="center"/>
          </w:tcPr>
          <w:p w14:paraId="35635353">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臭气浓度、NH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w:t>
            </w:r>
          </w:p>
        </w:tc>
        <w:tc>
          <w:tcPr>
            <w:tcW w:w="1330" w:type="pct"/>
            <w:shd w:val="clear" w:color="auto" w:fill="auto"/>
            <w:vAlign w:val="center"/>
          </w:tcPr>
          <w:p w14:paraId="1D403DCB">
            <w:pPr>
              <w:snapToGrid w:val="0"/>
              <w:jc w:val="center"/>
              <w:rPr>
                <w:color w:val="000000" w:themeColor="text1"/>
                <w:szCs w:val="21"/>
                <w14:textFill>
                  <w14:solidFill>
                    <w14:schemeClr w14:val="tx1"/>
                  </w14:solidFill>
                </w14:textFill>
              </w:rPr>
            </w:pPr>
            <w:r>
              <w:rPr>
                <w:color w:val="000000" w:themeColor="text1"/>
                <w:kern w:val="52"/>
                <w14:textFill>
                  <w14:solidFill>
                    <w14:schemeClr w14:val="tx1"/>
                  </w14:solidFill>
                </w14:textFill>
              </w:rPr>
              <w:t>污水处理站</w:t>
            </w:r>
            <w:r>
              <w:rPr>
                <w:rFonts w:hint="eastAsia"/>
                <w:color w:val="000000" w:themeColor="text1"/>
                <w:kern w:val="52"/>
                <w14:textFill>
                  <w14:solidFill>
                    <w14:schemeClr w14:val="tx1"/>
                  </w14:solidFill>
                </w14:textFill>
              </w:rPr>
              <w:t>及酒糟暂存恶臭气体</w:t>
            </w:r>
          </w:p>
        </w:tc>
        <w:tc>
          <w:tcPr>
            <w:tcW w:w="1232" w:type="pct"/>
            <w:vAlign w:val="center"/>
          </w:tcPr>
          <w:p w14:paraId="713E1D4F">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w:t>
            </w:r>
            <w:r>
              <w:rPr>
                <w:color w:val="000000" w:themeColor="text1"/>
                <w:szCs w:val="21"/>
                <w14:textFill>
                  <w14:solidFill>
                    <w14:schemeClr w14:val="tx1"/>
                  </w14:solidFill>
                </w14:textFill>
              </w:rPr>
              <w:t>恶臭污染物排放标准》（GB 14554-93）中</w:t>
            </w:r>
            <w:r>
              <w:rPr>
                <w:rFonts w:hint="eastAsia"/>
                <w:color w:val="000000" w:themeColor="text1"/>
                <w:szCs w:val="21"/>
                <w14:textFill>
                  <w14:solidFill>
                    <w14:schemeClr w14:val="tx1"/>
                  </w14:solidFill>
                </w14:textFill>
              </w:rPr>
              <w:t>表2</w:t>
            </w:r>
            <w:r>
              <w:rPr>
                <w:color w:val="000000" w:themeColor="text1"/>
                <w:szCs w:val="21"/>
                <w14:textFill>
                  <w14:solidFill>
                    <w14:schemeClr w14:val="tx1"/>
                  </w14:solidFill>
                </w14:textFill>
              </w:rPr>
              <w:t>标准</w:t>
            </w:r>
          </w:p>
        </w:tc>
      </w:tr>
      <w:tr w14:paraId="0C9BAA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vAlign w:val="center"/>
          </w:tcPr>
          <w:p w14:paraId="3B0FB001">
            <w:pPr>
              <w:snapToGrid w:val="0"/>
              <w:jc w:val="center"/>
              <w:rPr>
                <w:color w:val="000000" w:themeColor="text1"/>
                <w:szCs w:val="21"/>
                <w14:textFill>
                  <w14:solidFill>
                    <w14:schemeClr w14:val="tx1"/>
                  </w14:solidFill>
                </w14:textFill>
              </w:rPr>
            </w:pPr>
          </w:p>
        </w:tc>
        <w:tc>
          <w:tcPr>
            <w:tcW w:w="290" w:type="pct"/>
            <w:vMerge w:val="restart"/>
            <w:vAlign w:val="center"/>
          </w:tcPr>
          <w:p w14:paraId="05A107E2">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无组织</w:t>
            </w:r>
          </w:p>
        </w:tc>
        <w:tc>
          <w:tcPr>
            <w:tcW w:w="242" w:type="pct"/>
            <w:vMerge w:val="restart"/>
            <w:shd w:val="clear" w:color="auto" w:fill="auto"/>
            <w:vAlign w:val="center"/>
          </w:tcPr>
          <w:p w14:paraId="1DEC4B04">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综合车间</w:t>
            </w:r>
          </w:p>
        </w:tc>
        <w:tc>
          <w:tcPr>
            <w:tcW w:w="820" w:type="pct"/>
            <w:shd w:val="clear" w:color="auto" w:fill="auto"/>
            <w:vAlign w:val="center"/>
          </w:tcPr>
          <w:p w14:paraId="312A9465">
            <w:pPr>
              <w:jc w:val="center"/>
              <w:outlineLvl w:val="9"/>
              <w:rPr>
                <w:color w:val="000000" w:themeColor="text1"/>
                <w:szCs w:val="21"/>
                <w14:textFill>
                  <w14:solidFill>
                    <w14:schemeClr w14:val="tx1"/>
                  </w14:solidFill>
                </w14:textFill>
              </w:rPr>
            </w:pPr>
            <w:bookmarkStart w:id="207" w:name="_Toc25604"/>
            <w:r>
              <w:rPr>
                <w:rFonts w:hint="eastAsia"/>
                <w:color w:val="000000" w:themeColor="text1"/>
                <w:szCs w:val="21"/>
                <w14:textFill>
                  <w14:solidFill>
                    <w14:schemeClr w14:val="tx1"/>
                  </w14:solidFill>
                </w14:textFill>
              </w:rPr>
              <w:t>白酒、啤酒生产线辅料投料粉尘</w:t>
            </w:r>
            <w:bookmarkEnd w:id="207"/>
          </w:p>
        </w:tc>
        <w:tc>
          <w:tcPr>
            <w:tcW w:w="566" w:type="pct"/>
            <w:shd w:val="clear" w:color="auto" w:fill="auto"/>
            <w:vAlign w:val="center"/>
          </w:tcPr>
          <w:p w14:paraId="0392D792">
            <w:pPr>
              <w:jc w:val="center"/>
              <w:outlineLvl w:val="9"/>
              <w:rPr>
                <w:color w:val="000000" w:themeColor="text1"/>
                <w:szCs w:val="21"/>
                <w14:textFill>
                  <w14:solidFill>
                    <w14:schemeClr w14:val="tx1"/>
                  </w14:solidFill>
                </w14:textFill>
              </w:rPr>
            </w:pPr>
            <w:bookmarkStart w:id="208" w:name="_Toc28871"/>
            <w:r>
              <w:rPr>
                <w:rFonts w:hint="eastAsia"/>
                <w:color w:val="000000" w:themeColor="text1"/>
                <w:szCs w:val="21"/>
                <w14:textFill>
                  <w14:solidFill>
                    <w14:schemeClr w14:val="tx1"/>
                  </w14:solidFill>
                </w14:textFill>
              </w:rPr>
              <w:t>颗粒物</w:t>
            </w:r>
            <w:bookmarkEnd w:id="208"/>
          </w:p>
        </w:tc>
        <w:tc>
          <w:tcPr>
            <w:tcW w:w="1330" w:type="pct"/>
            <w:vMerge w:val="restart"/>
            <w:shd w:val="clear" w:color="auto" w:fill="auto"/>
            <w:vAlign w:val="center"/>
          </w:tcPr>
          <w:p w14:paraId="2BC41439">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车间密闭，定期对废气环保设备维护，保证废气收集效率</w:t>
            </w:r>
          </w:p>
        </w:tc>
        <w:tc>
          <w:tcPr>
            <w:tcW w:w="1232" w:type="pct"/>
            <w:vAlign w:val="center"/>
          </w:tcPr>
          <w:p w14:paraId="6195A105">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r>
      <w:tr w14:paraId="26A4A60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vAlign w:val="center"/>
          </w:tcPr>
          <w:p w14:paraId="04141E7E">
            <w:pPr>
              <w:snapToGrid w:val="0"/>
              <w:jc w:val="center"/>
              <w:rPr>
                <w:color w:val="000000" w:themeColor="text1"/>
                <w:szCs w:val="21"/>
                <w14:textFill>
                  <w14:solidFill>
                    <w14:schemeClr w14:val="tx1"/>
                  </w14:solidFill>
                </w14:textFill>
              </w:rPr>
            </w:pPr>
          </w:p>
        </w:tc>
        <w:tc>
          <w:tcPr>
            <w:tcW w:w="290" w:type="pct"/>
            <w:vMerge w:val="continue"/>
            <w:vAlign w:val="center"/>
          </w:tcPr>
          <w:p w14:paraId="45E029C0">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vMerge w:val="continue"/>
            <w:shd w:val="clear" w:color="auto" w:fill="auto"/>
            <w:vAlign w:val="center"/>
          </w:tcPr>
          <w:p w14:paraId="02292F26">
            <w:pPr>
              <w:snapToGrid w:val="0"/>
              <w:jc w:val="center"/>
              <w:rPr>
                <w:color w:val="000000" w:themeColor="text1"/>
                <w:szCs w:val="21"/>
                <w14:textFill>
                  <w14:solidFill>
                    <w14:schemeClr w14:val="tx1"/>
                  </w14:solidFill>
                </w14:textFill>
              </w:rPr>
            </w:pPr>
          </w:p>
        </w:tc>
        <w:tc>
          <w:tcPr>
            <w:tcW w:w="820" w:type="pct"/>
            <w:shd w:val="clear" w:color="auto" w:fill="auto"/>
            <w:vAlign w:val="center"/>
          </w:tcPr>
          <w:p w14:paraId="66F16C7A">
            <w:pPr>
              <w:jc w:val="center"/>
              <w:outlineLvl w:val="9"/>
              <w:rPr>
                <w:color w:val="000000" w:themeColor="text1"/>
                <w:szCs w:val="21"/>
                <w14:textFill>
                  <w14:solidFill>
                    <w14:schemeClr w14:val="tx1"/>
                  </w14:solidFill>
                </w14:textFill>
              </w:rPr>
            </w:pPr>
            <w:bookmarkStart w:id="209" w:name="_Toc28541"/>
            <w:r>
              <w:rPr>
                <w:rFonts w:hint="eastAsia"/>
                <w:color w:val="000000" w:themeColor="text1"/>
                <w:szCs w:val="21"/>
                <w14:textFill>
                  <w14:solidFill>
                    <w14:schemeClr w14:val="tx1"/>
                  </w14:solidFill>
                </w14:textFill>
              </w:rPr>
              <w:t>白酒、啤酒以及植物饮料生产线原料投料、破碎工序和袋泡茶生产过程未收集粉尘</w:t>
            </w:r>
            <w:bookmarkEnd w:id="209"/>
          </w:p>
        </w:tc>
        <w:tc>
          <w:tcPr>
            <w:tcW w:w="566" w:type="pct"/>
            <w:shd w:val="clear" w:color="auto" w:fill="auto"/>
            <w:vAlign w:val="center"/>
          </w:tcPr>
          <w:p w14:paraId="325B4409">
            <w:pPr>
              <w:jc w:val="center"/>
              <w:outlineLvl w:val="9"/>
              <w:rPr>
                <w:color w:val="000000" w:themeColor="text1"/>
                <w:szCs w:val="21"/>
                <w14:textFill>
                  <w14:solidFill>
                    <w14:schemeClr w14:val="tx1"/>
                  </w14:solidFill>
                </w14:textFill>
              </w:rPr>
            </w:pPr>
            <w:bookmarkStart w:id="210" w:name="_Toc2445"/>
            <w:r>
              <w:rPr>
                <w:rFonts w:hint="eastAsia"/>
                <w:color w:val="000000" w:themeColor="text1"/>
                <w:szCs w:val="21"/>
                <w14:textFill>
                  <w14:solidFill>
                    <w14:schemeClr w14:val="tx1"/>
                  </w14:solidFill>
                </w14:textFill>
              </w:rPr>
              <w:t>颗粒物</w:t>
            </w:r>
            <w:bookmarkEnd w:id="210"/>
          </w:p>
        </w:tc>
        <w:tc>
          <w:tcPr>
            <w:tcW w:w="1330" w:type="pct"/>
            <w:vMerge w:val="continue"/>
            <w:shd w:val="clear" w:color="auto" w:fill="auto"/>
            <w:vAlign w:val="center"/>
          </w:tcPr>
          <w:p w14:paraId="0F8D073A">
            <w:pPr>
              <w:jc w:val="center"/>
              <w:rPr>
                <w:color w:val="000000" w:themeColor="text1"/>
                <w:szCs w:val="21"/>
                <w14:textFill>
                  <w14:solidFill>
                    <w14:schemeClr w14:val="tx1"/>
                  </w14:solidFill>
                </w14:textFill>
              </w:rPr>
            </w:pPr>
          </w:p>
        </w:tc>
        <w:tc>
          <w:tcPr>
            <w:tcW w:w="1232" w:type="pct"/>
            <w:vAlign w:val="center"/>
          </w:tcPr>
          <w:p w14:paraId="7304CB74">
            <w:pPr>
              <w:jc w:val="center"/>
              <w:rPr>
                <w:color w:val="000000" w:themeColor="text1"/>
                <w:szCs w:val="21"/>
                <w14:textFill>
                  <w14:solidFill>
                    <w14:schemeClr w14:val="tx1"/>
                  </w14:solidFill>
                </w14:textFill>
              </w:rPr>
            </w:pPr>
            <w:r>
              <w:rPr>
                <w:rFonts w:hint="eastAsia"/>
                <w:color w:val="000000" w:themeColor="text1"/>
                <w:szCs w:val="21"/>
                <w:lang w:eastAsia="zh-CN"/>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r>
      <w:tr w14:paraId="33FA10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vAlign w:val="center"/>
          </w:tcPr>
          <w:p w14:paraId="5E5A4869">
            <w:pPr>
              <w:snapToGrid w:val="0"/>
              <w:jc w:val="center"/>
              <w:rPr>
                <w:color w:val="000000" w:themeColor="text1"/>
                <w:szCs w:val="21"/>
                <w14:textFill>
                  <w14:solidFill>
                    <w14:schemeClr w14:val="tx1"/>
                  </w14:solidFill>
                </w14:textFill>
              </w:rPr>
            </w:pPr>
          </w:p>
        </w:tc>
        <w:tc>
          <w:tcPr>
            <w:tcW w:w="290" w:type="pct"/>
            <w:vMerge w:val="continue"/>
            <w:vAlign w:val="center"/>
          </w:tcPr>
          <w:p w14:paraId="27F9B36A">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vMerge w:val="continue"/>
            <w:shd w:val="clear" w:color="auto" w:fill="auto"/>
            <w:vAlign w:val="center"/>
          </w:tcPr>
          <w:p w14:paraId="5A645BAC">
            <w:pPr>
              <w:snapToGrid w:val="0"/>
              <w:jc w:val="center"/>
              <w:rPr>
                <w:color w:val="000000" w:themeColor="text1"/>
                <w:szCs w:val="21"/>
                <w14:textFill>
                  <w14:solidFill>
                    <w14:schemeClr w14:val="tx1"/>
                  </w14:solidFill>
                </w14:textFill>
              </w:rPr>
            </w:pPr>
          </w:p>
        </w:tc>
        <w:tc>
          <w:tcPr>
            <w:tcW w:w="820" w:type="pct"/>
            <w:shd w:val="clear" w:color="auto" w:fill="auto"/>
            <w:vAlign w:val="center"/>
          </w:tcPr>
          <w:p w14:paraId="71FDFDCB">
            <w:pPr>
              <w:jc w:val="center"/>
              <w:outlineLvl w:val="9"/>
              <w:rPr>
                <w:color w:val="000000" w:themeColor="text1"/>
                <w:szCs w:val="21"/>
                <w14:textFill>
                  <w14:solidFill>
                    <w14:schemeClr w14:val="tx1"/>
                  </w14:solidFill>
                </w14:textFill>
              </w:rPr>
            </w:pPr>
            <w:bookmarkStart w:id="211" w:name="_Toc10553"/>
            <w:r>
              <w:rPr>
                <w:rFonts w:hint="eastAsia"/>
                <w:color w:val="000000" w:themeColor="text1"/>
                <w:szCs w:val="21"/>
                <w14:textFill>
                  <w14:solidFill>
                    <w14:schemeClr w14:val="tx1"/>
                  </w14:solidFill>
                </w14:textFill>
              </w:rPr>
              <w:t>综合车间发酵工序废气</w:t>
            </w:r>
            <w:bookmarkEnd w:id="211"/>
          </w:p>
        </w:tc>
        <w:tc>
          <w:tcPr>
            <w:tcW w:w="566" w:type="pct"/>
            <w:shd w:val="clear" w:color="auto" w:fill="auto"/>
            <w:vAlign w:val="center"/>
          </w:tcPr>
          <w:p w14:paraId="0C3EF55D">
            <w:pPr>
              <w:jc w:val="center"/>
              <w:outlineLvl w:val="9"/>
              <w:rPr>
                <w:color w:val="000000" w:themeColor="text1"/>
                <w:szCs w:val="21"/>
                <w14:textFill>
                  <w14:solidFill>
                    <w14:schemeClr w14:val="tx1"/>
                  </w14:solidFill>
                </w14:textFill>
              </w:rPr>
            </w:pPr>
            <w:bookmarkStart w:id="212" w:name="_Toc12113"/>
            <w:r>
              <w:rPr>
                <w:rFonts w:hint="eastAsia"/>
                <w:color w:val="000000" w:themeColor="text1"/>
                <w:szCs w:val="21"/>
                <w14:textFill>
                  <w14:solidFill>
                    <w14:schemeClr w14:val="tx1"/>
                  </w14:solidFill>
                </w14:textFill>
              </w:rPr>
              <w:t>二氧化碳</w:t>
            </w:r>
            <w:bookmarkEnd w:id="212"/>
          </w:p>
        </w:tc>
        <w:tc>
          <w:tcPr>
            <w:tcW w:w="1330" w:type="pct"/>
            <w:vMerge w:val="continue"/>
            <w:shd w:val="clear" w:color="auto" w:fill="auto"/>
            <w:vAlign w:val="center"/>
          </w:tcPr>
          <w:p w14:paraId="4881A1F3">
            <w:pPr>
              <w:jc w:val="center"/>
              <w:rPr>
                <w:color w:val="000000" w:themeColor="text1"/>
                <w:szCs w:val="21"/>
                <w14:textFill>
                  <w14:solidFill>
                    <w14:schemeClr w14:val="tx1"/>
                  </w14:solidFill>
                </w14:textFill>
              </w:rPr>
            </w:pPr>
          </w:p>
        </w:tc>
        <w:tc>
          <w:tcPr>
            <w:tcW w:w="1232" w:type="pct"/>
            <w:vAlign w:val="center"/>
          </w:tcPr>
          <w:p w14:paraId="6CAA2EAD">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5052F0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18" w:type="pct"/>
            <w:vMerge w:val="continue"/>
            <w:vAlign w:val="center"/>
          </w:tcPr>
          <w:p w14:paraId="69B6FA56">
            <w:pPr>
              <w:snapToGrid w:val="0"/>
              <w:jc w:val="center"/>
              <w:rPr>
                <w:color w:val="000000" w:themeColor="text1"/>
                <w:szCs w:val="21"/>
                <w14:textFill>
                  <w14:solidFill>
                    <w14:schemeClr w14:val="tx1"/>
                  </w14:solidFill>
                </w14:textFill>
              </w:rPr>
            </w:pPr>
          </w:p>
        </w:tc>
        <w:tc>
          <w:tcPr>
            <w:tcW w:w="290" w:type="pct"/>
            <w:vMerge w:val="continue"/>
            <w:vAlign w:val="center"/>
          </w:tcPr>
          <w:p w14:paraId="20F4613F">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vMerge w:val="continue"/>
            <w:shd w:val="clear" w:color="auto" w:fill="auto"/>
            <w:vAlign w:val="center"/>
          </w:tcPr>
          <w:p w14:paraId="2D9E58B9">
            <w:pPr>
              <w:snapToGrid w:val="0"/>
              <w:jc w:val="center"/>
              <w:rPr>
                <w:color w:val="000000" w:themeColor="text1"/>
                <w:szCs w:val="21"/>
                <w14:textFill>
                  <w14:solidFill>
                    <w14:schemeClr w14:val="tx1"/>
                  </w14:solidFill>
                </w14:textFill>
              </w:rPr>
            </w:pPr>
          </w:p>
        </w:tc>
        <w:tc>
          <w:tcPr>
            <w:tcW w:w="820" w:type="pct"/>
            <w:vMerge w:val="restart"/>
            <w:shd w:val="clear" w:color="auto" w:fill="auto"/>
            <w:vAlign w:val="center"/>
          </w:tcPr>
          <w:p w14:paraId="65288D79">
            <w:pPr>
              <w:jc w:val="center"/>
              <w:outlineLvl w:val="9"/>
              <w:rPr>
                <w:color w:val="000000" w:themeColor="text1"/>
                <w:szCs w:val="21"/>
                <w14:textFill>
                  <w14:solidFill>
                    <w14:schemeClr w14:val="tx1"/>
                  </w14:solidFill>
                </w14:textFill>
              </w:rPr>
            </w:pPr>
            <w:bookmarkStart w:id="213" w:name="_Toc8610"/>
            <w:r>
              <w:rPr>
                <w:rFonts w:hint="eastAsia"/>
                <w:color w:val="000000" w:themeColor="text1"/>
                <w:szCs w:val="21"/>
                <w14:textFill>
                  <w14:solidFill>
                    <w14:schemeClr w14:val="tx1"/>
                  </w14:solidFill>
                </w14:textFill>
              </w:rPr>
              <w:t>白酒储存过程产生的废气</w:t>
            </w:r>
            <w:bookmarkEnd w:id="213"/>
          </w:p>
        </w:tc>
        <w:tc>
          <w:tcPr>
            <w:tcW w:w="566" w:type="pct"/>
            <w:vMerge w:val="restart"/>
            <w:shd w:val="clear" w:color="auto" w:fill="auto"/>
            <w:vAlign w:val="center"/>
          </w:tcPr>
          <w:p w14:paraId="5C8928BB">
            <w:pPr>
              <w:jc w:val="center"/>
              <w:outlineLvl w:val="9"/>
              <w:rPr>
                <w:color w:val="000000" w:themeColor="text1"/>
                <w:szCs w:val="21"/>
                <w14:textFill>
                  <w14:solidFill>
                    <w14:schemeClr w14:val="tx1"/>
                  </w14:solidFill>
                </w14:textFill>
              </w:rPr>
            </w:pPr>
            <w:bookmarkStart w:id="214" w:name="_Toc24847"/>
            <w:r>
              <w:rPr>
                <w:rFonts w:hint="eastAsia"/>
                <w:color w:val="000000" w:themeColor="text1"/>
                <w:szCs w:val="21"/>
                <w14:textFill>
                  <w14:solidFill>
                    <w14:schemeClr w14:val="tx1"/>
                  </w14:solidFill>
                </w14:textFill>
              </w:rPr>
              <w:t>非甲烷总烃</w:t>
            </w:r>
            <w:bookmarkEnd w:id="214"/>
          </w:p>
        </w:tc>
        <w:tc>
          <w:tcPr>
            <w:tcW w:w="1330" w:type="pct"/>
            <w:vMerge w:val="continue"/>
            <w:shd w:val="clear" w:color="auto" w:fill="auto"/>
            <w:vAlign w:val="center"/>
          </w:tcPr>
          <w:p w14:paraId="207A9212">
            <w:pPr>
              <w:jc w:val="center"/>
              <w:rPr>
                <w:color w:val="000000" w:themeColor="text1"/>
                <w:szCs w:val="21"/>
                <w14:textFill>
                  <w14:solidFill>
                    <w14:schemeClr w14:val="tx1"/>
                  </w14:solidFill>
                </w14:textFill>
              </w:rPr>
            </w:pPr>
          </w:p>
        </w:tc>
        <w:tc>
          <w:tcPr>
            <w:tcW w:w="1232" w:type="pct"/>
            <w:vAlign w:val="center"/>
          </w:tcPr>
          <w:p w14:paraId="147AFCBC">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 16297-1996）</w:t>
            </w:r>
            <w:r>
              <w:rPr>
                <w:rFonts w:hint="eastAsia"/>
                <w:color w:val="000000" w:themeColor="text1"/>
                <w:szCs w:val="21"/>
                <w14:textFill>
                  <w14:solidFill>
                    <w14:schemeClr w14:val="tx1"/>
                  </w14:solidFill>
                </w14:textFill>
              </w:rPr>
              <w:t>表2无组织排放限值</w:t>
            </w:r>
          </w:p>
        </w:tc>
      </w:tr>
      <w:tr w14:paraId="5BD003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18" w:type="pct"/>
            <w:vMerge w:val="continue"/>
            <w:vAlign w:val="center"/>
          </w:tcPr>
          <w:p w14:paraId="4560F28E">
            <w:pPr>
              <w:jc w:val="center"/>
              <w:rPr>
                <w:color w:val="000000" w:themeColor="text1"/>
                <w14:textFill>
                  <w14:solidFill>
                    <w14:schemeClr w14:val="tx1"/>
                  </w14:solidFill>
                </w14:textFill>
              </w:rPr>
            </w:pPr>
          </w:p>
        </w:tc>
        <w:tc>
          <w:tcPr>
            <w:tcW w:w="290" w:type="pct"/>
            <w:vMerge w:val="continue"/>
            <w:vAlign w:val="center"/>
          </w:tcPr>
          <w:p w14:paraId="688E48D9">
            <w:pPr>
              <w:jc w:val="center"/>
              <w:rPr>
                <w:color w:val="000000" w:themeColor="text1"/>
                <w14:textFill>
                  <w14:solidFill>
                    <w14:schemeClr w14:val="tx1"/>
                  </w14:solidFill>
                </w14:textFill>
              </w:rPr>
            </w:pPr>
          </w:p>
        </w:tc>
        <w:tc>
          <w:tcPr>
            <w:tcW w:w="242" w:type="pct"/>
            <w:vMerge w:val="continue"/>
            <w:shd w:val="clear" w:color="auto" w:fill="auto"/>
            <w:vAlign w:val="center"/>
          </w:tcPr>
          <w:p w14:paraId="0B2EEEC4">
            <w:pPr>
              <w:jc w:val="center"/>
              <w:rPr>
                <w:color w:val="000000" w:themeColor="text1"/>
                <w14:textFill>
                  <w14:solidFill>
                    <w14:schemeClr w14:val="tx1"/>
                  </w14:solidFill>
                </w14:textFill>
              </w:rPr>
            </w:pPr>
          </w:p>
        </w:tc>
        <w:tc>
          <w:tcPr>
            <w:tcW w:w="820" w:type="pct"/>
            <w:vMerge w:val="continue"/>
            <w:shd w:val="clear" w:color="auto" w:fill="auto"/>
            <w:vAlign w:val="center"/>
          </w:tcPr>
          <w:p w14:paraId="0583454C">
            <w:pPr>
              <w:jc w:val="center"/>
              <w:rPr>
                <w:color w:val="000000" w:themeColor="text1"/>
                <w14:textFill>
                  <w14:solidFill>
                    <w14:schemeClr w14:val="tx1"/>
                  </w14:solidFill>
                </w14:textFill>
              </w:rPr>
            </w:pPr>
          </w:p>
        </w:tc>
        <w:tc>
          <w:tcPr>
            <w:tcW w:w="566" w:type="pct"/>
            <w:vMerge w:val="continue"/>
            <w:shd w:val="clear" w:color="auto" w:fill="auto"/>
            <w:vAlign w:val="center"/>
          </w:tcPr>
          <w:p w14:paraId="5382BA53">
            <w:pPr>
              <w:jc w:val="center"/>
              <w:rPr>
                <w:color w:val="000000" w:themeColor="text1"/>
                <w14:textFill>
                  <w14:solidFill>
                    <w14:schemeClr w14:val="tx1"/>
                  </w14:solidFill>
                </w14:textFill>
              </w:rPr>
            </w:pPr>
          </w:p>
        </w:tc>
        <w:tc>
          <w:tcPr>
            <w:tcW w:w="1330" w:type="pct"/>
            <w:vMerge w:val="continue"/>
            <w:shd w:val="clear" w:color="auto" w:fill="auto"/>
            <w:vAlign w:val="center"/>
          </w:tcPr>
          <w:p w14:paraId="1748071E">
            <w:pPr>
              <w:jc w:val="center"/>
              <w:rPr>
                <w:color w:val="000000" w:themeColor="text1"/>
                <w14:textFill>
                  <w14:solidFill>
                    <w14:schemeClr w14:val="tx1"/>
                  </w14:solidFill>
                </w14:textFill>
              </w:rPr>
            </w:pPr>
          </w:p>
        </w:tc>
        <w:tc>
          <w:tcPr>
            <w:tcW w:w="1232" w:type="pct"/>
            <w:vAlign w:val="center"/>
          </w:tcPr>
          <w:p w14:paraId="31AB6462">
            <w:pPr>
              <w:pStyle w:val="50"/>
              <w:rPr>
                <w:color w:val="000000" w:themeColor="text1"/>
                <w:szCs w:val="21"/>
                <w14:textFill>
                  <w14:solidFill>
                    <w14:schemeClr w14:val="tx1"/>
                  </w14:solidFill>
                </w14:textFill>
              </w:rPr>
            </w:pPr>
            <w:r>
              <w:rPr>
                <w:color w:val="000000" w:themeColor="text1"/>
                <w:szCs w:val="21"/>
                <w14:textFill>
                  <w14:solidFill>
                    <w14:schemeClr w14:val="tx1"/>
                  </w14:solidFill>
                </w14:textFill>
              </w:rPr>
              <w:t>《关于全省开展工业企业挥发性有机物专项治理工作中排放建议值的通知》（豫环攻坚办[2017]162号）</w:t>
            </w:r>
            <w:r>
              <w:rPr>
                <w:rFonts w:hint="eastAsia"/>
                <w:color w:val="000000" w:themeColor="text1"/>
                <w:szCs w:val="21"/>
                <w14:textFill>
                  <w14:solidFill>
                    <w14:schemeClr w14:val="tx1"/>
                  </w14:solidFill>
                </w14:textFill>
              </w:rPr>
              <w:t>附件2“其他企业”</w:t>
            </w:r>
          </w:p>
        </w:tc>
      </w:tr>
      <w:tr w14:paraId="7087ED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18" w:type="pct"/>
            <w:vMerge w:val="continue"/>
            <w:vAlign w:val="center"/>
          </w:tcPr>
          <w:p w14:paraId="2F891955">
            <w:pPr>
              <w:jc w:val="center"/>
              <w:rPr>
                <w:color w:val="000000" w:themeColor="text1"/>
                <w:szCs w:val="21"/>
                <w14:textFill>
                  <w14:solidFill>
                    <w14:schemeClr w14:val="tx1"/>
                  </w14:solidFill>
                </w14:textFill>
              </w:rPr>
            </w:pPr>
          </w:p>
        </w:tc>
        <w:tc>
          <w:tcPr>
            <w:tcW w:w="290" w:type="pct"/>
            <w:vMerge w:val="continue"/>
            <w:vAlign w:val="center"/>
          </w:tcPr>
          <w:p w14:paraId="495671B3">
            <w:pPr>
              <w:jc w:val="center"/>
              <w:rPr>
                <w:color w:val="000000" w:themeColor="text1"/>
                <w:szCs w:val="21"/>
                <w14:textFill>
                  <w14:solidFill>
                    <w14:schemeClr w14:val="tx1"/>
                  </w14:solidFill>
                </w14:textFill>
              </w:rPr>
            </w:pPr>
          </w:p>
        </w:tc>
        <w:tc>
          <w:tcPr>
            <w:tcW w:w="242" w:type="pct"/>
            <w:vMerge w:val="continue"/>
            <w:shd w:val="clear" w:color="auto" w:fill="auto"/>
            <w:vAlign w:val="center"/>
          </w:tcPr>
          <w:p w14:paraId="61C260FC">
            <w:pPr>
              <w:jc w:val="center"/>
              <w:rPr>
                <w:color w:val="000000" w:themeColor="text1"/>
                <w:szCs w:val="21"/>
                <w14:textFill>
                  <w14:solidFill>
                    <w14:schemeClr w14:val="tx1"/>
                  </w14:solidFill>
                </w14:textFill>
              </w:rPr>
            </w:pPr>
          </w:p>
        </w:tc>
        <w:tc>
          <w:tcPr>
            <w:tcW w:w="820" w:type="pct"/>
            <w:vMerge w:val="continue"/>
            <w:shd w:val="clear" w:color="auto" w:fill="auto"/>
            <w:vAlign w:val="center"/>
          </w:tcPr>
          <w:p w14:paraId="1CB26579">
            <w:pPr>
              <w:jc w:val="center"/>
              <w:rPr>
                <w:color w:val="000000" w:themeColor="text1"/>
                <w:szCs w:val="21"/>
                <w14:textFill>
                  <w14:solidFill>
                    <w14:schemeClr w14:val="tx1"/>
                  </w14:solidFill>
                </w14:textFill>
              </w:rPr>
            </w:pPr>
          </w:p>
        </w:tc>
        <w:tc>
          <w:tcPr>
            <w:tcW w:w="566" w:type="pct"/>
            <w:vMerge w:val="continue"/>
            <w:shd w:val="clear" w:color="auto" w:fill="auto"/>
            <w:vAlign w:val="center"/>
          </w:tcPr>
          <w:p w14:paraId="3A8D3CB8">
            <w:pPr>
              <w:jc w:val="center"/>
              <w:rPr>
                <w:color w:val="000000" w:themeColor="text1"/>
                <w:szCs w:val="21"/>
                <w14:textFill>
                  <w14:solidFill>
                    <w14:schemeClr w14:val="tx1"/>
                  </w14:solidFill>
                </w14:textFill>
              </w:rPr>
            </w:pPr>
          </w:p>
        </w:tc>
        <w:tc>
          <w:tcPr>
            <w:tcW w:w="1330" w:type="pct"/>
            <w:vMerge w:val="continue"/>
            <w:shd w:val="clear" w:color="auto" w:fill="auto"/>
            <w:vAlign w:val="center"/>
          </w:tcPr>
          <w:p w14:paraId="793A442A">
            <w:pPr>
              <w:jc w:val="center"/>
              <w:rPr>
                <w:color w:val="000000" w:themeColor="text1"/>
                <w:szCs w:val="21"/>
                <w14:textFill>
                  <w14:solidFill>
                    <w14:schemeClr w14:val="tx1"/>
                  </w14:solidFill>
                </w14:textFill>
              </w:rPr>
            </w:pPr>
          </w:p>
        </w:tc>
        <w:tc>
          <w:tcPr>
            <w:tcW w:w="1232" w:type="pct"/>
            <w:vAlign w:val="center"/>
          </w:tcPr>
          <w:p w14:paraId="4C7D8CAA">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《挥发性有机物无组织排放控制标准》</w:t>
            </w:r>
            <w:r>
              <w:rPr>
                <w:color w:val="000000" w:themeColor="text1"/>
                <w14:textFill>
                  <w14:solidFill>
                    <w14:schemeClr w14:val="tx1"/>
                  </w14:solidFill>
                </w14:textFill>
              </w:rPr>
              <w:t>(GB37822-2019)</w:t>
            </w:r>
          </w:p>
        </w:tc>
      </w:tr>
      <w:tr w14:paraId="4947B6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vAlign w:val="center"/>
          </w:tcPr>
          <w:p w14:paraId="78143FC6">
            <w:pPr>
              <w:snapToGrid w:val="0"/>
              <w:jc w:val="center"/>
              <w:rPr>
                <w:color w:val="000000" w:themeColor="text1"/>
                <w:szCs w:val="21"/>
                <w14:textFill>
                  <w14:solidFill>
                    <w14:schemeClr w14:val="tx1"/>
                  </w14:solidFill>
                </w14:textFill>
              </w:rPr>
            </w:pPr>
          </w:p>
        </w:tc>
        <w:tc>
          <w:tcPr>
            <w:tcW w:w="290" w:type="pct"/>
            <w:vMerge w:val="continue"/>
            <w:vAlign w:val="center"/>
          </w:tcPr>
          <w:p w14:paraId="796639E0">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shd w:val="clear" w:color="auto" w:fill="auto"/>
            <w:vAlign w:val="center"/>
          </w:tcPr>
          <w:p w14:paraId="2E3CD803">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黄酒车间</w:t>
            </w:r>
          </w:p>
        </w:tc>
        <w:tc>
          <w:tcPr>
            <w:tcW w:w="820" w:type="pct"/>
            <w:shd w:val="clear" w:color="auto" w:fill="auto"/>
            <w:vAlign w:val="center"/>
          </w:tcPr>
          <w:p w14:paraId="20E412CD">
            <w:pPr>
              <w:jc w:val="center"/>
              <w:outlineLvl w:val="9"/>
              <w:rPr>
                <w:color w:val="000000" w:themeColor="text1"/>
                <w:szCs w:val="21"/>
                <w14:textFill>
                  <w14:solidFill>
                    <w14:schemeClr w14:val="tx1"/>
                  </w14:solidFill>
                </w14:textFill>
              </w:rPr>
            </w:pPr>
            <w:bookmarkStart w:id="215" w:name="_Toc13086"/>
            <w:r>
              <w:rPr>
                <w:rFonts w:hint="eastAsia"/>
                <w:color w:val="000000" w:themeColor="text1"/>
                <w:kern w:val="52"/>
                <w14:textFill>
                  <w14:solidFill>
                    <w14:schemeClr w14:val="tx1"/>
                  </w14:solidFill>
                </w14:textFill>
              </w:rPr>
              <w:t>黄酒生产线原辅料投料过程粉尘</w:t>
            </w:r>
            <w:bookmarkEnd w:id="215"/>
          </w:p>
        </w:tc>
        <w:tc>
          <w:tcPr>
            <w:tcW w:w="566" w:type="pct"/>
            <w:shd w:val="clear" w:color="auto" w:fill="auto"/>
            <w:vAlign w:val="center"/>
          </w:tcPr>
          <w:p w14:paraId="15463AB9">
            <w:pPr>
              <w:jc w:val="center"/>
              <w:outlineLvl w:val="9"/>
              <w:rPr>
                <w:color w:val="000000" w:themeColor="text1"/>
                <w:szCs w:val="21"/>
                <w14:textFill>
                  <w14:solidFill>
                    <w14:schemeClr w14:val="tx1"/>
                  </w14:solidFill>
                </w14:textFill>
              </w:rPr>
            </w:pPr>
            <w:bookmarkStart w:id="216" w:name="_Toc20896"/>
            <w:r>
              <w:rPr>
                <w:rFonts w:hint="eastAsia"/>
                <w:color w:val="000000" w:themeColor="text1"/>
                <w:szCs w:val="21"/>
                <w14:textFill>
                  <w14:solidFill>
                    <w14:schemeClr w14:val="tx1"/>
                  </w14:solidFill>
                </w14:textFill>
              </w:rPr>
              <w:t>颗粒物</w:t>
            </w:r>
            <w:bookmarkEnd w:id="216"/>
          </w:p>
        </w:tc>
        <w:tc>
          <w:tcPr>
            <w:tcW w:w="1330" w:type="pct"/>
            <w:shd w:val="clear" w:color="auto" w:fill="auto"/>
            <w:vAlign w:val="center"/>
          </w:tcPr>
          <w:p w14:paraId="7106F16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1232" w:type="pct"/>
            <w:vAlign w:val="center"/>
          </w:tcPr>
          <w:p w14:paraId="713C7748">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《大气污染物综合排放标准》（GB16297-1996）</w:t>
            </w:r>
            <w:r>
              <w:rPr>
                <w:rFonts w:hint="eastAsia"/>
                <w:color w:val="000000" w:themeColor="text1"/>
                <w:szCs w:val="21"/>
                <w14:textFill>
                  <w14:solidFill>
                    <w14:schemeClr w14:val="tx1"/>
                  </w14:solidFill>
                </w14:textFill>
              </w:rPr>
              <w:t>表2无组织排放限值</w:t>
            </w:r>
          </w:p>
        </w:tc>
      </w:tr>
      <w:tr w14:paraId="3607D3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vAlign w:val="center"/>
          </w:tcPr>
          <w:p w14:paraId="0AC3D03F">
            <w:pPr>
              <w:snapToGrid w:val="0"/>
              <w:jc w:val="center"/>
              <w:rPr>
                <w:color w:val="000000" w:themeColor="text1"/>
                <w:szCs w:val="21"/>
                <w14:textFill>
                  <w14:solidFill>
                    <w14:schemeClr w14:val="tx1"/>
                  </w14:solidFill>
                </w14:textFill>
              </w:rPr>
            </w:pPr>
          </w:p>
        </w:tc>
        <w:tc>
          <w:tcPr>
            <w:tcW w:w="290" w:type="pct"/>
            <w:vMerge w:val="continue"/>
            <w:vAlign w:val="center"/>
          </w:tcPr>
          <w:p w14:paraId="05F2E561">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shd w:val="clear" w:color="auto" w:fill="auto"/>
            <w:vAlign w:val="center"/>
          </w:tcPr>
          <w:p w14:paraId="337B34AD">
            <w:pPr>
              <w:pStyle w:val="49"/>
              <w:rPr>
                <w:color w:val="000000" w:themeColor="text1"/>
                <w:szCs w:val="21"/>
                <w14:textFill>
                  <w14:solidFill>
                    <w14:schemeClr w14:val="tx1"/>
                  </w14:solidFill>
                </w14:textFill>
              </w:rPr>
            </w:pPr>
            <w:r>
              <w:rPr>
                <w:rFonts w:hint="eastAsia"/>
                <w:color w:val="000000" w:themeColor="text1"/>
                <w:kern w:val="52"/>
                <w14:textFill>
                  <w14:solidFill>
                    <w14:schemeClr w14:val="tx1"/>
                  </w14:solidFill>
                </w14:textFill>
              </w:rPr>
              <w:t>封坛发酵车间</w:t>
            </w:r>
          </w:p>
        </w:tc>
        <w:tc>
          <w:tcPr>
            <w:tcW w:w="820" w:type="pct"/>
            <w:shd w:val="clear" w:color="auto" w:fill="auto"/>
            <w:vAlign w:val="center"/>
          </w:tcPr>
          <w:p w14:paraId="39FB9B57">
            <w:pPr>
              <w:jc w:val="center"/>
              <w:outlineLvl w:val="9"/>
              <w:rPr>
                <w:color w:val="000000" w:themeColor="text1"/>
                <w:szCs w:val="21"/>
                <w14:textFill>
                  <w14:solidFill>
                    <w14:schemeClr w14:val="tx1"/>
                  </w14:solidFill>
                </w14:textFill>
              </w:rPr>
            </w:pPr>
            <w:bookmarkStart w:id="217" w:name="_Toc9981"/>
            <w:r>
              <w:rPr>
                <w:rFonts w:hint="eastAsia"/>
                <w:color w:val="000000" w:themeColor="text1"/>
                <w:kern w:val="52"/>
                <w14:textFill>
                  <w14:solidFill>
                    <w14:schemeClr w14:val="tx1"/>
                  </w14:solidFill>
                </w14:textFill>
              </w:rPr>
              <w:t>封坛发酵车间废气</w:t>
            </w:r>
            <w:bookmarkEnd w:id="217"/>
          </w:p>
        </w:tc>
        <w:tc>
          <w:tcPr>
            <w:tcW w:w="566" w:type="pct"/>
            <w:shd w:val="clear" w:color="auto" w:fill="auto"/>
            <w:vAlign w:val="center"/>
          </w:tcPr>
          <w:p w14:paraId="00AFFCE9">
            <w:pPr>
              <w:jc w:val="center"/>
              <w:outlineLvl w:val="9"/>
              <w:rPr>
                <w:color w:val="000000" w:themeColor="text1"/>
                <w:szCs w:val="21"/>
                <w14:textFill>
                  <w14:solidFill>
                    <w14:schemeClr w14:val="tx1"/>
                  </w14:solidFill>
                </w14:textFill>
              </w:rPr>
            </w:pPr>
            <w:bookmarkStart w:id="218" w:name="_Toc1900"/>
            <w:r>
              <w:rPr>
                <w:rFonts w:hint="eastAsia"/>
                <w:color w:val="000000" w:themeColor="text1"/>
                <w:szCs w:val="21"/>
                <w14:textFill>
                  <w14:solidFill>
                    <w14:schemeClr w14:val="tx1"/>
                  </w14:solidFill>
                </w14:textFill>
              </w:rPr>
              <w:t>二氧化碳</w:t>
            </w:r>
            <w:bookmarkEnd w:id="218"/>
          </w:p>
        </w:tc>
        <w:tc>
          <w:tcPr>
            <w:tcW w:w="1330" w:type="pct"/>
            <w:shd w:val="clear" w:color="auto" w:fill="auto"/>
            <w:vAlign w:val="center"/>
          </w:tcPr>
          <w:p w14:paraId="29DA369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1232" w:type="pct"/>
            <w:vAlign w:val="center"/>
          </w:tcPr>
          <w:p w14:paraId="1F0AE4DB">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50B515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vAlign w:val="center"/>
          </w:tcPr>
          <w:p w14:paraId="671CB5DA">
            <w:pPr>
              <w:snapToGrid w:val="0"/>
              <w:jc w:val="center"/>
              <w:rPr>
                <w:color w:val="000000" w:themeColor="text1"/>
                <w:szCs w:val="21"/>
                <w14:textFill>
                  <w14:solidFill>
                    <w14:schemeClr w14:val="tx1"/>
                  </w14:solidFill>
                </w14:textFill>
              </w:rPr>
            </w:pPr>
          </w:p>
        </w:tc>
        <w:tc>
          <w:tcPr>
            <w:tcW w:w="290" w:type="pct"/>
            <w:vMerge w:val="continue"/>
            <w:vAlign w:val="center"/>
          </w:tcPr>
          <w:p w14:paraId="71535D2B">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shd w:val="clear" w:color="auto" w:fill="auto"/>
            <w:vAlign w:val="center"/>
          </w:tcPr>
          <w:p w14:paraId="65F841C5">
            <w:pPr>
              <w:pStyle w:val="49"/>
              <w:rPr>
                <w:color w:val="000000" w:themeColor="text1"/>
                <w:szCs w:val="21"/>
                <w14:textFill>
                  <w14:solidFill>
                    <w14:schemeClr w14:val="tx1"/>
                  </w14:solidFill>
                </w14:textFill>
              </w:rPr>
            </w:pPr>
            <w:r>
              <w:rPr>
                <w:rFonts w:hint="eastAsia"/>
                <w:color w:val="000000" w:themeColor="text1"/>
                <w:kern w:val="52"/>
                <w14:textFill>
                  <w14:solidFill>
                    <w14:schemeClr w14:val="tx1"/>
                  </w14:solidFill>
                </w14:textFill>
              </w:rPr>
              <w:t>封坛区域</w:t>
            </w:r>
          </w:p>
        </w:tc>
        <w:tc>
          <w:tcPr>
            <w:tcW w:w="820" w:type="pct"/>
            <w:shd w:val="clear" w:color="auto" w:fill="auto"/>
            <w:vAlign w:val="center"/>
          </w:tcPr>
          <w:p w14:paraId="175D5843">
            <w:pPr>
              <w:jc w:val="center"/>
              <w:outlineLvl w:val="9"/>
              <w:rPr>
                <w:color w:val="000000" w:themeColor="text1"/>
                <w:szCs w:val="21"/>
                <w14:textFill>
                  <w14:solidFill>
                    <w14:schemeClr w14:val="tx1"/>
                  </w14:solidFill>
                </w14:textFill>
              </w:rPr>
            </w:pPr>
            <w:bookmarkStart w:id="219" w:name="_Toc11003"/>
            <w:r>
              <w:rPr>
                <w:rFonts w:hint="eastAsia"/>
                <w:color w:val="000000" w:themeColor="text1"/>
                <w:kern w:val="52"/>
                <w14:textFill>
                  <w14:solidFill>
                    <w14:schemeClr w14:val="tx1"/>
                  </w14:solidFill>
                </w14:textFill>
              </w:rPr>
              <w:t>封坛区域废气</w:t>
            </w:r>
            <w:bookmarkEnd w:id="219"/>
          </w:p>
        </w:tc>
        <w:tc>
          <w:tcPr>
            <w:tcW w:w="566" w:type="pct"/>
            <w:shd w:val="clear" w:color="auto" w:fill="auto"/>
            <w:vAlign w:val="center"/>
          </w:tcPr>
          <w:p w14:paraId="409F2777">
            <w:pPr>
              <w:jc w:val="center"/>
              <w:outlineLvl w:val="9"/>
              <w:rPr>
                <w:color w:val="000000" w:themeColor="text1"/>
                <w:szCs w:val="21"/>
                <w14:textFill>
                  <w14:solidFill>
                    <w14:schemeClr w14:val="tx1"/>
                  </w14:solidFill>
                </w14:textFill>
              </w:rPr>
            </w:pPr>
            <w:bookmarkStart w:id="220" w:name="_Toc32363"/>
            <w:r>
              <w:rPr>
                <w:rFonts w:hint="eastAsia"/>
                <w:color w:val="000000" w:themeColor="text1"/>
                <w:szCs w:val="21"/>
                <w14:textFill>
                  <w14:solidFill>
                    <w14:schemeClr w14:val="tx1"/>
                  </w14:solidFill>
                </w14:textFill>
              </w:rPr>
              <w:t>二氧化碳</w:t>
            </w:r>
            <w:bookmarkEnd w:id="220"/>
          </w:p>
        </w:tc>
        <w:tc>
          <w:tcPr>
            <w:tcW w:w="1330" w:type="pct"/>
            <w:vAlign w:val="center"/>
          </w:tcPr>
          <w:p w14:paraId="545A8BC0">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车间密闭</w:t>
            </w:r>
          </w:p>
        </w:tc>
        <w:tc>
          <w:tcPr>
            <w:tcW w:w="1232" w:type="pct"/>
            <w:vAlign w:val="center"/>
          </w:tcPr>
          <w:p w14:paraId="3713239F">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p>
        </w:tc>
      </w:tr>
      <w:tr w14:paraId="3BD3F1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18" w:type="pct"/>
            <w:vMerge w:val="continue"/>
            <w:vAlign w:val="center"/>
          </w:tcPr>
          <w:p w14:paraId="79ABAEBE">
            <w:pPr>
              <w:snapToGrid w:val="0"/>
              <w:jc w:val="center"/>
              <w:rPr>
                <w:color w:val="000000" w:themeColor="text1"/>
                <w:szCs w:val="21"/>
                <w14:textFill>
                  <w14:solidFill>
                    <w14:schemeClr w14:val="tx1"/>
                  </w14:solidFill>
                </w14:textFill>
              </w:rPr>
            </w:pPr>
          </w:p>
        </w:tc>
        <w:tc>
          <w:tcPr>
            <w:tcW w:w="290" w:type="pct"/>
            <w:vMerge w:val="continue"/>
            <w:vAlign w:val="center"/>
          </w:tcPr>
          <w:p w14:paraId="11A746A8">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vMerge w:val="restart"/>
            <w:shd w:val="clear" w:color="auto" w:fill="auto"/>
            <w:vAlign w:val="center"/>
          </w:tcPr>
          <w:p w14:paraId="0807373A">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1#二类器械车间</w:t>
            </w:r>
          </w:p>
        </w:tc>
        <w:tc>
          <w:tcPr>
            <w:tcW w:w="820" w:type="pct"/>
            <w:vMerge w:val="restart"/>
            <w:shd w:val="clear" w:color="auto" w:fill="auto"/>
            <w:vAlign w:val="center"/>
          </w:tcPr>
          <w:p w14:paraId="73F36043">
            <w:pPr>
              <w:jc w:val="center"/>
              <w:outlineLvl w:val="9"/>
              <w:rPr>
                <w:color w:val="000000" w:themeColor="text1"/>
                <w:kern w:val="52"/>
                <w14:textFill>
                  <w14:solidFill>
                    <w14:schemeClr w14:val="tx1"/>
                  </w14:solidFill>
                </w14:textFill>
              </w:rPr>
            </w:pPr>
            <w:bookmarkStart w:id="221" w:name="_Toc25521"/>
            <w:r>
              <w:rPr>
                <w:rFonts w:hint="eastAsia"/>
                <w:color w:val="000000" w:themeColor="text1"/>
                <w:szCs w:val="21"/>
                <w14:textFill>
                  <w14:solidFill>
                    <w14:schemeClr w14:val="tx1"/>
                  </w14:solidFill>
                </w14:textFill>
              </w:rPr>
              <w:t>医用手术衣生产线超声波缝合工序废气</w:t>
            </w:r>
            <w:bookmarkEnd w:id="221"/>
          </w:p>
        </w:tc>
        <w:tc>
          <w:tcPr>
            <w:tcW w:w="566" w:type="pct"/>
            <w:vMerge w:val="restart"/>
            <w:shd w:val="clear" w:color="auto" w:fill="auto"/>
            <w:vAlign w:val="center"/>
          </w:tcPr>
          <w:p w14:paraId="1A486D99">
            <w:pPr>
              <w:jc w:val="center"/>
              <w:outlineLvl w:val="9"/>
              <w:rPr>
                <w:color w:val="000000" w:themeColor="text1"/>
                <w:szCs w:val="21"/>
                <w14:textFill>
                  <w14:solidFill>
                    <w14:schemeClr w14:val="tx1"/>
                  </w14:solidFill>
                </w14:textFill>
              </w:rPr>
            </w:pPr>
            <w:bookmarkStart w:id="222" w:name="_Toc1868"/>
            <w:r>
              <w:rPr>
                <w:rFonts w:hint="eastAsia"/>
                <w:color w:val="000000" w:themeColor="text1"/>
                <w:szCs w:val="21"/>
                <w14:textFill>
                  <w14:solidFill>
                    <w14:schemeClr w14:val="tx1"/>
                  </w14:solidFill>
                </w14:textFill>
              </w:rPr>
              <w:t>非甲烷总烃</w:t>
            </w:r>
            <w:bookmarkEnd w:id="222"/>
          </w:p>
        </w:tc>
        <w:tc>
          <w:tcPr>
            <w:tcW w:w="1330" w:type="pct"/>
            <w:vMerge w:val="restart"/>
            <w:vAlign w:val="center"/>
          </w:tcPr>
          <w:p w14:paraId="52C33E1A">
            <w:pPr>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车间产生的废气经循环净风（采用三级过滤器+活性炭吸附装置）净化后循环利用，不外排</w:t>
            </w:r>
          </w:p>
        </w:tc>
        <w:tc>
          <w:tcPr>
            <w:tcW w:w="1232" w:type="pct"/>
            <w:vAlign w:val="center"/>
          </w:tcPr>
          <w:p w14:paraId="482FDB9A">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 16297-1996）</w:t>
            </w:r>
            <w:r>
              <w:rPr>
                <w:rFonts w:hint="eastAsia"/>
                <w:color w:val="000000" w:themeColor="text1"/>
                <w:szCs w:val="21"/>
                <w14:textFill>
                  <w14:solidFill>
                    <w14:schemeClr w14:val="tx1"/>
                  </w14:solidFill>
                </w14:textFill>
              </w:rPr>
              <w:t>表2无组织排放限值</w:t>
            </w:r>
          </w:p>
        </w:tc>
      </w:tr>
      <w:tr w14:paraId="2B023F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18" w:type="pct"/>
            <w:vMerge w:val="continue"/>
            <w:vAlign w:val="center"/>
          </w:tcPr>
          <w:p w14:paraId="40DD59DF">
            <w:pPr>
              <w:jc w:val="center"/>
              <w:rPr>
                <w:color w:val="000000" w:themeColor="text1"/>
                <w14:textFill>
                  <w14:solidFill>
                    <w14:schemeClr w14:val="tx1"/>
                  </w14:solidFill>
                </w14:textFill>
              </w:rPr>
            </w:pPr>
          </w:p>
        </w:tc>
        <w:tc>
          <w:tcPr>
            <w:tcW w:w="290" w:type="pct"/>
            <w:vMerge w:val="continue"/>
            <w:vAlign w:val="center"/>
          </w:tcPr>
          <w:p w14:paraId="0029CCD1">
            <w:pPr>
              <w:jc w:val="center"/>
              <w:rPr>
                <w:color w:val="000000" w:themeColor="text1"/>
                <w14:textFill>
                  <w14:solidFill>
                    <w14:schemeClr w14:val="tx1"/>
                  </w14:solidFill>
                </w14:textFill>
              </w:rPr>
            </w:pPr>
          </w:p>
        </w:tc>
        <w:tc>
          <w:tcPr>
            <w:tcW w:w="242" w:type="pct"/>
            <w:vMerge w:val="continue"/>
            <w:shd w:val="clear" w:color="auto" w:fill="auto"/>
            <w:vAlign w:val="center"/>
          </w:tcPr>
          <w:p w14:paraId="568722E4">
            <w:pPr>
              <w:jc w:val="center"/>
              <w:rPr>
                <w:color w:val="000000" w:themeColor="text1"/>
                <w14:textFill>
                  <w14:solidFill>
                    <w14:schemeClr w14:val="tx1"/>
                  </w14:solidFill>
                </w14:textFill>
              </w:rPr>
            </w:pPr>
          </w:p>
        </w:tc>
        <w:tc>
          <w:tcPr>
            <w:tcW w:w="820" w:type="pct"/>
            <w:vMerge w:val="continue"/>
            <w:shd w:val="clear" w:color="auto" w:fill="auto"/>
            <w:vAlign w:val="center"/>
          </w:tcPr>
          <w:p w14:paraId="79FE29C5">
            <w:pPr>
              <w:jc w:val="center"/>
              <w:rPr>
                <w:color w:val="000000" w:themeColor="text1"/>
                <w14:textFill>
                  <w14:solidFill>
                    <w14:schemeClr w14:val="tx1"/>
                  </w14:solidFill>
                </w14:textFill>
              </w:rPr>
            </w:pPr>
          </w:p>
        </w:tc>
        <w:tc>
          <w:tcPr>
            <w:tcW w:w="566" w:type="pct"/>
            <w:vMerge w:val="continue"/>
            <w:shd w:val="clear" w:color="auto" w:fill="auto"/>
            <w:vAlign w:val="center"/>
          </w:tcPr>
          <w:p w14:paraId="11319F27">
            <w:pPr>
              <w:jc w:val="center"/>
              <w:rPr>
                <w:color w:val="000000" w:themeColor="text1"/>
                <w14:textFill>
                  <w14:solidFill>
                    <w14:schemeClr w14:val="tx1"/>
                  </w14:solidFill>
                </w14:textFill>
              </w:rPr>
            </w:pPr>
          </w:p>
        </w:tc>
        <w:tc>
          <w:tcPr>
            <w:tcW w:w="1330" w:type="pct"/>
            <w:vMerge w:val="continue"/>
            <w:vAlign w:val="center"/>
          </w:tcPr>
          <w:p w14:paraId="51D91AA5">
            <w:pPr>
              <w:jc w:val="center"/>
              <w:rPr>
                <w:color w:val="000000" w:themeColor="text1"/>
                <w14:textFill>
                  <w14:solidFill>
                    <w14:schemeClr w14:val="tx1"/>
                  </w14:solidFill>
                </w14:textFill>
              </w:rPr>
            </w:pPr>
          </w:p>
        </w:tc>
        <w:tc>
          <w:tcPr>
            <w:tcW w:w="1232" w:type="pct"/>
            <w:vAlign w:val="center"/>
          </w:tcPr>
          <w:p w14:paraId="1B44114E">
            <w:pPr>
              <w:pStyle w:val="50"/>
              <w:rPr>
                <w:color w:val="000000" w:themeColor="text1"/>
                <w:szCs w:val="21"/>
                <w14:textFill>
                  <w14:solidFill>
                    <w14:schemeClr w14:val="tx1"/>
                  </w14:solidFill>
                </w14:textFill>
              </w:rPr>
            </w:pPr>
            <w:r>
              <w:rPr>
                <w:color w:val="000000" w:themeColor="text1"/>
                <w:szCs w:val="21"/>
                <w14:textFill>
                  <w14:solidFill>
                    <w14:schemeClr w14:val="tx1"/>
                  </w14:solidFill>
                </w14:textFill>
              </w:rPr>
              <w:t>《关于全省开展工业企业挥发性有机物专项治理工作中排放建议值的通知》（豫环攻坚办[2017]162号）</w:t>
            </w:r>
            <w:r>
              <w:rPr>
                <w:rFonts w:hint="eastAsia"/>
                <w:color w:val="000000" w:themeColor="text1"/>
                <w:szCs w:val="21"/>
                <w14:textFill>
                  <w14:solidFill>
                    <w14:schemeClr w14:val="tx1"/>
                  </w14:solidFill>
                </w14:textFill>
              </w:rPr>
              <w:t>附件2“其他企业”</w:t>
            </w:r>
          </w:p>
        </w:tc>
      </w:tr>
      <w:tr w14:paraId="0AE239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18" w:type="pct"/>
            <w:vMerge w:val="continue"/>
            <w:vAlign w:val="center"/>
          </w:tcPr>
          <w:p w14:paraId="3E3396EE">
            <w:pPr>
              <w:jc w:val="center"/>
              <w:rPr>
                <w:color w:val="000000" w:themeColor="text1"/>
                <w:szCs w:val="21"/>
                <w14:textFill>
                  <w14:solidFill>
                    <w14:schemeClr w14:val="tx1"/>
                  </w14:solidFill>
                </w14:textFill>
              </w:rPr>
            </w:pPr>
          </w:p>
        </w:tc>
        <w:tc>
          <w:tcPr>
            <w:tcW w:w="290" w:type="pct"/>
            <w:vMerge w:val="continue"/>
            <w:vAlign w:val="center"/>
          </w:tcPr>
          <w:p w14:paraId="5DA59B50">
            <w:pPr>
              <w:jc w:val="center"/>
              <w:rPr>
                <w:color w:val="000000" w:themeColor="text1"/>
                <w:szCs w:val="21"/>
                <w14:textFill>
                  <w14:solidFill>
                    <w14:schemeClr w14:val="tx1"/>
                  </w14:solidFill>
                </w14:textFill>
              </w:rPr>
            </w:pPr>
          </w:p>
        </w:tc>
        <w:tc>
          <w:tcPr>
            <w:tcW w:w="242" w:type="pct"/>
            <w:vMerge w:val="continue"/>
            <w:shd w:val="clear" w:color="auto" w:fill="auto"/>
            <w:vAlign w:val="center"/>
          </w:tcPr>
          <w:p w14:paraId="124FCF2D">
            <w:pPr>
              <w:jc w:val="center"/>
              <w:rPr>
                <w:color w:val="000000" w:themeColor="text1"/>
                <w:szCs w:val="21"/>
                <w14:textFill>
                  <w14:solidFill>
                    <w14:schemeClr w14:val="tx1"/>
                  </w14:solidFill>
                </w14:textFill>
              </w:rPr>
            </w:pPr>
          </w:p>
        </w:tc>
        <w:tc>
          <w:tcPr>
            <w:tcW w:w="820" w:type="pct"/>
            <w:vMerge w:val="continue"/>
            <w:shd w:val="clear" w:color="auto" w:fill="auto"/>
            <w:vAlign w:val="center"/>
          </w:tcPr>
          <w:p w14:paraId="43983975">
            <w:pPr>
              <w:jc w:val="center"/>
              <w:rPr>
                <w:color w:val="000000" w:themeColor="text1"/>
                <w:szCs w:val="21"/>
                <w14:textFill>
                  <w14:solidFill>
                    <w14:schemeClr w14:val="tx1"/>
                  </w14:solidFill>
                </w14:textFill>
              </w:rPr>
            </w:pPr>
          </w:p>
        </w:tc>
        <w:tc>
          <w:tcPr>
            <w:tcW w:w="566" w:type="pct"/>
            <w:vMerge w:val="continue"/>
            <w:shd w:val="clear" w:color="auto" w:fill="auto"/>
            <w:vAlign w:val="center"/>
          </w:tcPr>
          <w:p w14:paraId="76CA5A65">
            <w:pPr>
              <w:jc w:val="center"/>
              <w:rPr>
                <w:color w:val="000000" w:themeColor="text1"/>
                <w:szCs w:val="21"/>
                <w14:textFill>
                  <w14:solidFill>
                    <w14:schemeClr w14:val="tx1"/>
                  </w14:solidFill>
                </w14:textFill>
              </w:rPr>
            </w:pPr>
          </w:p>
        </w:tc>
        <w:tc>
          <w:tcPr>
            <w:tcW w:w="1330" w:type="pct"/>
            <w:vMerge w:val="continue"/>
            <w:vAlign w:val="center"/>
          </w:tcPr>
          <w:p w14:paraId="3472D488">
            <w:pPr>
              <w:jc w:val="center"/>
              <w:rPr>
                <w:color w:val="000000" w:themeColor="text1"/>
                <w:szCs w:val="21"/>
                <w14:textFill>
                  <w14:solidFill>
                    <w14:schemeClr w14:val="tx1"/>
                  </w14:solidFill>
                </w14:textFill>
              </w:rPr>
            </w:pPr>
          </w:p>
        </w:tc>
        <w:tc>
          <w:tcPr>
            <w:tcW w:w="1232" w:type="pct"/>
            <w:vAlign w:val="center"/>
          </w:tcPr>
          <w:p w14:paraId="6C27D2E9">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《挥发性有机物无组织排放控制标准》</w:t>
            </w:r>
            <w:r>
              <w:rPr>
                <w:color w:val="000000" w:themeColor="text1"/>
                <w14:textFill>
                  <w14:solidFill>
                    <w14:schemeClr w14:val="tx1"/>
                  </w14:solidFill>
                </w14:textFill>
              </w:rPr>
              <w:t>(GB37822-2019)</w:t>
            </w:r>
          </w:p>
        </w:tc>
      </w:tr>
      <w:tr w14:paraId="2DEC9B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18" w:type="pct"/>
            <w:vMerge w:val="continue"/>
            <w:vAlign w:val="center"/>
          </w:tcPr>
          <w:p w14:paraId="3A9FD481">
            <w:pPr>
              <w:snapToGrid w:val="0"/>
              <w:jc w:val="center"/>
              <w:rPr>
                <w:color w:val="000000" w:themeColor="text1"/>
                <w:szCs w:val="21"/>
                <w14:textFill>
                  <w14:solidFill>
                    <w14:schemeClr w14:val="tx1"/>
                  </w14:solidFill>
                </w14:textFill>
              </w:rPr>
            </w:pPr>
          </w:p>
        </w:tc>
        <w:tc>
          <w:tcPr>
            <w:tcW w:w="290" w:type="pct"/>
            <w:vMerge w:val="continue"/>
            <w:vAlign w:val="center"/>
          </w:tcPr>
          <w:p w14:paraId="4827E7EF">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vMerge w:val="continue"/>
            <w:shd w:val="clear" w:color="auto" w:fill="auto"/>
            <w:vAlign w:val="center"/>
          </w:tcPr>
          <w:p w14:paraId="56B52F6F">
            <w:pPr>
              <w:jc w:val="center"/>
              <w:outlineLvl w:val="9"/>
              <w:rPr>
                <w:color w:val="000000" w:themeColor="text1"/>
                <w:szCs w:val="21"/>
                <w14:textFill>
                  <w14:solidFill>
                    <w14:schemeClr w14:val="tx1"/>
                  </w14:solidFill>
                </w14:textFill>
              </w:rPr>
            </w:pPr>
          </w:p>
        </w:tc>
        <w:tc>
          <w:tcPr>
            <w:tcW w:w="820" w:type="pct"/>
            <w:vMerge w:val="restart"/>
            <w:shd w:val="clear" w:color="auto" w:fill="auto"/>
            <w:vAlign w:val="center"/>
          </w:tcPr>
          <w:p w14:paraId="63E24089">
            <w:pPr>
              <w:jc w:val="center"/>
              <w:outlineLvl w:val="9"/>
              <w:rPr>
                <w:color w:val="000000" w:themeColor="text1"/>
                <w:szCs w:val="21"/>
                <w14:textFill>
                  <w14:solidFill>
                    <w14:schemeClr w14:val="tx1"/>
                  </w14:solidFill>
                </w14:textFill>
              </w:rPr>
            </w:pPr>
            <w:bookmarkStart w:id="223" w:name="_Toc2982"/>
            <w:r>
              <w:rPr>
                <w:rFonts w:hint="eastAsia"/>
                <w:color w:val="000000" w:themeColor="text1"/>
                <w:szCs w:val="21"/>
                <w14:textFill>
                  <w14:solidFill>
                    <w14:schemeClr w14:val="tx1"/>
                  </w14:solidFill>
                </w14:textFill>
              </w:rPr>
              <w:t>治疗凝胶生产线乳化工序未收集的废气</w:t>
            </w:r>
            <w:bookmarkEnd w:id="223"/>
          </w:p>
        </w:tc>
        <w:tc>
          <w:tcPr>
            <w:tcW w:w="566" w:type="pct"/>
            <w:vMerge w:val="restart"/>
            <w:shd w:val="clear" w:color="auto" w:fill="auto"/>
            <w:vAlign w:val="center"/>
          </w:tcPr>
          <w:p w14:paraId="4F3E5657">
            <w:pPr>
              <w:jc w:val="center"/>
              <w:outlineLvl w:val="9"/>
              <w:rPr>
                <w:color w:val="000000" w:themeColor="text1"/>
                <w:szCs w:val="21"/>
                <w14:textFill>
                  <w14:solidFill>
                    <w14:schemeClr w14:val="tx1"/>
                  </w14:solidFill>
                </w14:textFill>
              </w:rPr>
            </w:pPr>
            <w:bookmarkStart w:id="224" w:name="_Toc13505"/>
            <w:r>
              <w:rPr>
                <w:rFonts w:hint="eastAsia"/>
                <w:color w:val="000000" w:themeColor="text1"/>
                <w:szCs w:val="21"/>
                <w14:textFill>
                  <w14:solidFill>
                    <w14:schemeClr w14:val="tx1"/>
                  </w14:solidFill>
                </w14:textFill>
              </w:rPr>
              <w:t>非甲烷总烃</w:t>
            </w:r>
            <w:bookmarkEnd w:id="224"/>
          </w:p>
        </w:tc>
        <w:tc>
          <w:tcPr>
            <w:tcW w:w="1330" w:type="pct"/>
            <w:vMerge w:val="continue"/>
            <w:vAlign w:val="center"/>
          </w:tcPr>
          <w:p w14:paraId="0995BDF7">
            <w:pPr>
              <w:snapToGrid w:val="0"/>
              <w:jc w:val="center"/>
              <w:rPr>
                <w:color w:val="000000" w:themeColor="text1"/>
                <w:szCs w:val="21"/>
                <w14:textFill>
                  <w14:solidFill>
                    <w14:schemeClr w14:val="tx1"/>
                  </w14:solidFill>
                </w14:textFill>
              </w:rPr>
            </w:pPr>
          </w:p>
        </w:tc>
        <w:tc>
          <w:tcPr>
            <w:tcW w:w="1232" w:type="pct"/>
            <w:vAlign w:val="center"/>
          </w:tcPr>
          <w:p w14:paraId="341C2F51">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 16297-1996）</w:t>
            </w:r>
            <w:r>
              <w:rPr>
                <w:rFonts w:hint="eastAsia"/>
                <w:color w:val="000000" w:themeColor="text1"/>
                <w:szCs w:val="21"/>
                <w14:textFill>
                  <w14:solidFill>
                    <w14:schemeClr w14:val="tx1"/>
                  </w14:solidFill>
                </w14:textFill>
              </w:rPr>
              <w:t>表2无组织排放限值</w:t>
            </w:r>
          </w:p>
        </w:tc>
      </w:tr>
      <w:tr w14:paraId="4837D2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18" w:type="pct"/>
            <w:vMerge w:val="continue"/>
            <w:vAlign w:val="center"/>
          </w:tcPr>
          <w:p w14:paraId="76E27100">
            <w:pPr>
              <w:jc w:val="center"/>
              <w:rPr>
                <w:color w:val="000000" w:themeColor="text1"/>
                <w14:textFill>
                  <w14:solidFill>
                    <w14:schemeClr w14:val="tx1"/>
                  </w14:solidFill>
                </w14:textFill>
              </w:rPr>
            </w:pPr>
          </w:p>
        </w:tc>
        <w:tc>
          <w:tcPr>
            <w:tcW w:w="290" w:type="pct"/>
            <w:vMerge w:val="continue"/>
            <w:vAlign w:val="center"/>
          </w:tcPr>
          <w:p w14:paraId="4818A9EC">
            <w:pPr>
              <w:jc w:val="center"/>
              <w:rPr>
                <w:color w:val="000000" w:themeColor="text1"/>
                <w14:textFill>
                  <w14:solidFill>
                    <w14:schemeClr w14:val="tx1"/>
                  </w14:solidFill>
                </w14:textFill>
              </w:rPr>
            </w:pPr>
          </w:p>
        </w:tc>
        <w:tc>
          <w:tcPr>
            <w:tcW w:w="242" w:type="pct"/>
            <w:vMerge w:val="continue"/>
            <w:shd w:val="clear" w:color="auto" w:fill="auto"/>
            <w:vAlign w:val="center"/>
          </w:tcPr>
          <w:p w14:paraId="40495085">
            <w:pPr>
              <w:jc w:val="center"/>
              <w:rPr>
                <w:color w:val="000000" w:themeColor="text1"/>
                <w14:textFill>
                  <w14:solidFill>
                    <w14:schemeClr w14:val="tx1"/>
                  </w14:solidFill>
                </w14:textFill>
              </w:rPr>
            </w:pPr>
          </w:p>
        </w:tc>
        <w:tc>
          <w:tcPr>
            <w:tcW w:w="820" w:type="pct"/>
            <w:vMerge w:val="continue"/>
            <w:shd w:val="clear" w:color="auto" w:fill="auto"/>
            <w:vAlign w:val="center"/>
          </w:tcPr>
          <w:p w14:paraId="1CAB2F61">
            <w:pPr>
              <w:jc w:val="center"/>
              <w:rPr>
                <w:color w:val="000000" w:themeColor="text1"/>
                <w14:textFill>
                  <w14:solidFill>
                    <w14:schemeClr w14:val="tx1"/>
                  </w14:solidFill>
                </w14:textFill>
              </w:rPr>
            </w:pPr>
          </w:p>
        </w:tc>
        <w:tc>
          <w:tcPr>
            <w:tcW w:w="566" w:type="pct"/>
            <w:vMerge w:val="continue"/>
            <w:shd w:val="clear" w:color="auto" w:fill="auto"/>
            <w:vAlign w:val="center"/>
          </w:tcPr>
          <w:p w14:paraId="3B76C65C">
            <w:pPr>
              <w:jc w:val="center"/>
              <w:rPr>
                <w:color w:val="000000" w:themeColor="text1"/>
                <w14:textFill>
                  <w14:solidFill>
                    <w14:schemeClr w14:val="tx1"/>
                  </w14:solidFill>
                </w14:textFill>
              </w:rPr>
            </w:pPr>
          </w:p>
        </w:tc>
        <w:tc>
          <w:tcPr>
            <w:tcW w:w="1330" w:type="pct"/>
            <w:vMerge w:val="continue"/>
            <w:vAlign w:val="center"/>
          </w:tcPr>
          <w:p w14:paraId="25803D36">
            <w:pPr>
              <w:jc w:val="center"/>
              <w:rPr>
                <w:color w:val="000000" w:themeColor="text1"/>
                <w14:textFill>
                  <w14:solidFill>
                    <w14:schemeClr w14:val="tx1"/>
                  </w14:solidFill>
                </w14:textFill>
              </w:rPr>
            </w:pPr>
          </w:p>
        </w:tc>
        <w:tc>
          <w:tcPr>
            <w:tcW w:w="1232" w:type="pct"/>
            <w:vAlign w:val="center"/>
          </w:tcPr>
          <w:p w14:paraId="7F314A77">
            <w:pPr>
              <w:pStyle w:val="50"/>
              <w:rPr>
                <w:color w:val="000000" w:themeColor="text1"/>
                <w:szCs w:val="21"/>
                <w14:textFill>
                  <w14:solidFill>
                    <w14:schemeClr w14:val="tx1"/>
                  </w14:solidFill>
                </w14:textFill>
              </w:rPr>
            </w:pPr>
            <w:r>
              <w:rPr>
                <w:color w:val="000000" w:themeColor="text1"/>
                <w:szCs w:val="21"/>
                <w14:textFill>
                  <w14:solidFill>
                    <w14:schemeClr w14:val="tx1"/>
                  </w14:solidFill>
                </w14:textFill>
              </w:rPr>
              <w:t>《关于全省开展工业企业挥发性有机物专项治理工作中排放建议值的通知》（豫环攻坚办[2017]162号）</w:t>
            </w:r>
            <w:r>
              <w:rPr>
                <w:rFonts w:hint="eastAsia"/>
                <w:color w:val="000000" w:themeColor="text1"/>
                <w:szCs w:val="21"/>
                <w14:textFill>
                  <w14:solidFill>
                    <w14:schemeClr w14:val="tx1"/>
                  </w14:solidFill>
                </w14:textFill>
              </w:rPr>
              <w:t>附件2“其他企业”</w:t>
            </w:r>
          </w:p>
        </w:tc>
      </w:tr>
      <w:tr w14:paraId="3451D9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04" w:hRule="atLeast"/>
          <w:jc w:val="center"/>
        </w:trPr>
        <w:tc>
          <w:tcPr>
            <w:tcW w:w="518" w:type="pct"/>
            <w:vMerge w:val="continue"/>
            <w:vAlign w:val="center"/>
          </w:tcPr>
          <w:p w14:paraId="716A315B">
            <w:pPr>
              <w:jc w:val="center"/>
              <w:rPr>
                <w:color w:val="000000" w:themeColor="text1"/>
                <w:szCs w:val="21"/>
                <w14:textFill>
                  <w14:solidFill>
                    <w14:schemeClr w14:val="tx1"/>
                  </w14:solidFill>
                </w14:textFill>
              </w:rPr>
            </w:pPr>
          </w:p>
        </w:tc>
        <w:tc>
          <w:tcPr>
            <w:tcW w:w="290" w:type="pct"/>
            <w:vMerge w:val="continue"/>
            <w:vAlign w:val="center"/>
          </w:tcPr>
          <w:p w14:paraId="5256F729">
            <w:pPr>
              <w:jc w:val="center"/>
              <w:rPr>
                <w:color w:val="000000" w:themeColor="text1"/>
                <w:szCs w:val="21"/>
                <w14:textFill>
                  <w14:solidFill>
                    <w14:schemeClr w14:val="tx1"/>
                  </w14:solidFill>
                </w14:textFill>
              </w:rPr>
            </w:pPr>
          </w:p>
        </w:tc>
        <w:tc>
          <w:tcPr>
            <w:tcW w:w="242" w:type="pct"/>
            <w:vMerge w:val="continue"/>
            <w:shd w:val="clear" w:color="auto" w:fill="auto"/>
            <w:vAlign w:val="center"/>
          </w:tcPr>
          <w:p w14:paraId="7024BD90">
            <w:pPr>
              <w:jc w:val="center"/>
              <w:rPr>
                <w:color w:val="000000" w:themeColor="text1"/>
                <w:szCs w:val="21"/>
                <w14:textFill>
                  <w14:solidFill>
                    <w14:schemeClr w14:val="tx1"/>
                  </w14:solidFill>
                </w14:textFill>
              </w:rPr>
            </w:pPr>
          </w:p>
        </w:tc>
        <w:tc>
          <w:tcPr>
            <w:tcW w:w="820" w:type="pct"/>
            <w:vMerge w:val="continue"/>
            <w:shd w:val="clear" w:color="auto" w:fill="auto"/>
            <w:vAlign w:val="center"/>
          </w:tcPr>
          <w:p w14:paraId="53B30A83">
            <w:pPr>
              <w:jc w:val="center"/>
              <w:rPr>
                <w:color w:val="000000" w:themeColor="text1"/>
                <w:szCs w:val="21"/>
                <w14:textFill>
                  <w14:solidFill>
                    <w14:schemeClr w14:val="tx1"/>
                  </w14:solidFill>
                </w14:textFill>
              </w:rPr>
            </w:pPr>
          </w:p>
        </w:tc>
        <w:tc>
          <w:tcPr>
            <w:tcW w:w="566" w:type="pct"/>
            <w:vMerge w:val="continue"/>
            <w:shd w:val="clear" w:color="auto" w:fill="auto"/>
            <w:vAlign w:val="center"/>
          </w:tcPr>
          <w:p w14:paraId="6DC718A3">
            <w:pPr>
              <w:jc w:val="center"/>
              <w:rPr>
                <w:color w:val="000000" w:themeColor="text1"/>
                <w:szCs w:val="21"/>
                <w14:textFill>
                  <w14:solidFill>
                    <w14:schemeClr w14:val="tx1"/>
                  </w14:solidFill>
                </w14:textFill>
              </w:rPr>
            </w:pPr>
          </w:p>
        </w:tc>
        <w:tc>
          <w:tcPr>
            <w:tcW w:w="1330" w:type="pct"/>
            <w:vMerge w:val="continue"/>
            <w:vAlign w:val="center"/>
          </w:tcPr>
          <w:p w14:paraId="740F9933">
            <w:pPr>
              <w:jc w:val="center"/>
              <w:rPr>
                <w:color w:val="000000" w:themeColor="text1"/>
                <w:szCs w:val="21"/>
                <w14:textFill>
                  <w14:solidFill>
                    <w14:schemeClr w14:val="tx1"/>
                  </w14:solidFill>
                </w14:textFill>
              </w:rPr>
            </w:pPr>
          </w:p>
        </w:tc>
        <w:tc>
          <w:tcPr>
            <w:tcW w:w="1232" w:type="pct"/>
            <w:vAlign w:val="center"/>
          </w:tcPr>
          <w:p w14:paraId="62C130EA">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《挥发性有机物无组织排放控制标准》</w:t>
            </w:r>
            <w:r>
              <w:rPr>
                <w:color w:val="000000" w:themeColor="text1"/>
                <w14:textFill>
                  <w14:solidFill>
                    <w14:schemeClr w14:val="tx1"/>
                  </w14:solidFill>
                </w14:textFill>
              </w:rPr>
              <w:t>(GB37822-2019)</w:t>
            </w:r>
          </w:p>
        </w:tc>
      </w:tr>
      <w:tr w14:paraId="79D67F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vAlign w:val="center"/>
          </w:tcPr>
          <w:p w14:paraId="1457A097">
            <w:pPr>
              <w:snapToGrid w:val="0"/>
              <w:jc w:val="center"/>
              <w:rPr>
                <w:color w:val="000000" w:themeColor="text1"/>
                <w:szCs w:val="21"/>
                <w14:textFill>
                  <w14:solidFill>
                    <w14:schemeClr w14:val="tx1"/>
                  </w14:solidFill>
                </w14:textFill>
              </w:rPr>
            </w:pPr>
          </w:p>
        </w:tc>
        <w:tc>
          <w:tcPr>
            <w:tcW w:w="290" w:type="pct"/>
            <w:vMerge w:val="continue"/>
            <w:vAlign w:val="center"/>
          </w:tcPr>
          <w:p w14:paraId="7A522210">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vMerge w:val="restart"/>
            <w:shd w:val="clear" w:color="auto" w:fill="auto"/>
            <w:vAlign w:val="center"/>
          </w:tcPr>
          <w:p w14:paraId="6F7A5515">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2#二类器械车间</w:t>
            </w:r>
          </w:p>
        </w:tc>
        <w:tc>
          <w:tcPr>
            <w:tcW w:w="820" w:type="pct"/>
            <w:shd w:val="clear" w:color="auto" w:fill="auto"/>
            <w:vAlign w:val="center"/>
          </w:tcPr>
          <w:p w14:paraId="17E3F202">
            <w:pPr>
              <w:jc w:val="center"/>
              <w:outlineLvl w:val="9"/>
              <w:rPr>
                <w:color w:val="000000" w:themeColor="text1"/>
                <w:szCs w:val="21"/>
                <w14:textFill>
                  <w14:solidFill>
                    <w14:schemeClr w14:val="tx1"/>
                  </w14:solidFill>
                </w14:textFill>
              </w:rPr>
            </w:pPr>
            <w:bookmarkStart w:id="225" w:name="_Toc19433"/>
            <w:r>
              <w:rPr>
                <w:rFonts w:hint="eastAsia"/>
                <w:color w:val="000000" w:themeColor="text1"/>
                <w:szCs w:val="21"/>
                <w14:textFill>
                  <w14:solidFill>
                    <w14:schemeClr w14:val="tx1"/>
                  </w14:solidFill>
                </w14:textFill>
              </w:rPr>
              <w:t>热敷理疗产品上料工序未收集的粉尘</w:t>
            </w:r>
            <w:bookmarkEnd w:id="225"/>
          </w:p>
        </w:tc>
        <w:tc>
          <w:tcPr>
            <w:tcW w:w="566" w:type="pct"/>
            <w:shd w:val="clear" w:color="auto" w:fill="auto"/>
            <w:vAlign w:val="center"/>
          </w:tcPr>
          <w:p w14:paraId="72632B0F">
            <w:pPr>
              <w:jc w:val="center"/>
              <w:outlineLvl w:val="9"/>
              <w:rPr>
                <w:color w:val="000000" w:themeColor="text1"/>
                <w:szCs w:val="21"/>
                <w14:textFill>
                  <w14:solidFill>
                    <w14:schemeClr w14:val="tx1"/>
                  </w14:solidFill>
                </w14:textFill>
              </w:rPr>
            </w:pPr>
            <w:bookmarkStart w:id="226" w:name="_Toc28733"/>
            <w:r>
              <w:rPr>
                <w:rFonts w:hint="eastAsia"/>
                <w:color w:val="000000" w:themeColor="text1"/>
                <w:szCs w:val="21"/>
                <w14:textFill>
                  <w14:solidFill>
                    <w14:schemeClr w14:val="tx1"/>
                  </w14:solidFill>
                </w14:textFill>
              </w:rPr>
              <w:t>颗粒物</w:t>
            </w:r>
            <w:bookmarkEnd w:id="226"/>
          </w:p>
        </w:tc>
        <w:tc>
          <w:tcPr>
            <w:tcW w:w="1330" w:type="pct"/>
            <w:vMerge w:val="restart"/>
            <w:vAlign w:val="center"/>
          </w:tcPr>
          <w:p w14:paraId="0805025D">
            <w:pPr>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车间产生的废气经循环净风（采用三级过滤器+活性炭吸附装置）净化后循环利用，不外排</w:t>
            </w:r>
          </w:p>
        </w:tc>
        <w:tc>
          <w:tcPr>
            <w:tcW w:w="1232" w:type="pct"/>
            <w:vAlign w:val="center"/>
          </w:tcPr>
          <w:p w14:paraId="3CF810DF">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 16297-1996）</w:t>
            </w:r>
            <w:r>
              <w:rPr>
                <w:rFonts w:hint="eastAsia"/>
                <w:color w:val="000000" w:themeColor="text1"/>
                <w:szCs w:val="21"/>
                <w14:textFill>
                  <w14:solidFill>
                    <w14:schemeClr w14:val="tx1"/>
                  </w14:solidFill>
                </w14:textFill>
              </w:rPr>
              <w:t>表2无组织排放限值</w:t>
            </w:r>
          </w:p>
        </w:tc>
      </w:tr>
      <w:tr w14:paraId="160157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518" w:type="pct"/>
            <w:vMerge w:val="continue"/>
            <w:vAlign w:val="center"/>
          </w:tcPr>
          <w:p w14:paraId="57AFF5EE">
            <w:pPr>
              <w:snapToGrid w:val="0"/>
              <w:jc w:val="center"/>
              <w:rPr>
                <w:color w:val="000000" w:themeColor="text1"/>
                <w:szCs w:val="21"/>
                <w14:textFill>
                  <w14:solidFill>
                    <w14:schemeClr w14:val="tx1"/>
                  </w14:solidFill>
                </w14:textFill>
              </w:rPr>
            </w:pPr>
          </w:p>
        </w:tc>
        <w:tc>
          <w:tcPr>
            <w:tcW w:w="290" w:type="pct"/>
            <w:vMerge w:val="continue"/>
            <w:vAlign w:val="center"/>
          </w:tcPr>
          <w:p w14:paraId="4A45313D">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vMerge w:val="continue"/>
            <w:shd w:val="clear" w:color="auto" w:fill="auto"/>
            <w:vAlign w:val="center"/>
          </w:tcPr>
          <w:p w14:paraId="09B6DEBF">
            <w:pPr>
              <w:pStyle w:val="49"/>
              <w:rPr>
                <w:color w:val="000000" w:themeColor="text1"/>
                <w:szCs w:val="21"/>
                <w14:textFill>
                  <w14:solidFill>
                    <w14:schemeClr w14:val="tx1"/>
                  </w14:solidFill>
                </w14:textFill>
              </w:rPr>
            </w:pPr>
          </w:p>
        </w:tc>
        <w:tc>
          <w:tcPr>
            <w:tcW w:w="820" w:type="pct"/>
            <w:vMerge w:val="restart"/>
            <w:shd w:val="clear" w:color="auto" w:fill="auto"/>
            <w:vAlign w:val="center"/>
          </w:tcPr>
          <w:p w14:paraId="4F49EE00">
            <w:pPr>
              <w:jc w:val="center"/>
              <w:outlineLvl w:val="9"/>
              <w:rPr>
                <w:color w:val="000000" w:themeColor="text1"/>
                <w:szCs w:val="21"/>
                <w14:textFill>
                  <w14:solidFill>
                    <w14:schemeClr w14:val="tx1"/>
                  </w14:solidFill>
                </w14:textFill>
              </w:rPr>
            </w:pPr>
            <w:bookmarkStart w:id="227" w:name="_Toc8778"/>
            <w:r>
              <w:rPr>
                <w:rFonts w:hint="eastAsia"/>
                <w:color w:val="000000" w:themeColor="text1"/>
                <w:szCs w:val="21"/>
                <w14:textFill>
                  <w14:solidFill>
                    <w14:schemeClr w14:val="tx1"/>
                  </w14:solidFill>
                </w14:textFill>
              </w:rPr>
              <w:t>热敷理疗产品超声波点焊废气</w:t>
            </w:r>
            <w:bookmarkEnd w:id="227"/>
          </w:p>
        </w:tc>
        <w:tc>
          <w:tcPr>
            <w:tcW w:w="566" w:type="pct"/>
            <w:vMerge w:val="restart"/>
            <w:shd w:val="clear" w:color="auto" w:fill="auto"/>
            <w:vAlign w:val="center"/>
          </w:tcPr>
          <w:p w14:paraId="4C7EAA38">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w:t>
            </w:r>
          </w:p>
        </w:tc>
        <w:tc>
          <w:tcPr>
            <w:tcW w:w="1330" w:type="pct"/>
            <w:vMerge w:val="continue"/>
            <w:vAlign w:val="center"/>
          </w:tcPr>
          <w:p w14:paraId="0E03E111">
            <w:pPr>
              <w:snapToGrid w:val="0"/>
              <w:jc w:val="center"/>
              <w:rPr>
                <w:color w:val="000000" w:themeColor="text1"/>
                <w:szCs w:val="21"/>
                <w14:textFill>
                  <w14:solidFill>
                    <w14:schemeClr w14:val="tx1"/>
                  </w14:solidFill>
                </w14:textFill>
              </w:rPr>
            </w:pPr>
          </w:p>
        </w:tc>
        <w:tc>
          <w:tcPr>
            <w:tcW w:w="3493" w:type="dxa"/>
            <w:vAlign w:val="center"/>
          </w:tcPr>
          <w:p w14:paraId="509781D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《大气污染物综合排放标准》（GB 16297-1996）</w:t>
            </w:r>
            <w:r>
              <w:rPr>
                <w:rFonts w:hint="eastAsia"/>
                <w:color w:val="000000" w:themeColor="text1"/>
                <w:szCs w:val="21"/>
                <w14:textFill>
                  <w14:solidFill>
                    <w14:schemeClr w14:val="tx1"/>
                  </w14:solidFill>
                </w14:textFill>
              </w:rPr>
              <w:t>表2无组织排放限值</w:t>
            </w:r>
          </w:p>
        </w:tc>
      </w:tr>
      <w:tr w14:paraId="1209308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518" w:type="pct"/>
            <w:vMerge w:val="continue"/>
            <w:vAlign w:val="center"/>
          </w:tcPr>
          <w:p w14:paraId="6BD4F5F8">
            <w:pPr>
              <w:pStyle w:val="50"/>
              <w:rPr>
                <w:color w:val="000000" w:themeColor="text1"/>
                <w14:textFill>
                  <w14:solidFill>
                    <w14:schemeClr w14:val="tx1"/>
                  </w14:solidFill>
                </w14:textFill>
              </w:rPr>
            </w:pPr>
          </w:p>
        </w:tc>
        <w:tc>
          <w:tcPr>
            <w:tcW w:w="290" w:type="pct"/>
            <w:vMerge w:val="continue"/>
            <w:vAlign w:val="center"/>
          </w:tcPr>
          <w:p w14:paraId="585608C8">
            <w:pPr>
              <w:pStyle w:val="50"/>
              <w:rPr>
                <w:color w:val="000000" w:themeColor="text1"/>
                <w14:textFill>
                  <w14:solidFill>
                    <w14:schemeClr w14:val="tx1"/>
                  </w14:solidFill>
                </w14:textFill>
              </w:rPr>
            </w:pPr>
          </w:p>
        </w:tc>
        <w:tc>
          <w:tcPr>
            <w:tcW w:w="242" w:type="pct"/>
            <w:vMerge w:val="continue"/>
            <w:shd w:val="clear" w:color="auto" w:fill="auto"/>
            <w:vAlign w:val="center"/>
          </w:tcPr>
          <w:p w14:paraId="4DC42655">
            <w:pPr>
              <w:pStyle w:val="50"/>
              <w:rPr>
                <w:color w:val="000000" w:themeColor="text1"/>
                <w14:textFill>
                  <w14:solidFill>
                    <w14:schemeClr w14:val="tx1"/>
                  </w14:solidFill>
                </w14:textFill>
              </w:rPr>
            </w:pPr>
          </w:p>
        </w:tc>
        <w:tc>
          <w:tcPr>
            <w:tcW w:w="820" w:type="pct"/>
            <w:vMerge w:val="continue"/>
            <w:shd w:val="clear" w:color="auto" w:fill="auto"/>
            <w:vAlign w:val="center"/>
          </w:tcPr>
          <w:p w14:paraId="2FAEB757">
            <w:pPr>
              <w:pStyle w:val="50"/>
              <w:rPr>
                <w:color w:val="000000" w:themeColor="text1"/>
                <w14:textFill>
                  <w14:solidFill>
                    <w14:schemeClr w14:val="tx1"/>
                  </w14:solidFill>
                </w14:textFill>
              </w:rPr>
            </w:pPr>
          </w:p>
        </w:tc>
        <w:tc>
          <w:tcPr>
            <w:tcW w:w="566" w:type="pct"/>
            <w:vMerge w:val="continue"/>
            <w:shd w:val="clear" w:color="auto" w:fill="auto"/>
            <w:vAlign w:val="center"/>
          </w:tcPr>
          <w:p w14:paraId="2F0063FF">
            <w:pPr>
              <w:pStyle w:val="50"/>
              <w:rPr>
                <w:color w:val="000000" w:themeColor="text1"/>
                <w14:textFill>
                  <w14:solidFill>
                    <w14:schemeClr w14:val="tx1"/>
                  </w14:solidFill>
                </w14:textFill>
              </w:rPr>
            </w:pPr>
          </w:p>
        </w:tc>
        <w:tc>
          <w:tcPr>
            <w:tcW w:w="1330" w:type="pct"/>
            <w:vMerge w:val="continue"/>
            <w:vAlign w:val="center"/>
          </w:tcPr>
          <w:p w14:paraId="45B3E15B">
            <w:pPr>
              <w:pStyle w:val="50"/>
              <w:rPr>
                <w:color w:val="000000" w:themeColor="text1"/>
                <w14:textFill>
                  <w14:solidFill>
                    <w14:schemeClr w14:val="tx1"/>
                  </w14:solidFill>
                </w14:textFill>
              </w:rPr>
            </w:pPr>
          </w:p>
        </w:tc>
        <w:tc>
          <w:tcPr>
            <w:tcW w:w="3493" w:type="dxa"/>
            <w:vAlign w:val="center"/>
          </w:tcPr>
          <w:p w14:paraId="4DBEB40F">
            <w:pPr>
              <w:pStyle w:val="50"/>
              <w:rPr>
                <w:color w:val="000000" w:themeColor="text1"/>
                <w:szCs w:val="21"/>
                <w14:textFill>
                  <w14:solidFill>
                    <w14:schemeClr w14:val="tx1"/>
                  </w14:solidFill>
                </w14:textFill>
              </w:rPr>
            </w:pPr>
            <w:r>
              <w:rPr>
                <w:color w:val="000000" w:themeColor="text1"/>
                <w:szCs w:val="21"/>
                <w14:textFill>
                  <w14:solidFill>
                    <w14:schemeClr w14:val="tx1"/>
                  </w14:solidFill>
                </w14:textFill>
              </w:rPr>
              <w:t>《关于全省开展工业企业挥发性有机物专项治理工作中排放建议值的通知》（豫环攻坚办[2017]162号）</w:t>
            </w:r>
            <w:r>
              <w:rPr>
                <w:rFonts w:hint="eastAsia"/>
                <w:color w:val="000000" w:themeColor="text1"/>
                <w:szCs w:val="21"/>
                <w14:textFill>
                  <w14:solidFill>
                    <w14:schemeClr w14:val="tx1"/>
                  </w14:solidFill>
                </w14:textFill>
              </w:rPr>
              <w:t>附件2“其他企业”</w:t>
            </w:r>
          </w:p>
        </w:tc>
      </w:tr>
      <w:tr w14:paraId="28D279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518" w:type="pct"/>
            <w:vMerge w:val="continue"/>
            <w:vAlign w:val="center"/>
          </w:tcPr>
          <w:p w14:paraId="51E3A94A">
            <w:pPr>
              <w:pStyle w:val="50"/>
              <w:rPr>
                <w:color w:val="000000" w:themeColor="text1"/>
                <w:szCs w:val="21"/>
                <w14:textFill>
                  <w14:solidFill>
                    <w14:schemeClr w14:val="tx1"/>
                  </w14:solidFill>
                </w14:textFill>
              </w:rPr>
            </w:pPr>
          </w:p>
        </w:tc>
        <w:tc>
          <w:tcPr>
            <w:tcW w:w="290" w:type="pct"/>
            <w:vMerge w:val="continue"/>
            <w:vAlign w:val="center"/>
          </w:tcPr>
          <w:p w14:paraId="62E2BE9D">
            <w:pPr>
              <w:pStyle w:val="50"/>
              <w:rPr>
                <w:color w:val="000000" w:themeColor="text1"/>
                <w:szCs w:val="21"/>
                <w14:textFill>
                  <w14:solidFill>
                    <w14:schemeClr w14:val="tx1"/>
                  </w14:solidFill>
                </w14:textFill>
              </w:rPr>
            </w:pPr>
          </w:p>
        </w:tc>
        <w:tc>
          <w:tcPr>
            <w:tcW w:w="242" w:type="pct"/>
            <w:vMerge w:val="continue"/>
            <w:shd w:val="clear" w:color="auto" w:fill="auto"/>
            <w:vAlign w:val="center"/>
          </w:tcPr>
          <w:p w14:paraId="53531A7A">
            <w:pPr>
              <w:pStyle w:val="50"/>
              <w:rPr>
                <w:color w:val="000000" w:themeColor="text1"/>
                <w:szCs w:val="21"/>
                <w14:textFill>
                  <w14:solidFill>
                    <w14:schemeClr w14:val="tx1"/>
                  </w14:solidFill>
                </w14:textFill>
              </w:rPr>
            </w:pPr>
          </w:p>
        </w:tc>
        <w:tc>
          <w:tcPr>
            <w:tcW w:w="820" w:type="pct"/>
            <w:vMerge w:val="continue"/>
            <w:shd w:val="clear" w:color="auto" w:fill="auto"/>
            <w:vAlign w:val="center"/>
          </w:tcPr>
          <w:p w14:paraId="174A5136">
            <w:pPr>
              <w:pStyle w:val="50"/>
              <w:rPr>
                <w:color w:val="000000" w:themeColor="text1"/>
                <w:szCs w:val="21"/>
                <w14:textFill>
                  <w14:solidFill>
                    <w14:schemeClr w14:val="tx1"/>
                  </w14:solidFill>
                </w14:textFill>
              </w:rPr>
            </w:pPr>
          </w:p>
        </w:tc>
        <w:tc>
          <w:tcPr>
            <w:tcW w:w="566" w:type="pct"/>
            <w:vMerge w:val="continue"/>
            <w:shd w:val="clear" w:color="auto" w:fill="auto"/>
            <w:vAlign w:val="center"/>
          </w:tcPr>
          <w:p w14:paraId="597C0621">
            <w:pPr>
              <w:pStyle w:val="50"/>
              <w:rPr>
                <w:color w:val="000000" w:themeColor="text1"/>
                <w:szCs w:val="21"/>
                <w14:textFill>
                  <w14:solidFill>
                    <w14:schemeClr w14:val="tx1"/>
                  </w14:solidFill>
                </w14:textFill>
              </w:rPr>
            </w:pPr>
          </w:p>
        </w:tc>
        <w:tc>
          <w:tcPr>
            <w:tcW w:w="1330" w:type="pct"/>
            <w:vMerge w:val="continue"/>
            <w:vAlign w:val="center"/>
          </w:tcPr>
          <w:p w14:paraId="101FC7E7">
            <w:pPr>
              <w:pStyle w:val="50"/>
              <w:rPr>
                <w:color w:val="000000" w:themeColor="text1"/>
                <w:szCs w:val="21"/>
                <w14:textFill>
                  <w14:solidFill>
                    <w14:schemeClr w14:val="tx1"/>
                  </w14:solidFill>
                </w14:textFill>
              </w:rPr>
            </w:pPr>
          </w:p>
        </w:tc>
        <w:tc>
          <w:tcPr>
            <w:tcW w:w="3493" w:type="dxa"/>
            <w:vAlign w:val="center"/>
          </w:tcPr>
          <w:p w14:paraId="4065D508">
            <w:pPr>
              <w:jc w:val="center"/>
              <w:rPr>
                <w:color w:val="000000" w:themeColor="text1"/>
                <w:szCs w:val="21"/>
                <w14:textFill>
                  <w14:solidFill>
                    <w14:schemeClr w14:val="tx1"/>
                  </w14:solidFill>
                </w14:textFill>
              </w:rPr>
            </w:pPr>
            <w:r>
              <w:rPr>
                <w:rFonts w:hint="eastAsia"/>
                <w:color w:val="000000" w:themeColor="text1"/>
                <w14:textFill>
                  <w14:solidFill>
                    <w14:schemeClr w14:val="tx1"/>
                  </w14:solidFill>
                </w14:textFill>
              </w:rPr>
              <w:t>《挥发性有机物无组织排放控制标准》</w:t>
            </w:r>
            <w:r>
              <w:rPr>
                <w:color w:val="000000" w:themeColor="text1"/>
                <w14:textFill>
                  <w14:solidFill>
                    <w14:schemeClr w14:val="tx1"/>
                  </w14:solidFill>
                </w14:textFill>
              </w:rPr>
              <w:t>(GB37822-2019)</w:t>
            </w:r>
          </w:p>
        </w:tc>
      </w:tr>
      <w:tr w14:paraId="1018F5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vAlign w:val="center"/>
          </w:tcPr>
          <w:p w14:paraId="40F49683">
            <w:pPr>
              <w:snapToGrid w:val="0"/>
              <w:jc w:val="center"/>
              <w:rPr>
                <w:color w:val="000000" w:themeColor="text1"/>
                <w:szCs w:val="21"/>
                <w14:textFill>
                  <w14:solidFill>
                    <w14:schemeClr w14:val="tx1"/>
                  </w14:solidFill>
                </w14:textFill>
              </w:rPr>
            </w:pPr>
          </w:p>
        </w:tc>
        <w:tc>
          <w:tcPr>
            <w:tcW w:w="290" w:type="pct"/>
            <w:vMerge w:val="continue"/>
            <w:vAlign w:val="center"/>
          </w:tcPr>
          <w:p w14:paraId="36E58C4C">
            <w:pPr>
              <w:autoSpaceDE w:val="0"/>
              <w:autoSpaceDN w:val="0"/>
              <w:adjustRightInd w:val="0"/>
              <w:snapToGrid w:val="0"/>
              <w:jc w:val="center"/>
              <w:rPr>
                <w:color w:val="000000" w:themeColor="text1"/>
                <w:kern w:val="0"/>
                <w:szCs w:val="21"/>
                <w14:textFill>
                  <w14:solidFill>
                    <w14:schemeClr w14:val="tx1"/>
                  </w14:solidFill>
                </w14:textFill>
              </w:rPr>
            </w:pPr>
          </w:p>
        </w:tc>
        <w:tc>
          <w:tcPr>
            <w:tcW w:w="242" w:type="pct"/>
            <w:shd w:val="clear" w:color="auto" w:fill="auto"/>
            <w:vAlign w:val="center"/>
          </w:tcPr>
          <w:p w14:paraId="4B5D89B9">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污水处理站及酒糟暂存</w:t>
            </w:r>
          </w:p>
        </w:tc>
        <w:tc>
          <w:tcPr>
            <w:tcW w:w="820" w:type="pct"/>
            <w:shd w:val="clear" w:color="auto" w:fill="auto"/>
            <w:vAlign w:val="center"/>
          </w:tcPr>
          <w:p w14:paraId="46CD7503">
            <w:pPr>
              <w:jc w:val="center"/>
              <w:outlineLvl w:val="9"/>
              <w:rPr>
                <w:color w:val="000000" w:themeColor="text1"/>
                <w:szCs w:val="21"/>
                <w14:textFill>
                  <w14:solidFill>
                    <w14:schemeClr w14:val="tx1"/>
                  </w14:solidFill>
                </w14:textFill>
              </w:rPr>
            </w:pPr>
            <w:bookmarkStart w:id="228" w:name="_Toc22962"/>
            <w:r>
              <w:rPr>
                <w:rFonts w:hint="eastAsia"/>
                <w:color w:val="000000" w:themeColor="text1"/>
                <w:szCs w:val="21"/>
                <w14:textFill>
                  <w14:solidFill>
                    <w14:schemeClr w14:val="tx1"/>
                  </w14:solidFill>
                </w14:textFill>
              </w:rPr>
              <w:t>污水处理站恶臭气体</w:t>
            </w:r>
            <w:bookmarkEnd w:id="228"/>
          </w:p>
        </w:tc>
        <w:tc>
          <w:tcPr>
            <w:tcW w:w="566" w:type="pct"/>
            <w:shd w:val="clear" w:color="auto" w:fill="auto"/>
            <w:vAlign w:val="center"/>
          </w:tcPr>
          <w:p w14:paraId="506D9894">
            <w:pPr>
              <w:jc w:val="center"/>
              <w:outlineLvl w:val="9"/>
              <w:rPr>
                <w:color w:val="000000" w:themeColor="text1"/>
                <w:szCs w:val="21"/>
                <w14:textFill>
                  <w14:solidFill>
                    <w14:schemeClr w14:val="tx1"/>
                  </w14:solidFill>
                </w14:textFill>
              </w:rPr>
            </w:pPr>
            <w:bookmarkStart w:id="229" w:name="_Toc2750"/>
            <w:r>
              <w:rPr>
                <w:rFonts w:hint="eastAsia"/>
                <w:color w:val="000000" w:themeColor="text1"/>
                <w:szCs w:val="21"/>
                <w14:textFill>
                  <w14:solidFill>
                    <w14:schemeClr w14:val="tx1"/>
                  </w14:solidFill>
                </w14:textFill>
              </w:rPr>
              <w:t>颗粒物</w:t>
            </w:r>
            <w:bookmarkEnd w:id="229"/>
          </w:p>
        </w:tc>
        <w:tc>
          <w:tcPr>
            <w:tcW w:w="1330" w:type="pct"/>
            <w:shd w:val="clear" w:color="auto" w:fill="auto"/>
            <w:vAlign w:val="center"/>
          </w:tcPr>
          <w:p w14:paraId="7BF01603">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污水处理站加盖密闭，定期喷洒除臭剂等</w:t>
            </w:r>
          </w:p>
        </w:tc>
        <w:tc>
          <w:tcPr>
            <w:tcW w:w="1232" w:type="pct"/>
            <w:vAlign w:val="center"/>
          </w:tcPr>
          <w:p w14:paraId="6149AE59">
            <w:pPr>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《恶臭污染物排放标准》（GB 14554-93）中表1标准</w:t>
            </w:r>
          </w:p>
        </w:tc>
      </w:tr>
      <w:tr w14:paraId="077E12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restart"/>
            <w:vAlign w:val="center"/>
          </w:tcPr>
          <w:p w14:paraId="635B88D8">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地表水环境</w:t>
            </w:r>
          </w:p>
        </w:tc>
        <w:tc>
          <w:tcPr>
            <w:tcW w:w="1352" w:type="pct"/>
            <w:gridSpan w:val="3"/>
            <w:vAlign w:val="center"/>
          </w:tcPr>
          <w:p w14:paraId="7DAFFA18">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生产废水</w:t>
            </w:r>
          </w:p>
        </w:tc>
        <w:tc>
          <w:tcPr>
            <w:tcW w:w="566" w:type="pct"/>
            <w:shd w:val="clear" w:color="auto" w:fill="auto"/>
            <w:vAlign w:val="center"/>
          </w:tcPr>
          <w:p w14:paraId="6AAF1BBB">
            <w:pPr>
              <w:snapToGrid w:val="0"/>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COD、BOD</w:t>
            </w:r>
            <w:r>
              <w:rPr>
                <w:color w:val="000000" w:themeColor="text1"/>
                <w:kern w:val="0"/>
                <w:szCs w:val="21"/>
                <w:vertAlign w:val="subscript"/>
                <w14:textFill>
                  <w14:solidFill>
                    <w14:schemeClr w14:val="tx1"/>
                  </w14:solidFill>
                </w14:textFill>
              </w:rPr>
              <w:t>5</w:t>
            </w:r>
            <w:r>
              <w:rPr>
                <w:color w:val="000000" w:themeColor="text1"/>
                <w:kern w:val="0"/>
                <w:szCs w:val="21"/>
                <w14:textFill>
                  <w14:solidFill>
                    <w14:schemeClr w14:val="tx1"/>
                  </w14:solidFill>
                </w14:textFill>
              </w:rPr>
              <w:t>、NH</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-N、SS、石油类</w:t>
            </w:r>
          </w:p>
        </w:tc>
        <w:tc>
          <w:tcPr>
            <w:tcW w:w="1330" w:type="pct"/>
            <w:shd w:val="clear" w:color="auto" w:fill="auto"/>
            <w:vAlign w:val="center"/>
          </w:tcPr>
          <w:p w14:paraId="4286C72A">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生产废水与经化粪池处理后的生活污水进入厂区污水处理站</w:t>
            </w:r>
            <w:r>
              <w:rPr>
                <w:color w:val="000000" w:themeColor="text1"/>
                <w:szCs w:val="21"/>
                <w14:textFill>
                  <w14:solidFill>
                    <w14:schemeClr w14:val="tx1"/>
                  </w14:solidFill>
                </w14:textFill>
              </w:rPr>
              <w:t>（新建，1座，处理规模</w:t>
            </w:r>
            <w:r>
              <w:rPr>
                <w:rFonts w:hint="eastAsia"/>
                <w:color w:val="000000" w:themeColor="text1"/>
                <w:szCs w:val="21"/>
                <w14:textFill>
                  <w14:solidFill>
                    <w14:schemeClr w14:val="tx1"/>
                  </w14:solidFill>
                </w14:textFill>
              </w:rPr>
              <w:t>30</w:t>
            </w:r>
            <w:r>
              <w:rPr>
                <w:color w:val="000000" w:themeColor="text1"/>
                <w:szCs w:val="21"/>
                <w14:textFill>
                  <w14:solidFill>
                    <w14:schemeClr w14:val="tx1"/>
                  </w14:solidFill>
                </w14:textFill>
              </w:rPr>
              <w:t>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/d，主体工艺：</w:t>
            </w:r>
            <w:r>
              <w:rPr>
                <w:rFonts w:hint="eastAsia"/>
                <w:color w:val="000000" w:themeColor="text1"/>
                <w:szCs w:val="21"/>
                <w14:textFill>
                  <w14:solidFill>
                    <w14:schemeClr w14:val="tx1"/>
                  </w14:solidFill>
                </w14:textFill>
              </w:rPr>
              <w:t>综合废水-均质调节池-水解酸化-接触氧化-沉淀池-出水</w:t>
            </w:r>
            <w:r>
              <w:rPr>
                <w:color w:val="000000" w:themeColor="text1"/>
                <w:szCs w:val="21"/>
                <w14:textFill>
                  <w14:solidFill>
                    <w14:schemeClr w14:val="tx1"/>
                  </w14:solidFill>
                </w14:textFill>
              </w:rPr>
              <w:t>）处理</w:t>
            </w:r>
          </w:p>
        </w:tc>
        <w:tc>
          <w:tcPr>
            <w:tcW w:w="1232" w:type="pct"/>
            <w:vMerge w:val="restart"/>
            <w:vAlign w:val="center"/>
          </w:tcPr>
          <w:p w14:paraId="1B431508">
            <w:pPr>
              <w:tabs>
                <w:tab w:val="left" w:pos="5250"/>
              </w:tabs>
              <w:adjustRightInd w:val="0"/>
              <w:snapToGrid w:val="0"/>
              <w:jc w:val="center"/>
              <w:rPr>
                <w:bCs/>
                <w:color w:val="000000" w:themeColor="text1"/>
                <w:szCs w:val="21"/>
                <w14:textFill>
                  <w14:solidFill>
                    <w14:schemeClr w14:val="tx1"/>
                  </w14:solidFill>
                </w14:textFill>
              </w:rPr>
            </w:pPr>
            <w:r>
              <w:rPr>
                <w:rFonts w:hint="eastAsia"/>
                <w:color w:val="000000" w:themeColor="text1"/>
                <w:kern w:val="0"/>
                <w:szCs w:val="21"/>
                <w14:textFill>
                  <w14:solidFill>
                    <w14:schemeClr w14:val="tx1"/>
                  </w14:solidFill>
                </w14:textFill>
              </w:rPr>
              <w:t>《发酵酒精和白酒工业水污染物排放标准》（GB27631-2011）及其修改单表2间接排放标准、《啤酒工业水污染物排放标准》（DB41/681-2011）</w:t>
            </w:r>
            <w:r>
              <w:rPr>
                <w:color w:val="000000" w:themeColor="text1"/>
                <w:kern w:val="0"/>
                <w:szCs w:val="21"/>
                <w14:textFill>
                  <w14:solidFill>
                    <w14:schemeClr w14:val="tx1"/>
                  </w14:solidFill>
                </w14:textFill>
              </w:rPr>
              <w:t>及镇平县第二污水处理厂进水水质指标要求</w:t>
            </w:r>
          </w:p>
        </w:tc>
      </w:tr>
      <w:tr w14:paraId="4291BA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vAlign w:val="center"/>
          </w:tcPr>
          <w:p w14:paraId="4AA9A4FA">
            <w:pPr>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4DEDD14E">
            <w:pPr>
              <w:autoSpaceDE w:val="0"/>
              <w:autoSpaceDN w:val="0"/>
              <w:adjustRightInd w:val="0"/>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生活污水</w:t>
            </w:r>
          </w:p>
        </w:tc>
        <w:tc>
          <w:tcPr>
            <w:tcW w:w="566" w:type="pct"/>
            <w:shd w:val="clear" w:color="auto" w:fill="auto"/>
            <w:vAlign w:val="center"/>
          </w:tcPr>
          <w:p w14:paraId="26EEF206">
            <w:pPr>
              <w:snapToGrid w:val="0"/>
              <w:jc w:val="center"/>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COD、BOD</w:t>
            </w:r>
            <w:r>
              <w:rPr>
                <w:color w:val="000000" w:themeColor="text1"/>
                <w:kern w:val="0"/>
                <w:szCs w:val="21"/>
                <w:vertAlign w:val="subscript"/>
                <w14:textFill>
                  <w14:solidFill>
                    <w14:schemeClr w14:val="tx1"/>
                  </w14:solidFill>
                </w14:textFill>
              </w:rPr>
              <w:t>5</w:t>
            </w:r>
            <w:r>
              <w:rPr>
                <w:color w:val="000000" w:themeColor="text1"/>
                <w:kern w:val="0"/>
                <w:szCs w:val="21"/>
                <w14:textFill>
                  <w14:solidFill>
                    <w14:schemeClr w14:val="tx1"/>
                  </w14:solidFill>
                </w14:textFill>
              </w:rPr>
              <w:t>、NH</w:t>
            </w:r>
            <w:r>
              <w:rPr>
                <w:color w:val="000000" w:themeColor="text1"/>
                <w:kern w:val="0"/>
                <w:szCs w:val="21"/>
                <w:vertAlign w:val="subscript"/>
                <w14:textFill>
                  <w14:solidFill>
                    <w14:schemeClr w14:val="tx1"/>
                  </w14:solidFill>
                </w14:textFill>
              </w:rPr>
              <w:t>3</w:t>
            </w:r>
            <w:r>
              <w:rPr>
                <w:color w:val="000000" w:themeColor="text1"/>
                <w:kern w:val="0"/>
                <w:szCs w:val="21"/>
                <w14:textFill>
                  <w14:solidFill>
                    <w14:schemeClr w14:val="tx1"/>
                  </w14:solidFill>
                </w14:textFill>
              </w:rPr>
              <w:t>-N、SS</w:t>
            </w:r>
          </w:p>
        </w:tc>
        <w:tc>
          <w:tcPr>
            <w:tcW w:w="1330" w:type="pct"/>
            <w:shd w:val="clear" w:color="auto" w:fill="auto"/>
            <w:vAlign w:val="center"/>
          </w:tcPr>
          <w:p w14:paraId="2C8F3E7C">
            <w:pPr>
              <w:snapToGrid w:val="0"/>
              <w:jc w:val="center"/>
              <w:rPr>
                <w:color w:val="000000" w:themeColor="text1"/>
                <w:spacing w:val="-16"/>
                <w:szCs w:val="21"/>
                <w14:textFill>
                  <w14:solidFill>
                    <w14:schemeClr w14:val="tx1"/>
                  </w14:solidFill>
                </w14:textFill>
              </w:rPr>
            </w:pPr>
            <w:r>
              <w:rPr>
                <w:bCs/>
                <w:color w:val="000000" w:themeColor="text1"/>
                <w:szCs w:val="21"/>
                <w14:textFill>
                  <w14:solidFill>
                    <w14:schemeClr w14:val="tx1"/>
                  </w14:solidFill>
                </w14:textFill>
              </w:rPr>
              <w:t>经化粪池（</w:t>
            </w:r>
            <w:r>
              <w:rPr>
                <w:rFonts w:hint="eastAsia"/>
                <w:bCs/>
                <w:color w:val="000000" w:themeColor="text1"/>
                <w:szCs w:val="21"/>
                <w14:textFill>
                  <w14:solidFill>
                    <w14:schemeClr w14:val="tx1"/>
                  </w14:solidFill>
                </w14:textFill>
              </w:rPr>
              <w:t>总</w:t>
            </w:r>
            <w:r>
              <w:rPr>
                <w:bCs/>
                <w:color w:val="000000" w:themeColor="text1"/>
                <w:szCs w:val="21"/>
                <w14:textFill>
                  <w14:solidFill>
                    <w14:schemeClr w14:val="tx1"/>
                  </w14:solidFill>
                </w14:textFill>
              </w:rPr>
              <w:t>容积5m</w:t>
            </w:r>
            <w:r>
              <w:rPr>
                <w:bCs/>
                <w:color w:val="000000" w:themeColor="text1"/>
                <w:szCs w:val="21"/>
                <w:vertAlign w:val="superscript"/>
                <w14:textFill>
                  <w14:solidFill>
                    <w14:schemeClr w14:val="tx1"/>
                  </w14:solidFill>
                </w14:textFill>
              </w:rPr>
              <w:t>3</w:t>
            </w:r>
            <w:r>
              <w:rPr>
                <w:bCs/>
                <w:color w:val="000000" w:themeColor="text1"/>
                <w:szCs w:val="21"/>
                <w14:textFill>
                  <w14:solidFill>
                    <w14:schemeClr w14:val="tx1"/>
                  </w14:solidFill>
                </w14:textFill>
              </w:rPr>
              <w:t>，三防措施）</w:t>
            </w:r>
            <w:r>
              <w:rPr>
                <w:rFonts w:hint="eastAsia"/>
                <w:bCs/>
                <w:color w:val="000000" w:themeColor="text1"/>
                <w:szCs w:val="21"/>
                <w14:textFill>
                  <w14:solidFill>
                    <w14:schemeClr w14:val="tx1"/>
                  </w14:solidFill>
                </w14:textFill>
              </w:rPr>
              <w:t>后与各生产废水一并</w:t>
            </w:r>
            <w:r>
              <w:rPr>
                <w:rFonts w:hint="eastAsia"/>
                <w:color w:val="000000" w:themeColor="text1"/>
                <w:szCs w:val="21"/>
                <w14:textFill>
                  <w14:solidFill>
                    <w14:schemeClr w14:val="tx1"/>
                  </w14:solidFill>
                </w14:textFill>
              </w:rPr>
              <w:t>经污水处理站处理</w:t>
            </w:r>
          </w:p>
        </w:tc>
        <w:tc>
          <w:tcPr>
            <w:tcW w:w="1232" w:type="pct"/>
            <w:vMerge w:val="continue"/>
            <w:vAlign w:val="center"/>
          </w:tcPr>
          <w:p w14:paraId="6C351899">
            <w:pPr>
              <w:tabs>
                <w:tab w:val="left" w:pos="5250"/>
              </w:tabs>
              <w:adjustRightInd w:val="0"/>
              <w:snapToGrid w:val="0"/>
              <w:jc w:val="center"/>
              <w:rPr>
                <w:bCs/>
                <w:color w:val="000000" w:themeColor="text1"/>
                <w:szCs w:val="21"/>
                <w14:textFill>
                  <w14:solidFill>
                    <w14:schemeClr w14:val="tx1"/>
                  </w14:solidFill>
                </w14:textFill>
              </w:rPr>
            </w:pPr>
          </w:p>
        </w:tc>
      </w:tr>
      <w:tr w14:paraId="61312D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Align w:val="center"/>
          </w:tcPr>
          <w:p w14:paraId="259F578D">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声环境</w:t>
            </w:r>
          </w:p>
        </w:tc>
        <w:tc>
          <w:tcPr>
            <w:tcW w:w="1352" w:type="pct"/>
            <w:gridSpan w:val="3"/>
            <w:vAlign w:val="center"/>
          </w:tcPr>
          <w:p w14:paraId="4077C12B">
            <w:pPr>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灌装线</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激光喷码机</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连续封口机、粉碎机、风机</w:t>
            </w:r>
            <w:r>
              <w:rPr>
                <w:color w:val="000000" w:themeColor="text1"/>
                <w:szCs w:val="21"/>
                <w14:textFill>
                  <w14:solidFill>
                    <w14:schemeClr w14:val="tx1"/>
                  </w14:solidFill>
                </w14:textFill>
              </w:rPr>
              <w:t>等设备</w:t>
            </w:r>
          </w:p>
        </w:tc>
        <w:tc>
          <w:tcPr>
            <w:tcW w:w="566" w:type="pct"/>
            <w:vAlign w:val="center"/>
          </w:tcPr>
          <w:p w14:paraId="6F4897B6">
            <w:pPr>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机械噪声</w:t>
            </w:r>
          </w:p>
        </w:tc>
        <w:tc>
          <w:tcPr>
            <w:tcW w:w="1330" w:type="pct"/>
            <w:vAlign w:val="center"/>
          </w:tcPr>
          <w:p w14:paraId="6EE7CF2A">
            <w:pPr>
              <w:snapToGrid w:val="0"/>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产噪设备采取基础减振、厂房隔声等降噪措施；设备定期维护保养</w:t>
            </w:r>
          </w:p>
        </w:tc>
        <w:tc>
          <w:tcPr>
            <w:tcW w:w="1232" w:type="pct"/>
            <w:vAlign w:val="center"/>
          </w:tcPr>
          <w:p w14:paraId="4223FDCE">
            <w:pPr>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《工业企业厂界环境噪声排放标准》（GB12348-2008）2类标准</w:t>
            </w:r>
          </w:p>
        </w:tc>
      </w:tr>
      <w:tr w14:paraId="4DF521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tcBorders>
              <w:bottom w:val="single" w:color="auto" w:sz="4" w:space="0"/>
            </w:tcBorders>
            <w:vAlign w:val="center"/>
          </w:tcPr>
          <w:p w14:paraId="4C2909F1">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电磁辐射</w:t>
            </w:r>
          </w:p>
        </w:tc>
        <w:tc>
          <w:tcPr>
            <w:tcW w:w="1352" w:type="pct"/>
            <w:gridSpan w:val="3"/>
            <w:tcBorders>
              <w:bottom w:val="single" w:color="auto" w:sz="4" w:space="0"/>
            </w:tcBorders>
            <w:vAlign w:val="center"/>
          </w:tcPr>
          <w:p w14:paraId="307C230E">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566" w:type="pct"/>
            <w:tcBorders>
              <w:bottom w:val="single" w:color="auto" w:sz="4" w:space="0"/>
            </w:tcBorders>
            <w:vAlign w:val="center"/>
          </w:tcPr>
          <w:p w14:paraId="2B46F640">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330" w:type="pct"/>
            <w:tcBorders>
              <w:bottom w:val="single" w:color="auto" w:sz="4" w:space="0"/>
            </w:tcBorders>
            <w:vAlign w:val="center"/>
          </w:tcPr>
          <w:p w14:paraId="6D7FC402">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c>
          <w:tcPr>
            <w:tcW w:w="1232" w:type="pct"/>
            <w:tcBorders>
              <w:bottom w:val="single" w:color="auto" w:sz="4" w:space="0"/>
            </w:tcBorders>
            <w:vAlign w:val="center"/>
          </w:tcPr>
          <w:p w14:paraId="5718025C">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w:t>
            </w:r>
          </w:p>
        </w:tc>
      </w:tr>
      <w:tr w14:paraId="59A47E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restart"/>
            <w:tcBorders>
              <w:top w:val="single" w:color="auto" w:sz="4" w:space="0"/>
              <w:left w:val="single" w:color="auto" w:sz="4" w:space="0"/>
            </w:tcBorders>
            <w:vAlign w:val="center"/>
          </w:tcPr>
          <w:p w14:paraId="01CF8AAF">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固体废物</w:t>
            </w:r>
          </w:p>
        </w:tc>
        <w:tc>
          <w:tcPr>
            <w:tcW w:w="1352" w:type="pct"/>
            <w:gridSpan w:val="3"/>
            <w:tcBorders>
              <w:top w:val="single" w:color="auto" w:sz="4" w:space="0"/>
              <w:bottom w:val="single" w:color="auto" w:sz="4" w:space="0"/>
            </w:tcBorders>
            <w:shd w:val="clear" w:color="auto" w:fill="auto"/>
            <w:vAlign w:val="center"/>
          </w:tcPr>
          <w:p w14:paraId="1273CE2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职工生活</w:t>
            </w:r>
          </w:p>
        </w:tc>
        <w:tc>
          <w:tcPr>
            <w:tcW w:w="566" w:type="pct"/>
            <w:tcBorders>
              <w:top w:val="single" w:color="auto" w:sz="4" w:space="0"/>
              <w:bottom w:val="single" w:color="auto" w:sz="4" w:space="0"/>
            </w:tcBorders>
            <w:shd w:val="clear" w:color="auto" w:fill="auto"/>
            <w:vAlign w:val="center"/>
          </w:tcPr>
          <w:p w14:paraId="4D281D5D">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生活垃圾</w:t>
            </w:r>
          </w:p>
        </w:tc>
        <w:tc>
          <w:tcPr>
            <w:tcW w:w="1330" w:type="pct"/>
            <w:tcBorders>
              <w:top w:val="single" w:color="auto" w:sz="4" w:space="0"/>
              <w:bottom w:val="single" w:color="auto" w:sz="4" w:space="0"/>
            </w:tcBorders>
            <w:shd w:val="clear" w:color="auto" w:fill="auto"/>
            <w:vAlign w:val="center"/>
          </w:tcPr>
          <w:p w14:paraId="0242EF0A">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分类收集后交由环卫部门运至垃圾中转站处理</w:t>
            </w:r>
          </w:p>
        </w:tc>
        <w:tc>
          <w:tcPr>
            <w:tcW w:w="1232" w:type="pct"/>
            <w:vMerge w:val="restart"/>
            <w:tcBorders>
              <w:top w:val="single" w:color="auto" w:sz="4" w:space="0"/>
              <w:right w:val="single" w:color="auto" w:sz="4" w:space="0"/>
            </w:tcBorders>
            <w:vAlign w:val="center"/>
          </w:tcPr>
          <w:p w14:paraId="213E4EE3">
            <w:pPr>
              <w:tabs>
                <w:tab w:val="left" w:pos="5250"/>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《一般工业固体废物贮存和填埋污染控制标准》（GB18599-2020）</w:t>
            </w:r>
          </w:p>
        </w:tc>
      </w:tr>
      <w:tr w14:paraId="2E1E07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31F9E6AC">
            <w:pPr>
              <w:adjustRightInd w:val="0"/>
              <w:snapToGrid w:val="0"/>
              <w:jc w:val="center"/>
              <w:rPr>
                <w:color w:val="000000" w:themeColor="text1"/>
                <w:szCs w:val="21"/>
                <w14:textFill>
                  <w14:solidFill>
                    <w14:schemeClr w14:val="tx1"/>
                  </w14:solidFill>
                </w14:textFill>
              </w:rPr>
            </w:pPr>
          </w:p>
        </w:tc>
        <w:tc>
          <w:tcPr>
            <w:tcW w:w="1352" w:type="pct"/>
            <w:gridSpan w:val="3"/>
            <w:tcBorders>
              <w:top w:val="single" w:color="auto" w:sz="4" w:space="0"/>
              <w:bottom w:val="single" w:color="auto" w:sz="4" w:space="0"/>
            </w:tcBorders>
            <w:shd w:val="clear" w:color="auto" w:fill="auto"/>
            <w:vAlign w:val="center"/>
          </w:tcPr>
          <w:p w14:paraId="756B44B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化粪池</w:t>
            </w:r>
          </w:p>
        </w:tc>
        <w:tc>
          <w:tcPr>
            <w:tcW w:w="566" w:type="pct"/>
            <w:tcBorders>
              <w:top w:val="single" w:color="auto" w:sz="4" w:space="0"/>
              <w:bottom w:val="single" w:color="auto" w:sz="4" w:space="0"/>
            </w:tcBorders>
            <w:shd w:val="clear" w:color="auto" w:fill="auto"/>
            <w:vAlign w:val="center"/>
          </w:tcPr>
          <w:p w14:paraId="5DDD916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污泥</w:t>
            </w:r>
          </w:p>
        </w:tc>
        <w:tc>
          <w:tcPr>
            <w:tcW w:w="1330" w:type="pct"/>
            <w:tcBorders>
              <w:top w:val="single" w:color="auto" w:sz="4" w:space="0"/>
              <w:bottom w:val="single" w:color="auto" w:sz="4" w:space="0"/>
            </w:tcBorders>
            <w:shd w:val="clear" w:color="auto" w:fill="auto"/>
            <w:vAlign w:val="center"/>
          </w:tcPr>
          <w:p w14:paraId="7B23A888">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定期清掏后交由环卫部门处理</w:t>
            </w:r>
          </w:p>
        </w:tc>
        <w:tc>
          <w:tcPr>
            <w:tcW w:w="1232" w:type="pct"/>
            <w:vMerge w:val="continue"/>
            <w:tcBorders>
              <w:right w:val="single" w:color="auto" w:sz="4" w:space="0"/>
            </w:tcBorders>
            <w:vAlign w:val="center"/>
          </w:tcPr>
          <w:p w14:paraId="4ED5F3DA">
            <w:pPr>
              <w:tabs>
                <w:tab w:val="left" w:pos="5250"/>
              </w:tabs>
              <w:adjustRightInd w:val="0"/>
              <w:snapToGrid w:val="0"/>
              <w:jc w:val="center"/>
              <w:rPr>
                <w:bCs/>
                <w:color w:val="000000" w:themeColor="text1"/>
                <w:szCs w:val="21"/>
                <w14:textFill>
                  <w14:solidFill>
                    <w14:schemeClr w14:val="tx1"/>
                  </w14:solidFill>
                </w14:textFill>
              </w:rPr>
            </w:pPr>
          </w:p>
        </w:tc>
      </w:tr>
      <w:tr w14:paraId="086487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2EA571B9">
            <w:pPr>
              <w:adjustRightInd w:val="0"/>
              <w:snapToGrid w:val="0"/>
              <w:jc w:val="center"/>
              <w:rPr>
                <w:color w:val="000000" w:themeColor="text1"/>
                <w:szCs w:val="21"/>
                <w14:textFill>
                  <w14:solidFill>
                    <w14:schemeClr w14:val="tx1"/>
                  </w14:solidFill>
                </w14:textFill>
              </w:rPr>
            </w:pPr>
          </w:p>
        </w:tc>
        <w:tc>
          <w:tcPr>
            <w:tcW w:w="1352" w:type="pct"/>
            <w:gridSpan w:val="3"/>
            <w:tcBorders>
              <w:top w:val="single" w:color="auto" w:sz="4" w:space="0"/>
              <w:bottom w:val="single" w:color="auto" w:sz="4" w:space="0"/>
            </w:tcBorders>
            <w:shd w:val="clear" w:color="auto" w:fill="auto"/>
            <w:vAlign w:val="center"/>
          </w:tcPr>
          <w:p w14:paraId="15DBC4D4">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原料粉碎工序</w:t>
            </w:r>
          </w:p>
        </w:tc>
        <w:tc>
          <w:tcPr>
            <w:tcW w:w="566" w:type="pct"/>
            <w:tcBorders>
              <w:top w:val="single" w:color="auto" w:sz="4" w:space="0"/>
              <w:bottom w:val="single" w:color="auto" w:sz="4" w:space="0"/>
            </w:tcBorders>
            <w:shd w:val="clear" w:color="auto" w:fill="auto"/>
            <w:vAlign w:val="center"/>
          </w:tcPr>
          <w:p w14:paraId="676132C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除尘器收集到的粉尘</w:t>
            </w:r>
          </w:p>
        </w:tc>
        <w:tc>
          <w:tcPr>
            <w:tcW w:w="1330" w:type="pct"/>
            <w:tcBorders>
              <w:top w:val="single" w:color="auto" w:sz="4" w:space="0"/>
              <w:bottom w:val="single" w:color="auto" w:sz="4" w:space="0"/>
            </w:tcBorders>
            <w:shd w:val="clear" w:color="auto" w:fill="auto"/>
            <w:vAlign w:val="center"/>
          </w:tcPr>
          <w:p w14:paraId="1D81CCC4">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收集后外售综合利用</w:t>
            </w:r>
          </w:p>
        </w:tc>
        <w:tc>
          <w:tcPr>
            <w:tcW w:w="1232" w:type="pct"/>
            <w:vMerge w:val="continue"/>
            <w:tcBorders>
              <w:right w:val="single" w:color="auto" w:sz="4" w:space="0"/>
            </w:tcBorders>
            <w:vAlign w:val="center"/>
          </w:tcPr>
          <w:p w14:paraId="6332383D">
            <w:pPr>
              <w:tabs>
                <w:tab w:val="left" w:pos="5250"/>
              </w:tabs>
              <w:adjustRightInd w:val="0"/>
              <w:snapToGrid w:val="0"/>
              <w:jc w:val="center"/>
              <w:rPr>
                <w:bCs/>
                <w:color w:val="000000" w:themeColor="text1"/>
                <w:szCs w:val="21"/>
                <w14:textFill>
                  <w14:solidFill>
                    <w14:schemeClr w14:val="tx1"/>
                  </w14:solidFill>
                </w14:textFill>
              </w:rPr>
            </w:pPr>
          </w:p>
        </w:tc>
      </w:tr>
      <w:tr w14:paraId="0B65A7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3006F618">
            <w:pPr>
              <w:adjustRightInd w:val="0"/>
              <w:snapToGrid w:val="0"/>
              <w:jc w:val="center"/>
              <w:rPr>
                <w:color w:val="000000" w:themeColor="text1"/>
                <w:szCs w:val="21"/>
                <w14:textFill>
                  <w14:solidFill>
                    <w14:schemeClr w14:val="tx1"/>
                  </w14:solidFill>
                </w14:textFill>
              </w:rPr>
            </w:pPr>
          </w:p>
        </w:tc>
        <w:tc>
          <w:tcPr>
            <w:tcW w:w="1352" w:type="pct"/>
            <w:gridSpan w:val="3"/>
            <w:tcBorders>
              <w:top w:val="single" w:color="auto" w:sz="4" w:space="0"/>
              <w:bottom w:val="single" w:color="auto" w:sz="4" w:space="0"/>
            </w:tcBorders>
            <w:shd w:val="clear" w:color="auto" w:fill="auto"/>
            <w:vAlign w:val="center"/>
          </w:tcPr>
          <w:p w14:paraId="17177AD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蒸馏、压滤以及过滤等工序</w:t>
            </w:r>
          </w:p>
        </w:tc>
        <w:tc>
          <w:tcPr>
            <w:tcW w:w="566" w:type="pct"/>
            <w:tcBorders>
              <w:top w:val="single" w:color="auto" w:sz="4" w:space="0"/>
              <w:bottom w:val="single" w:color="auto" w:sz="4" w:space="0"/>
            </w:tcBorders>
            <w:shd w:val="clear" w:color="auto" w:fill="auto"/>
            <w:vAlign w:val="center"/>
          </w:tcPr>
          <w:p w14:paraId="4ED887E6">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废酒糟</w:t>
            </w:r>
          </w:p>
        </w:tc>
        <w:tc>
          <w:tcPr>
            <w:tcW w:w="1330" w:type="pct"/>
            <w:tcBorders>
              <w:top w:val="single" w:color="auto" w:sz="4" w:space="0"/>
              <w:bottom w:val="single" w:color="auto" w:sz="4" w:space="0"/>
            </w:tcBorders>
            <w:shd w:val="clear" w:color="auto" w:fill="auto"/>
            <w:vAlign w:val="center"/>
          </w:tcPr>
          <w:p w14:paraId="2B214A3E">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外售给养畜农户用作饲料</w:t>
            </w:r>
          </w:p>
        </w:tc>
        <w:tc>
          <w:tcPr>
            <w:tcW w:w="1232" w:type="pct"/>
            <w:vMerge w:val="continue"/>
            <w:tcBorders>
              <w:right w:val="single" w:color="auto" w:sz="4" w:space="0"/>
            </w:tcBorders>
            <w:vAlign w:val="center"/>
          </w:tcPr>
          <w:p w14:paraId="3B927635">
            <w:pPr>
              <w:tabs>
                <w:tab w:val="left" w:pos="5250"/>
              </w:tabs>
              <w:adjustRightInd w:val="0"/>
              <w:snapToGrid w:val="0"/>
              <w:jc w:val="center"/>
              <w:rPr>
                <w:bCs/>
                <w:color w:val="000000" w:themeColor="text1"/>
                <w:szCs w:val="21"/>
                <w14:textFill>
                  <w14:solidFill>
                    <w14:schemeClr w14:val="tx1"/>
                  </w14:solidFill>
                </w14:textFill>
              </w:rPr>
            </w:pPr>
          </w:p>
        </w:tc>
      </w:tr>
      <w:tr w14:paraId="05BCBF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0FD63A48">
            <w:pPr>
              <w:adjustRightInd w:val="0"/>
              <w:snapToGrid w:val="0"/>
              <w:jc w:val="center"/>
              <w:rPr>
                <w:color w:val="000000" w:themeColor="text1"/>
                <w:szCs w:val="21"/>
                <w14:textFill>
                  <w14:solidFill>
                    <w14:schemeClr w14:val="tx1"/>
                  </w14:solidFill>
                </w14:textFill>
              </w:rPr>
            </w:pPr>
          </w:p>
        </w:tc>
        <w:tc>
          <w:tcPr>
            <w:tcW w:w="1352" w:type="pct"/>
            <w:gridSpan w:val="3"/>
            <w:tcBorders>
              <w:top w:val="single" w:color="auto" w:sz="4" w:space="0"/>
              <w:bottom w:val="single" w:color="auto" w:sz="4" w:space="0"/>
            </w:tcBorders>
            <w:shd w:val="clear" w:color="auto" w:fill="auto"/>
            <w:vAlign w:val="center"/>
          </w:tcPr>
          <w:p w14:paraId="59334B7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煮沸、沉淀工序</w:t>
            </w:r>
          </w:p>
        </w:tc>
        <w:tc>
          <w:tcPr>
            <w:tcW w:w="566" w:type="pct"/>
            <w:tcBorders>
              <w:top w:val="single" w:color="auto" w:sz="4" w:space="0"/>
              <w:bottom w:val="single" w:color="auto" w:sz="4" w:space="0"/>
            </w:tcBorders>
            <w:shd w:val="clear" w:color="auto" w:fill="auto"/>
            <w:vAlign w:val="center"/>
          </w:tcPr>
          <w:p w14:paraId="0C256BF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废啤酒花、热凝固物</w:t>
            </w:r>
          </w:p>
        </w:tc>
        <w:tc>
          <w:tcPr>
            <w:tcW w:w="1330" w:type="pct"/>
            <w:tcBorders>
              <w:top w:val="single" w:color="auto" w:sz="4" w:space="0"/>
              <w:bottom w:val="single" w:color="auto" w:sz="4" w:space="0"/>
            </w:tcBorders>
            <w:shd w:val="clear" w:color="auto" w:fill="auto"/>
            <w:vAlign w:val="center"/>
          </w:tcPr>
          <w:p w14:paraId="3B101507">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1232" w:type="pct"/>
            <w:vMerge w:val="continue"/>
            <w:tcBorders>
              <w:right w:val="single" w:color="auto" w:sz="4" w:space="0"/>
            </w:tcBorders>
            <w:vAlign w:val="center"/>
          </w:tcPr>
          <w:p w14:paraId="6A74DA7B">
            <w:pPr>
              <w:tabs>
                <w:tab w:val="left" w:pos="5250"/>
              </w:tabs>
              <w:adjustRightInd w:val="0"/>
              <w:snapToGrid w:val="0"/>
              <w:jc w:val="center"/>
              <w:rPr>
                <w:bCs/>
                <w:color w:val="000000" w:themeColor="text1"/>
                <w:szCs w:val="21"/>
                <w14:textFill>
                  <w14:solidFill>
                    <w14:schemeClr w14:val="tx1"/>
                  </w14:solidFill>
                </w14:textFill>
              </w:rPr>
            </w:pPr>
          </w:p>
        </w:tc>
      </w:tr>
      <w:tr w14:paraId="3FD843F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5513F89E">
            <w:pPr>
              <w:adjustRightInd w:val="0"/>
              <w:snapToGrid w:val="0"/>
              <w:jc w:val="center"/>
              <w:rPr>
                <w:color w:val="000000" w:themeColor="text1"/>
                <w:szCs w:val="21"/>
                <w14:textFill>
                  <w14:solidFill>
                    <w14:schemeClr w14:val="tx1"/>
                  </w14:solidFill>
                </w14:textFill>
              </w:rPr>
            </w:pPr>
          </w:p>
        </w:tc>
        <w:tc>
          <w:tcPr>
            <w:tcW w:w="1352" w:type="pct"/>
            <w:gridSpan w:val="3"/>
            <w:tcBorders>
              <w:top w:val="single" w:color="auto" w:sz="4" w:space="0"/>
              <w:bottom w:val="single" w:color="auto" w:sz="4" w:space="0"/>
            </w:tcBorders>
            <w:shd w:val="clear" w:color="auto" w:fill="auto"/>
            <w:vAlign w:val="center"/>
          </w:tcPr>
          <w:p w14:paraId="587D336D">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发酵工序</w:t>
            </w:r>
          </w:p>
        </w:tc>
        <w:tc>
          <w:tcPr>
            <w:tcW w:w="566" w:type="pct"/>
            <w:tcBorders>
              <w:top w:val="single" w:color="auto" w:sz="4" w:space="0"/>
              <w:bottom w:val="single" w:color="auto" w:sz="4" w:space="0"/>
            </w:tcBorders>
            <w:shd w:val="clear" w:color="auto" w:fill="auto"/>
            <w:vAlign w:val="center"/>
          </w:tcPr>
          <w:p w14:paraId="211942B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废酵母（含冷凝固物）</w:t>
            </w:r>
          </w:p>
        </w:tc>
        <w:tc>
          <w:tcPr>
            <w:tcW w:w="1330" w:type="pct"/>
            <w:tcBorders>
              <w:top w:val="single" w:color="auto" w:sz="4" w:space="0"/>
              <w:bottom w:val="single" w:color="auto" w:sz="4" w:space="0"/>
            </w:tcBorders>
            <w:shd w:val="clear" w:color="auto" w:fill="auto"/>
            <w:vAlign w:val="center"/>
          </w:tcPr>
          <w:p w14:paraId="7BA7C3D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1232" w:type="pct"/>
            <w:vMerge w:val="continue"/>
            <w:tcBorders>
              <w:right w:val="single" w:color="auto" w:sz="4" w:space="0"/>
            </w:tcBorders>
            <w:vAlign w:val="center"/>
          </w:tcPr>
          <w:p w14:paraId="02E6176C">
            <w:pPr>
              <w:tabs>
                <w:tab w:val="left" w:pos="5250"/>
              </w:tabs>
              <w:adjustRightInd w:val="0"/>
              <w:snapToGrid w:val="0"/>
              <w:jc w:val="center"/>
              <w:rPr>
                <w:bCs/>
                <w:color w:val="000000" w:themeColor="text1"/>
                <w:szCs w:val="21"/>
                <w14:textFill>
                  <w14:solidFill>
                    <w14:schemeClr w14:val="tx1"/>
                  </w14:solidFill>
                </w14:textFill>
              </w:rPr>
            </w:pPr>
          </w:p>
        </w:tc>
      </w:tr>
      <w:tr w14:paraId="716069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5C37BD41">
            <w:pPr>
              <w:adjustRightInd w:val="0"/>
              <w:snapToGrid w:val="0"/>
              <w:jc w:val="center"/>
              <w:rPr>
                <w:color w:val="000000" w:themeColor="text1"/>
                <w:szCs w:val="21"/>
                <w14:textFill>
                  <w14:solidFill>
                    <w14:schemeClr w14:val="tx1"/>
                  </w14:solidFill>
                </w14:textFill>
              </w:rPr>
            </w:pPr>
          </w:p>
        </w:tc>
        <w:tc>
          <w:tcPr>
            <w:tcW w:w="1352" w:type="pct"/>
            <w:gridSpan w:val="3"/>
            <w:tcBorders>
              <w:top w:val="single" w:color="auto" w:sz="4" w:space="0"/>
              <w:bottom w:val="single" w:color="auto" w:sz="4" w:space="0"/>
            </w:tcBorders>
            <w:shd w:val="clear" w:color="auto" w:fill="auto"/>
            <w:vAlign w:val="center"/>
          </w:tcPr>
          <w:p w14:paraId="355F6BB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压榨及过滤工序</w:t>
            </w:r>
          </w:p>
        </w:tc>
        <w:tc>
          <w:tcPr>
            <w:tcW w:w="566" w:type="pct"/>
            <w:tcBorders>
              <w:top w:val="single" w:color="auto" w:sz="4" w:space="0"/>
              <w:bottom w:val="single" w:color="auto" w:sz="4" w:space="0"/>
            </w:tcBorders>
            <w:shd w:val="clear" w:color="auto" w:fill="auto"/>
            <w:vAlign w:val="center"/>
          </w:tcPr>
          <w:p w14:paraId="1D91FE67">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废果、果皮、果渣及果梗</w:t>
            </w:r>
          </w:p>
        </w:tc>
        <w:tc>
          <w:tcPr>
            <w:tcW w:w="1330" w:type="pct"/>
            <w:tcBorders>
              <w:top w:val="single" w:color="auto" w:sz="4" w:space="0"/>
              <w:bottom w:val="single" w:color="auto" w:sz="4" w:space="0"/>
            </w:tcBorders>
            <w:shd w:val="clear" w:color="auto" w:fill="auto"/>
            <w:vAlign w:val="center"/>
          </w:tcPr>
          <w:p w14:paraId="290D3D90">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1232" w:type="pct"/>
            <w:vMerge w:val="continue"/>
            <w:tcBorders>
              <w:right w:val="single" w:color="auto" w:sz="4" w:space="0"/>
            </w:tcBorders>
            <w:vAlign w:val="center"/>
          </w:tcPr>
          <w:p w14:paraId="21463AC6">
            <w:pPr>
              <w:tabs>
                <w:tab w:val="left" w:pos="5250"/>
              </w:tabs>
              <w:adjustRightInd w:val="0"/>
              <w:snapToGrid w:val="0"/>
              <w:jc w:val="center"/>
              <w:rPr>
                <w:bCs/>
                <w:color w:val="000000" w:themeColor="text1"/>
                <w:szCs w:val="21"/>
                <w14:textFill>
                  <w14:solidFill>
                    <w14:schemeClr w14:val="tx1"/>
                  </w14:solidFill>
                </w14:textFill>
              </w:rPr>
            </w:pPr>
          </w:p>
        </w:tc>
      </w:tr>
      <w:tr w14:paraId="791AAE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723C658D">
            <w:pPr>
              <w:adjustRightInd w:val="0"/>
              <w:snapToGrid w:val="0"/>
              <w:jc w:val="center"/>
              <w:rPr>
                <w:color w:val="000000" w:themeColor="text1"/>
                <w:szCs w:val="21"/>
                <w14:textFill>
                  <w14:solidFill>
                    <w14:schemeClr w14:val="tx1"/>
                  </w14:solidFill>
                </w14:textFill>
              </w:rPr>
            </w:pPr>
          </w:p>
        </w:tc>
        <w:tc>
          <w:tcPr>
            <w:tcW w:w="1352" w:type="pct"/>
            <w:gridSpan w:val="3"/>
            <w:tcBorders>
              <w:top w:val="single" w:color="auto" w:sz="4" w:space="0"/>
              <w:bottom w:val="single" w:color="auto" w:sz="4" w:space="0"/>
            </w:tcBorders>
            <w:shd w:val="clear" w:color="auto" w:fill="auto"/>
            <w:vAlign w:val="center"/>
          </w:tcPr>
          <w:p w14:paraId="7A2BEA7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提取工序</w:t>
            </w:r>
          </w:p>
        </w:tc>
        <w:tc>
          <w:tcPr>
            <w:tcW w:w="566" w:type="pct"/>
            <w:tcBorders>
              <w:top w:val="single" w:color="auto" w:sz="4" w:space="0"/>
              <w:bottom w:val="single" w:color="auto" w:sz="4" w:space="0"/>
            </w:tcBorders>
            <w:shd w:val="clear" w:color="auto" w:fill="auto"/>
            <w:vAlign w:val="center"/>
          </w:tcPr>
          <w:p w14:paraId="6AEDA1E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过滤残渣</w:t>
            </w:r>
          </w:p>
        </w:tc>
        <w:tc>
          <w:tcPr>
            <w:tcW w:w="1330" w:type="pct"/>
            <w:tcBorders>
              <w:top w:val="single" w:color="auto" w:sz="4" w:space="0"/>
              <w:bottom w:val="single" w:color="auto" w:sz="4" w:space="0"/>
            </w:tcBorders>
            <w:shd w:val="clear" w:color="auto" w:fill="auto"/>
            <w:vAlign w:val="center"/>
          </w:tcPr>
          <w:p w14:paraId="7CD3A42B">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外售给养畜农户用作饲料</w:t>
            </w:r>
          </w:p>
        </w:tc>
        <w:tc>
          <w:tcPr>
            <w:tcW w:w="1232" w:type="pct"/>
            <w:vMerge w:val="continue"/>
            <w:tcBorders>
              <w:right w:val="single" w:color="auto" w:sz="4" w:space="0"/>
            </w:tcBorders>
            <w:vAlign w:val="center"/>
          </w:tcPr>
          <w:p w14:paraId="1A2D07C7">
            <w:pPr>
              <w:tabs>
                <w:tab w:val="left" w:pos="5250"/>
              </w:tabs>
              <w:adjustRightInd w:val="0"/>
              <w:snapToGrid w:val="0"/>
              <w:jc w:val="center"/>
              <w:rPr>
                <w:bCs/>
                <w:color w:val="000000" w:themeColor="text1"/>
                <w:szCs w:val="21"/>
                <w14:textFill>
                  <w14:solidFill>
                    <w14:schemeClr w14:val="tx1"/>
                  </w14:solidFill>
                </w14:textFill>
              </w:rPr>
            </w:pPr>
          </w:p>
        </w:tc>
      </w:tr>
      <w:tr w14:paraId="42C7FD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0E0663B3">
            <w:pPr>
              <w:adjustRightInd w:val="0"/>
              <w:snapToGrid w:val="0"/>
              <w:jc w:val="center"/>
              <w:rPr>
                <w:color w:val="000000" w:themeColor="text1"/>
                <w:szCs w:val="21"/>
                <w14:textFill>
                  <w14:solidFill>
                    <w14:schemeClr w14:val="tx1"/>
                  </w14:solidFill>
                </w14:textFill>
              </w:rPr>
            </w:pPr>
          </w:p>
        </w:tc>
        <w:tc>
          <w:tcPr>
            <w:tcW w:w="1352" w:type="pct"/>
            <w:gridSpan w:val="3"/>
            <w:tcBorders>
              <w:top w:val="single" w:color="auto" w:sz="4" w:space="0"/>
            </w:tcBorders>
            <w:shd w:val="clear" w:color="auto" w:fill="auto"/>
            <w:vAlign w:val="center"/>
          </w:tcPr>
          <w:p w14:paraId="2665A11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剪切工序</w:t>
            </w:r>
          </w:p>
        </w:tc>
        <w:tc>
          <w:tcPr>
            <w:tcW w:w="566" w:type="pct"/>
            <w:tcBorders>
              <w:top w:val="single" w:color="auto" w:sz="4" w:space="0"/>
            </w:tcBorders>
            <w:shd w:val="clear" w:color="auto" w:fill="auto"/>
            <w:vAlign w:val="center"/>
          </w:tcPr>
          <w:p w14:paraId="7B740653">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废边角料</w:t>
            </w:r>
          </w:p>
        </w:tc>
        <w:tc>
          <w:tcPr>
            <w:tcW w:w="1330" w:type="pct"/>
            <w:tcBorders>
              <w:top w:val="single" w:color="auto" w:sz="4" w:space="0"/>
            </w:tcBorders>
            <w:shd w:val="clear" w:color="auto" w:fill="auto"/>
            <w:vAlign w:val="center"/>
          </w:tcPr>
          <w:p w14:paraId="401EC511">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1232" w:type="pct"/>
            <w:vMerge w:val="continue"/>
            <w:tcBorders>
              <w:right w:val="single" w:color="auto" w:sz="4" w:space="0"/>
            </w:tcBorders>
            <w:vAlign w:val="center"/>
          </w:tcPr>
          <w:p w14:paraId="75CEAE22">
            <w:pPr>
              <w:tabs>
                <w:tab w:val="left" w:pos="5250"/>
              </w:tabs>
              <w:adjustRightInd w:val="0"/>
              <w:snapToGrid w:val="0"/>
              <w:jc w:val="center"/>
              <w:rPr>
                <w:bCs/>
                <w:color w:val="000000" w:themeColor="text1"/>
                <w:szCs w:val="21"/>
                <w14:textFill>
                  <w14:solidFill>
                    <w14:schemeClr w14:val="tx1"/>
                  </w14:solidFill>
                </w14:textFill>
              </w:rPr>
            </w:pPr>
          </w:p>
        </w:tc>
      </w:tr>
      <w:tr w14:paraId="0126A3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331603A4">
            <w:pPr>
              <w:adjustRightInd w:val="0"/>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20D2DAD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原料拆包及产品包装</w:t>
            </w:r>
          </w:p>
        </w:tc>
        <w:tc>
          <w:tcPr>
            <w:tcW w:w="566" w:type="pct"/>
            <w:shd w:val="clear" w:color="auto" w:fill="auto"/>
            <w:vAlign w:val="center"/>
          </w:tcPr>
          <w:p w14:paraId="7769E138">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废包装材料</w:t>
            </w:r>
          </w:p>
        </w:tc>
        <w:tc>
          <w:tcPr>
            <w:tcW w:w="1330" w:type="pct"/>
            <w:shd w:val="clear" w:color="auto" w:fill="auto"/>
            <w:vAlign w:val="center"/>
          </w:tcPr>
          <w:p w14:paraId="12B9E5DA">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1232" w:type="pct"/>
            <w:vMerge w:val="continue"/>
            <w:tcBorders>
              <w:right w:val="single" w:color="auto" w:sz="4" w:space="0"/>
            </w:tcBorders>
            <w:vAlign w:val="center"/>
          </w:tcPr>
          <w:p w14:paraId="78D0217C">
            <w:pPr>
              <w:tabs>
                <w:tab w:val="left" w:pos="5250"/>
              </w:tabs>
              <w:adjustRightInd w:val="0"/>
              <w:snapToGrid w:val="0"/>
              <w:jc w:val="center"/>
              <w:rPr>
                <w:bCs/>
                <w:color w:val="000000" w:themeColor="text1"/>
                <w:szCs w:val="21"/>
                <w14:textFill>
                  <w14:solidFill>
                    <w14:schemeClr w14:val="tx1"/>
                  </w14:solidFill>
                </w14:textFill>
              </w:rPr>
            </w:pPr>
          </w:p>
        </w:tc>
      </w:tr>
      <w:tr w14:paraId="4F631D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3939E383">
            <w:pPr>
              <w:adjustRightInd w:val="0"/>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40D4811D">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566" w:type="pct"/>
            <w:shd w:val="clear" w:color="auto" w:fill="auto"/>
            <w:vAlign w:val="center"/>
          </w:tcPr>
          <w:p w14:paraId="069BB6D5">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废石英砂</w:t>
            </w:r>
          </w:p>
        </w:tc>
        <w:tc>
          <w:tcPr>
            <w:tcW w:w="1330" w:type="pct"/>
            <w:shd w:val="clear" w:color="auto" w:fill="auto"/>
            <w:vAlign w:val="center"/>
          </w:tcPr>
          <w:p w14:paraId="02B0910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232" w:type="pct"/>
            <w:vMerge w:val="continue"/>
            <w:tcBorders>
              <w:right w:val="single" w:color="auto" w:sz="4" w:space="0"/>
            </w:tcBorders>
            <w:vAlign w:val="center"/>
          </w:tcPr>
          <w:p w14:paraId="0062825F">
            <w:pPr>
              <w:tabs>
                <w:tab w:val="left" w:pos="5250"/>
              </w:tabs>
              <w:adjustRightInd w:val="0"/>
              <w:snapToGrid w:val="0"/>
              <w:jc w:val="center"/>
              <w:rPr>
                <w:bCs/>
                <w:color w:val="000000" w:themeColor="text1"/>
                <w:szCs w:val="21"/>
                <w14:textFill>
                  <w14:solidFill>
                    <w14:schemeClr w14:val="tx1"/>
                  </w14:solidFill>
                </w14:textFill>
              </w:rPr>
            </w:pPr>
          </w:p>
        </w:tc>
      </w:tr>
      <w:tr w14:paraId="4F521CF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21F9A1F2">
            <w:pPr>
              <w:adjustRightInd w:val="0"/>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781D6BD9">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566" w:type="pct"/>
            <w:shd w:val="clear" w:color="auto" w:fill="auto"/>
            <w:vAlign w:val="center"/>
          </w:tcPr>
          <w:p w14:paraId="16F47D55">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废滤芯</w:t>
            </w:r>
          </w:p>
        </w:tc>
        <w:tc>
          <w:tcPr>
            <w:tcW w:w="1330" w:type="pct"/>
            <w:shd w:val="clear" w:color="auto" w:fill="auto"/>
            <w:vAlign w:val="center"/>
          </w:tcPr>
          <w:p w14:paraId="16EFA9EA">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232" w:type="pct"/>
            <w:vMerge w:val="continue"/>
            <w:tcBorders>
              <w:right w:val="single" w:color="auto" w:sz="4" w:space="0"/>
            </w:tcBorders>
            <w:vAlign w:val="center"/>
          </w:tcPr>
          <w:p w14:paraId="4F531B38">
            <w:pPr>
              <w:tabs>
                <w:tab w:val="left" w:pos="5250"/>
              </w:tabs>
              <w:adjustRightInd w:val="0"/>
              <w:snapToGrid w:val="0"/>
              <w:jc w:val="center"/>
              <w:rPr>
                <w:bCs/>
                <w:color w:val="000000" w:themeColor="text1"/>
                <w:szCs w:val="21"/>
                <w14:textFill>
                  <w14:solidFill>
                    <w14:schemeClr w14:val="tx1"/>
                  </w14:solidFill>
                </w14:textFill>
              </w:rPr>
            </w:pPr>
          </w:p>
        </w:tc>
      </w:tr>
      <w:tr w14:paraId="732C36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7F98B104">
            <w:pPr>
              <w:adjustRightInd w:val="0"/>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3B38BE42">
            <w:pPr>
              <w:jc w:val="center"/>
              <w:rPr>
                <w:color w:val="000000" w:themeColor="text1"/>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566" w:type="pct"/>
            <w:shd w:val="clear" w:color="auto" w:fill="auto"/>
            <w:vAlign w:val="center"/>
          </w:tcPr>
          <w:p w14:paraId="5FE07FCA">
            <w:pPr>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废活性炭</w:t>
            </w:r>
          </w:p>
        </w:tc>
        <w:tc>
          <w:tcPr>
            <w:tcW w:w="1330" w:type="pct"/>
            <w:shd w:val="clear" w:color="auto" w:fill="auto"/>
            <w:vAlign w:val="center"/>
          </w:tcPr>
          <w:p w14:paraId="1A04EE4E">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232" w:type="pct"/>
            <w:vMerge w:val="continue"/>
            <w:tcBorders>
              <w:right w:val="single" w:color="auto" w:sz="4" w:space="0"/>
            </w:tcBorders>
            <w:vAlign w:val="center"/>
          </w:tcPr>
          <w:p w14:paraId="5A9F2435">
            <w:pPr>
              <w:tabs>
                <w:tab w:val="left" w:pos="5250"/>
              </w:tabs>
              <w:adjustRightInd w:val="0"/>
              <w:snapToGrid w:val="0"/>
              <w:jc w:val="center"/>
              <w:rPr>
                <w:bCs/>
                <w:color w:val="000000" w:themeColor="text1"/>
                <w:szCs w:val="21"/>
                <w14:textFill>
                  <w14:solidFill>
                    <w14:schemeClr w14:val="tx1"/>
                  </w14:solidFill>
                </w14:textFill>
              </w:rPr>
            </w:pPr>
          </w:p>
        </w:tc>
      </w:tr>
      <w:tr w14:paraId="5C410F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0E77A247">
            <w:pPr>
              <w:adjustRightInd w:val="0"/>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0404FE8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纯水制备</w:t>
            </w:r>
          </w:p>
        </w:tc>
        <w:tc>
          <w:tcPr>
            <w:tcW w:w="566" w:type="pct"/>
            <w:shd w:val="clear" w:color="auto" w:fill="auto"/>
            <w:vAlign w:val="center"/>
          </w:tcPr>
          <w:p w14:paraId="113A57F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废反渗透膜</w:t>
            </w:r>
          </w:p>
        </w:tc>
        <w:tc>
          <w:tcPr>
            <w:tcW w:w="1330" w:type="pct"/>
            <w:shd w:val="clear" w:color="auto" w:fill="auto"/>
            <w:vAlign w:val="center"/>
          </w:tcPr>
          <w:p w14:paraId="12071E96">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定期交由原供应厂家回收处置</w:t>
            </w:r>
          </w:p>
        </w:tc>
        <w:tc>
          <w:tcPr>
            <w:tcW w:w="1232" w:type="pct"/>
            <w:vMerge w:val="continue"/>
            <w:tcBorders>
              <w:right w:val="single" w:color="auto" w:sz="4" w:space="0"/>
            </w:tcBorders>
            <w:vAlign w:val="center"/>
          </w:tcPr>
          <w:p w14:paraId="1C77456D">
            <w:pPr>
              <w:tabs>
                <w:tab w:val="left" w:pos="5250"/>
              </w:tabs>
              <w:adjustRightInd w:val="0"/>
              <w:snapToGrid w:val="0"/>
              <w:jc w:val="center"/>
              <w:rPr>
                <w:bCs/>
                <w:color w:val="000000" w:themeColor="text1"/>
                <w:szCs w:val="21"/>
                <w14:textFill>
                  <w14:solidFill>
                    <w14:schemeClr w14:val="tx1"/>
                  </w14:solidFill>
                </w14:textFill>
              </w:rPr>
            </w:pPr>
          </w:p>
        </w:tc>
      </w:tr>
      <w:tr w14:paraId="46D756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430C2551">
            <w:pPr>
              <w:adjustRightInd w:val="0"/>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04D62769">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过滤工序</w:t>
            </w:r>
          </w:p>
        </w:tc>
        <w:tc>
          <w:tcPr>
            <w:tcW w:w="566" w:type="pct"/>
            <w:shd w:val="clear" w:color="auto" w:fill="auto"/>
            <w:vAlign w:val="center"/>
          </w:tcPr>
          <w:p w14:paraId="0201364E">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废硅藻土</w:t>
            </w:r>
          </w:p>
        </w:tc>
        <w:tc>
          <w:tcPr>
            <w:tcW w:w="1330" w:type="pct"/>
            <w:shd w:val="clear" w:color="auto" w:fill="auto"/>
            <w:vAlign w:val="center"/>
          </w:tcPr>
          <w:p w14:paraId="1F7673AF">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1232" w:type="pct"/>
            <w:vMerge w:val="continue"/>
            <w:tcBorders>
              <w:right w:val="single" w:color="auto" w:sz="4" w:space="0"/>
            </w:tcBorders>
            <w:vAlign w:val="center"/>
          </w:tcPr>
          <w:p w14:paraId="05A1D7A9">
            <w:pPr>
              <w:tabs>
                <w:tab w:val="left" w:pos="5250"/>
              </w:tabs>
              <w:adjustRightInd w:val="0"/>
              <w:snapToGrid w:val="0"/>
              <w:jc w:val="center"/>
              <w:rPr>
                <w:bCs/>
                <w:color w:val="000000" w:themeColor="text1"/>
                <w:szCs w:val="21"/>
                <w14:textFill>
                  <w14:solidFill>
                    <w14:schemeClr w14:val="tx1"/>
                  </w14:solidFill>
                </w14:textFill>
              </w:rPr>
            </w:pPr>
          </w:p>
        </w:tc>
      </w:tr>
      <w:tr w14:paraId="183D2D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6FF9360A">
            <w:pPr>
              <w:adjustRightInd w:val="0"/>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050B29B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灌装工序</w:t>
            </w:r>
          </w:p>
        </w:tc>
        <w:tc>
          <w:tcPr>
            <w:tcW w:w="566" w:type="pct"/>
            <w:shd w:val="clear" w:color="auto" w:fill="auto"/>
            <w:vAlign w:val="center"/>
          </w:tcPr>
          <w:p w14:paraId="6520145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废酒瓶</w:t>
            </w:r>
          </w:p>
        </w:tc>
        <w:tc>
          <w:tcPr>
            <w:tcW w:w="1330" w:type="pct"/>
            <w:shd w:val="clear" w:color="auto" w:fill="auto"/>
            <w:vAlign w:val="center"/>
          </w:tcPr>
          <w:p w14:paraId="1283E8BF">
            <w:pPr>
              <w:jc w:val="center"/>
              <w:rPr>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集中收集后定期外售综合利用</w:t>
            </w:r>
          </w:p>
        </w:tc>
        <w:tc>
          <w:tcPr>
            <w:tcW w:w="1232" w:type="pct"/>
            <w:vMerge w:val="continue"/>
            <w:tcBorders>
              <w:right w:val="single" w:color="auto" w:sz="4" w:space="0"/>
            </w:tcBorders>
            <w:vAlign w:val="center"/>
          </w:tcPr>
          <w:p w14:paraId="4B3C8073">
            <w:pPr>
              <w:tabs>
                <w:tab w:val="left" w:pos="5250"/>
              </w:tabs>
              <w:adjustRightInd w:val="0"/>
              <w:snapToGrid w:val="0"/>
              <w:jc w:val="center"/>
              <w:rPr>
                <w:bCs/>
                <w:color w:val="000000" w:themeColor="text1"/>
                <w:szCs w:val="21"/>
                <w14:textFill>
                  <w14:solidFill>
                    <w14:schemeClr w14:val="tx1"/>
                  </w14:solidFill>
                </w14:textFill>
              </w:rPr>
            </w:pPr>
          </w:p>
        </w:tc>
      </w:tr>
      <w:tr w14:paraId="5C3C01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74456F0D">
            <w:pPr>
              <w:adjustRightInd w:val="0"/>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701D3C4E">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生产废水治理设施</w:t>
            </w:r>
          </w:p>
        </w:tc>
        <w:tc>
          <w:tcPr>
            <w:tcW w:w="566" w:type="pct"/>
            <w:shd w:val="clear" w:color="auto" w:fill="auto"/>
            <w:vAlign w:val="center"/>
          </w:tcPr>
          <w:p w14:paraId="7849DF43">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污泥</w:t>
            </w:r>
          </w:p>
        </w:tc>
        <w:tc>
          <w:tcPr>
            <w:tcW w:w="1330" w:type="pct"/>
            <w:shd w:val="clear" w:color="auto" w:fill="auto"/>
            <w:vAlign w:val="center"/>
          </w:tcPr>
          <w:p w14:paraId="4965AFCB">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定期清掏交由环卫部门处理</w:t>
            </w:r>
          </w:p>
        </w:tc>
        <w:tc>
          <w:tcPr>
            <w:tcW w:w="1232" w:type="pct"/>
            <w:vMerge w:val="continue"/>
            <w:tcBorders>
              <w:right w:val="single" w:color="auto" w:sz="4" w:space="0"/>
            </w:tcBorders>
            <w:vAlign w:val="center"/>
          </w:tcPr>
          <w:p w14:paraId="3D84694D">
            <w:pPr>
              <w:tabs>
                <w:tab w:val="left" w:pos="5250"/>
              </w:tabs>
              <w:adjustRightInd w:val="0"/>
              <w:snapToGrid w:val="0"/>
              <w:jc w:val="center"/>
              <w:rPr>
                <w:bCs/>
                <w:color w:val="000000" w:themeColor="text1"/>
                <w:szCs w:val="21"/>
                <w14:textFill>
                  <w14:solidFill>
                    <w14:schemeClr w14:val="tx1"/>
                  </w14:solidFill>
                </w14:textFill>
              </w:rPr>
            </w:pPr>
          </w:p>
        </w:tc>
      </w:tr>
      <w:tr w14:paraId="64974D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restart"/>
            <w:tcBorders>
              <w:left w:val="single" w:color="auto" w:sz="4" w:space="0"/>
            </w:tcBorders>
            <w:vAlign w:val="center"/>
          </w:tcPr>
          <w:p w14:paraId="05B1871A">
            <w:pPr>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危险废物</w:t>
            </w:r>
          </w:p>
        </w:tc>
        <w:tc>
          <w:tcPr>
            <w:tcW w:w="1352" w:type="pct"/>
            <w:gridSpan w:val="3"/>
            <w:shd w:val="clear" w:color="auto" w:fill="auto"/>
            <w:vAlign w:val="center"/>
          </w:tcPr>
          <w:p w14:paraId="221C8058">
            <w:pPr>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设备维护过程</w:t>
            </w:r>
          </w:p>
        </w:tc>
        <w:tc>
          <w:tcPr>
            <w:tcW w:w="566" w:type="pct"/>
            <w:shd w:val="clear" w:color="auto" w:fill="auto"/>
            <w:vAlign w:val="center"/>
          </w:tcPr>
          <w:p w14:paraId="7A4592C7">
            <w:pPr>
              <w:tabs>
                <w:tab w:val="left" w:pos="5250"/>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废润滑油、废润滑油桶</w:t>
            </w:r>
          </w:p>
        </w:tc>
        <w:tc>
          <w:tcPr>
            <w:tcW w:w="1330" w:type="pct"/>
            <w:vMerge w:val="restart"/>
            <w:shd w:val="clear" w:color="auto" w:fill="auto"/>
            <w:vAlign w:val="center"/>
          </w:tcPr>
          <w:p w14:paraId="7B220D1C">
            <w:pPr>
              <w:widowControl/>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分类集中收集于危废暂存间（面积</w:t>
            </w:r>
            <w:r>
              <w:rPr>
                <w:rFonts w:hint="eastAsia"/>
                <w:color w:val="000000" w:themeColor="text1"/>
                <w:szCs w:val="21"/>
                <w14:textFill>
                  <w14:solidFill>
                    <w14:schemeClr w14:val="tx1"/>
                  </w14:solidFill>
                </w14:textFill>
              </w:rPr>
              <w:t>1</w:t>
            </w:r>
            <w:r>
              <w:rPr>
                <w:color w:val="000000" w:themeColor="text1"/>
                <w:szCs w:val="21"/>
                <w14:textFill>
                  <w14:solidFill>
                    <w14:schemeClr w14:val="tx1"/>
                  </w14:solidFill>
                </w14:textFill>
              </w:rPr>
              <w:t>0m</w:t>
            </w:r>
            <w:r>
              <w:rPr>
                <w:color w:val="000000" w:themeColor="text1"/>
                <w:szCs w:val="21"/>
                <w:vertAlign w:val="superscript"/>
                <w14:textFill>
                  <w14:solidFill>
                    <w14:schemeClr w14:val="tx1"/>
                  </w14:solidFill>
                </w14:textFill>
              </w:rPr>
              <w:t>2</w:t>
            </w:r>
            <w:r>
              <w:rPr>
                <w:color w:val="000000" w:themeColor="text1"/>
                <w:szCs w:val="21"/>
                <w14:textFill>
                  <w14:solidFill>
                    <w14:schemeClr w14:val="tx1"/>
                  </w14:solidFill>
                </w14:textFill>
              </w:rPr>
              <w:t>，采取“六防”措施），定期交由有危废处理资质单位进行处置。</w:t>
            </w:r>
          </w:p>
        </w:tc>
        <w:tc>
          <w:tcPr>
            <w:tcW w:w="1232" w:type="pct"/>
            <w:vMerge w:val="restart"/>
            <w:vAlign w:val="center"/>
          </w:tcPr>
          <w:p w14:paraId="532474F1">
            <w:pPr>
              <w:tabs>
                <w:tab w:val="left" w:pos="5250"/>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《危险废物贮存污染控制标准》（GB18597-2023）</w:t>
            </w:r>
          </w:p>
        </w:tc>
      </w:tr>
      <w:tr w14:paraId="2B80C1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20CAF5A5">
            <w:pPr>
              <w:adjustRightInd w:val="0"/>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647A1253">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废气治理过程</w:t>
            </w:r>
          </w:p>
        </w:tc>
        <w:tc>
          <w:tcPr>
            <w:tcW w:w="566" w:type="pct"/>
            <w:shd w:val="clear" w:color="auto" w:fill="auto"/>
            <w:vAlign w:val="center"/>
          </w:tcPr>
          <w:p w14:paraId="45538623">
            <w:pPr>
              <w:tabs>
                <w:tab w:val="left" w:pos="5250"/>
              </w:tabs>
              <w:adjustRightInd w:val="0"/>
              <w:snapToGrid w:val="0"/>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废</w:t>
            </w:r>
            <w:r>
              <w:rPr>
                <w:rFonts w:hint="eastAsia"/>
                <w:color w:val="000000" w:themeColor="text1"/>
                <w:szCs w:val="21"/>
                <w14:textFill>
                  <w14:solidFill>
                    <w14:schemeClr w14:val="tx1"/>
                  </w14:solidFill>
                </w14:textFill>
              </w:rPr>
              <w:t>活性炭</w:t>
            </w:r>
          </w:p>
        </w:tc>
        <w:tc>
          <w:tcPr>
            <w:tcW w:w="1330" w:type="pct"/>
            <w:vMerge w:val="continue"/>
            <w:shd w:val="clear" w:color="auto" w:fill="auto"/>
            <w:vAlign w:val="center"/>
          </w:tcPr>
          <w:p w14:paraId="2947FBB8">
            <w:pPr>
              <w:widowControl/>
              <w:adjustRightInd w:val="0"/>
              <w:snapToGrid w:val="0"/>
              <w:jc w:val="center"/>
              <w:rPr>
                <w:color w:val="000000" w:themeColor="text1"/>
                <w:szCs w:val="21"/>
                <w14:textFill>
                  <w14:solidFill>
                    <w14:schemeClr w14:val="tx1"/>
                  </w14:solidFill>
                </w14:textFill>
              </w:rPr>
            </w:pPr>
          </w:p>
        </w:tc>
        <w:tc>
          <w:tcPr>
            <w:tcW w:w="1232" w:type="pct"/>
            <w:vMerge w:val="continue"/>
            <w:vAlign w:val="center"/>
          </w:tcPr>
          <w:p w14:paraId="3E101906">
            <w:pPr>
              <w:tabs>
                <w:tab w:val="left" w:pos="5250"/>
              </w:tabs>
              <w:adjustRightInd w:val="0"/>
              <w:snapToGrid w:val="0"/>
              <w:jc w:val="center"/>
              <w:rPr>
                <w:bCs/>
                <w:color w:val="000000" w:themeColor="text1"/>
                <w:szCs w:val="21"/>
                <w14:textFill>
                  <w14:solidFill>
                    <w14:schemeClr w14:val="tx1"/>
                  </w14:solidFill>
                </w14:textFill>
              </w:rPr>
            </w:pPr>
          </w:p>
        </w:tc>
      </w:tr>
      <w:tr w14:paraId="263395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Merge w:val="continue"/>
            <w:tcBorders>
              <w:left w:val="single" w:color="auto" w:sz="4" w:space="0"/>
            </w:tcBorders>
            <w:vAlign w:val="center"/>
          </w:tcPr>
          <w:p w14:paraId="1DDD36AB">
            <w:pPr>
              <w:adjustRightInd w:val="0"/>
              <w:snapToGrid w:val="0"/>
              <w:jc w:val="center"/>
              <w:rPr>
                <w:color w:val="000000" w:themeColor="text1"/>
                <w:szCs w:val="21"/>
                <w14:textFill>
                  <w14:solidFill>
                    <w14:schemeClr w14:val="tx1"/>
                  </w14:solidFill>
                </w14:textFill>
              </w:rPr>
            </w:pPr>
          </w:p>
        </w:tc>
        <w:tc>
          <w:tcPr>
            <w:tcW w:w="1352" w:type="pct"/>
            <w:gridSpan w:val="3"/>
            <w:shd w:val="clear" w:color="auto" w:fill="auto"/>
            <w:vAlign w:val="center"/>
          </w:tcPr>
          <w:p w14:paraId="528C9C66">
            <w:pPr>
              <w:snapToGrid w:val="0"/>
              <w:jc w:val="center"/>
              <w:rPr>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原料</w:t>
            </w:r>
            <w:r>
              <w:rPr>
                <w:color w:val="000000" w:themeColor="text1"/>
                <w:szCs w:val="21"/>
                <w14:textFill>
                  <w14:solidFill>
                    <w14:schemeClr w14:val="tx1"/>
                  </w14:solidFill>
                </w14:textFill>
              </w:rPr>
              <w:t>（氢氧化钠、硝酸）</w:t>
            </w:r>
            <w:r>
              <w:rPr>
                <w:rFonts w:hint="eastAsia"/>
                <w:color w:val="000000" w:themeColor="text1"/>
                <w:szCs w:val="21"/>
                <w14:textFill>
                  <w14:solidFill>
                    <w14:schemeClr w14:val="tx1"/>
                  </w14:solidFill>
                </w14:textFill>
              </w:rPr>
              <w:t>使用</w:t>
            </w:r>
          </w:p>
        </w:tc>
        <w:tc>
          <w:tcPr>
            <w:tcW w:w="566" w:type="pct"/>
            <w:shd w:val="clear" w:color="auto" w:fill="auto"/>
            <w:vAlign w:val="center"/>
          </w:tcPr>
          <w:p w14:paraId="634E3C91">
            <w:pPr>
              <w:tabs>
                <w:tab w:val="left" w:pos="5250"/>
              </w:tabs>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废包装材料</w:t>
            </w:r>
          </w:p>
        </w:tc>
        <w:tc>
          <w:tcPr>
            <w:tcW w:w="1330" w:type="pct"/>
            <w:vMerge w:val="continue"/>
            <w:shd w:val="clear" w:color="auto" w:fill="auto"/>
            <w:vAlign w:val="center"/>
          </w:tcPr>
          <w:p w14:paraId="3A450EDA">
            <w:pPr>
              <w:widowControl/>
              <w:adjustRightInd w:val="0"/>
              <w:snapToGrid w:val="0"/>
              <w:jc w:val="center"/>
              <w:rPr>
                <w:color w:val="000000" w:themeColor="text1"/>
                <w:szCs w:val="21"/>
                <w14:textFill>
                  <w14:solidFill>
                    <w14:schemeClr w14:val="tx1"/>
                  </w14:solidFill>
                </w14:textFill>
              </w:rPr>
            </w:pPr>
          </w:p>
        </w:tc>
        <w:tc>
          <w:tcPr>
            <w:tcW w:w="1232" w:type="pct"/>
            <w:vMerge w:val="continue"/>
            <w:vAlign w:val="center"/>
          </w:tcPr>
          <w:p w14:paraId="6116C0A4">
            <w:pPr>
              <w:tabs>
                <w:tab w:val="left" w:pos="5250"/>
              </w:tabs>
              <w:adjustRightInd w:val="0"/>
              <w:snapToGrid w:val="0"/>
              <w:jc w:val="center"/>
              <w:rPr>
                <w:bCs/>
                <w:color w:val="000000" w:themeColor="text1"/>
                <w:szCs w:val="21"/>
                <w14:textFill>
                  <w14:solidFill>
                    <w14:schemeClr w14:val="tx1"/>
                  </w14:solidFill>
                </w14:textFill>
              </w:rPr>
            </w:pPr>
          </w:p>
        </w:tc>
      </w:tr>
      <w:tr w14:paraId="1D0C67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Align w:val="center"/>
          </w:tcPr>
          <w:p w14:paraId="3B7FD4AD">
            <w:pPr>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土壤及地下水污染防治措施</w:t>
            </w:r>
          </w:p>
        </w:tc>
        <w:tc>
          <w:tcPr>
            <w:tcW w:w="4481" w:type="pct"/>
            <w:gridSpan w:val="6"/>
            <w:vAlign w:val="center"/>
          </w:tcPr>
          <w:p w14:paraId="460DC97E">
            <w:pPr>
              <w:tabs>
                <w:tab w:val="left" w:pos="1081"/>
              </w:tabs>
              <w:adjustRightInd w:val="0"/>
              <w:jc w:val="center"/>
              <w:rPr>
                <w:bCs/>
                <w:color w:val="000000" w:themeColor="text1"/>
                <w:szCs w:val="21"/>
                <w14:textFill>
                  <w14:solidFill>
                    <w14:schemeClr w14:val="tx1"/>
                  </w14:solidFill>
                </w14:textFill>
              </w:rPr>
            </w:pPr>
            <w:r>
              <w:rPr>
                <w:color w:val="000000" w:themeColor="text1"/>
                <w:szCs w:val="21"/>
                <w14:textFill>
                  <w14:solidFill>
                    <w14:schemeClr w14:val="tx1"/>
                  </w14:solidFill>
                </w14:textFill>
              </w:rPr>
              <w:t>按照分区防渗的原则一般区域采用水泥硬化地面，重点污染防治区采取重点防腐防渗，重点防渗区严格按照《危险废物贮存污染控制标准》(GB18597-2023) 要求：防渗层为至少1m厚的粘土层(渗透系数≤10</w:t>
            </w:r>
            <w:r>
              <w:rPr>
                <w:color w:val="000000" w:themeColor="text1"/>
                <w:szCs w:val="21"/>
                <w:vertAlign w:val="superscript"/>
                <w14:textFill>
                  <w14:solidFill>
                    <w14:schemeClr w14:val="tx1"/>
                  </w14:solidFill>
                </w14:textFill>
              </w:rPr>
              <w:t>-7</w:t>
            </w:r>
            <w:r>
              <w:rPr>
                <w:color w:val="000000" w:themeColor="text1"/>
                <w:szCs w:val="21"/>
                <w14:textFill>
                  <w14:solidFill>
                    <w14:schemeClr w14:val="tx1"/>
                  </w14:solidFill>
                </w14:textFill>
              </w:rPr>
              <w:t>cm/s )，或2mm厚高度密度聚乙烯，或至少2mm厚的其他人工材料，渗透系数≤10</w:t>
            </w:r>
            <w:r>
              <w:rPr>
                <w:color w:val="000000" w:themeColor="text1"/>
                <w:szCs w:val="21"/>
                <w:vertAlign w:val="superscript"/>
                <w14:textFill>
                  <w14:solidFill>
                    <w14:schemeClr w14:val="tx1"/>
                  </w14:solidFill>
                </w14:textFill>
              </w:rPr>
              <w:t>-10</w:t>
            </w:r>
            <w:r>
              <w:rPr>
                <w:color w:val="000000" w:themeColor="text1"/>
                <w:szCs w:val="21"/>
                <w14:textFill>
                  <w14:solidFill>
                    <w14:schemeClr w14:val="tx1"/>
                  </w14:solidFill>
                </w14:textFill>
              </w:rPr>
              <w:t>cm/s，并控制生产过程中粪水的“跑、冒、滴、漏”</w:t>
            </w:r>
            <w:r>
              <w:rPr>
                <w:rFonts w:hint="eastAsia"/>
                <w:color w:val="000000" w:themeColor="text1"/>
                <w:szCs w:val="21"/>
                <w14:textFill>
                  <w14:solidFill>
                    <w14:schemeClr w14:val="tx1"/>
                  </w14:solidFill>
                </w14:textFill>
              </w:rPr>
              <w:t>；简单防渗区主要包括办公区等区域，防渗技术要求为一般地面硬化；一般防渗区域主要包括化粪池、发酵车间、压滤车间等区域，防渗技术要求为等效粘土防渗层Mb≥1.5m，K≤1×10</w:t>
            </w:r>
            <w:r>
              <w:rPr>
                <w:rFonts w:hint="eastAsia"/>
                <w:color w:val="000000" w:themeColor="text1"/>
                <w:szCs w:val="21"/>
                <w:vertAlign w:val="superscript"/>
                <w14:textFill>
                  <w14:solidFill>
                    <w14:schemeClr w14:val="tx1"/>
                  </w14:solidFill>
                </w14:textFill>
              </w:rPr>
              <w:t>-7</w:t>
            </w:r>
            <w:r>
              <w:rPr>
                <w:rFonts w:hint="eastAsia"/>
                <w:color w:val="000000" w:themeColor="text1"/>
                <w:szCs w:val="21"/>
                <w14:textFill>
                  <w14:solidFill>
                    <w14:schemeClr w14:val="tx1"/>
                  </w14:solidFill>
                </w14:textFill>
              </w:rPr>
              <w:t>cm/s</w:t>
            </w:r>
            <w:r>
              <w:rPr>
                <w:color w:val="000000" w:themeColor="text1"/>
                <w:szCs w:val="21"/>
                <w14:textFill>
                  <w14:solidFill>
                    <w14:schemeClr w14:val="tx1"/>
                  </w14:solidFill>
                </w14:textFill>
              </w:rPr>
              <w:t>。</w:t>
            </w:r>
          </w:p>
        </w:tc>
      </w:tr>
      <w:tr w14:paraId="2B91A7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Align w:val="center"/>
          </w:tcPr>
          <w:p w14:paraId="444EA9EC">
            <w:pPr>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生态保护措施</w:t>
            </w:r>
          </w:p>
        </w:tc>
        <w:tc>
          <w:tcPr>
            <w:tcW w:w="4481" w:type="pct"/>
            <w:gridSpan w:val="6"/>
            <w:vAlign w:val="center"/>
          </w:tcPr>
          <w:p w14:paraId="0DD99020">
            <w:pPr>
              <w:tabs>
                <w:tab w:val="left" w:pos="5250"/>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w:t>
            </w:r>
          </w:p>
        </w:tc>
      </w:tr>
      <w:tr w14:paraId="3C189F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Align w:val="center"/>
          </w:tcPr>
          <w:p w14:paraId="351C80F5">
            <w:pPr>
              <w:tabs>
                <w:tab w:val="left" w:pos="5250"/>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环境风险</w:t>
            </w:r>
          </w:p>
          <w:p w14:paraId="4027570B">
            <w:pPr>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防范措施</w:t>
            </w:r>
          </w:p>
        </w:tc>
        <w:tc>
          <w:tcPr>
            <w:tcW w:w="4481" w:type="pct"/>
            <w:gridSpan w:val="6"/>
            <w:shd w:val="clear" w:color="auto" w:fill="auto"/>
            <w:vAlign w:val="center"/>
          </w:tcPr>
          <w:p w14:paraId="5184FC67">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1</w:t>
            </w:r>
            <w:r>
              <w:rPr>
                <w:rFonts w:hint="eastAsia" w:ascii="宋体" w:hAnsi="宋体" w:cs="宋体"/>
                <w:color w:val="000000" w:themeColor="text1"/>
                <w:kern w:val="0"/>
                <w:szCs w:val="21"/>
                <w14:textFill>
                  <w14:solidFill>
                    <w14:schemeClr w14:val="tx1"/>
                  </w14:solidFill>
                </w14:textFill>
              </w:rPr>
              <w:t xml:space="preserve">）总图布置和建筑安全防范措施 </w:t>
            </w:r>
          </w:p>
          <w:p w14:paraId="28CDA980">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①厂区配备灭火器材、安全消防通道等。各建筑物的室内消防，除按有关规定设置消火栓给水系统外，还按《建筑灭火器配置设计规范》</w:t>
            </w:r>
            <w:r>
              <w:rPr>
                <w:color w:val="000000" w:themeColor="text1"/>
                <w:kern w:val="0"/>
                <w:szCs w:val="21"/>
                <w14:textFill>
                  <w14:solidFill>
                    <w14:schemeClr w14:val="tx1"/>
                  </w14:solidFill>
                </w14:textFill>
              </w:rPr>
              <w:t xml:space="preserve">GB50140-2005 </w:t>
            </w:r>
            <w:r>
              <w:rPr>
                <w:rFonts w:hint="eastAsia" w:ascii="宋体" w:hAnsi="宋体" w:cs="宋体"/>
                <w:color w:val="000000" w:themeColor="text1"/>
                <w:kern w:val="0"/>
                <w:szCs w:val="21"/>
                <w14:textFill>
                  <w14:solidFill>
                    <w14:schemeClr w14:val="tx1"/>
                  </w14:solidFill>
                </w14:textFill>
              </w:rPr>
              <w:t>的要求，配置规定数量的</w:t>
            </w:r>
            <w:r>
              <w:rPr>
                <w:color w:val="000000" w:themeColor="text1"/>
                <w:kern w:val="0"/>
                <w:szCs w:val="21"/>
                <w14:textFill>
                  <w14:solidFill>
                    <w14:schemeClr w14:val="tx1"/>
                  </w14:solidFill>
                </w14:textFill>
              </w:rPr>
              <w:t>ABC</w:t>
            </w:r>
            <w:r>
              <w:rPr>
                <w:rFonts w:hint="eastAsia" w:ascii="宋体" w:hAnsi="宋体" w:cs="宋体"/>
                <w:color w:val="000000" w:themeColor="text1"/>
                <w:kern w:val="0"/>
                <w:szCs w:val="21"/>
                <w14:textFill>
                  <w14:solidFill>
                    <w14:schemeClr w14:val="tx1"/>
                  </w14:solidFill>
                </w14:textFill>
              </w:rPr>
              <w:t xml:space="preserve">型手提式干粉灭火器。 </w:t>
            </w:r>
          </w:p>
          <w:p w14:paraId="2025638D">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②总平面布置应进行功能分区，分区内部和相互之间保持一定通道和间距；设施的布置应保证生产人员安全操作及疏散方便；建、构筑物之间的防火间距应符合</w:t>
            </w:r>
            <w:r>
              <w:rPr>
                <w:color w:val="000000" w:themeColor="text1"/>
                <w:kern w:val="0"/>
                <w:szCs w:val="21"/>
                <w14:textFill>
                  <w14:solidFill>
                    <w14:schemeClr w14:val="tx1"/>
                  </w14:solidFill>
                </w14:textFill>
              </w:rPr>
              <w:t>GBJ16-87</w:t>
            </w:r>
            <w:r>
              <w:rPr>
                <w:rFonts w:hint="eastAsia" w:ascii="宋体" w:hAnsi="宋体" w:cs="宋体"/>
                <w:color w:val="000000" w:themeColor="text1"/>
                <w:kern w:val="0"/>
                <w:szCs w:val="21"/>
                <w14:textFill>
                  <w14:solidFill>
                    <w14:schemeClr w14:val="tx1"/>
                  </w14:solidFill>
                </w14:textFill>
              </w:rPr>
              <w:t>（</w:t>
            </w:r>
            <w:r>
              <w:rPr>
                <w:color w:val="000000" w:themeColor="text1"/>
                <w:kern w:val="0"/>
                <w:szCs w:val="21"/>
                <w14:textFill>
                  <w14:solidFill>
                    <w14:schemeClr w14:val="tx1"/>
                  </w14:solidFill>
                </w14:textFill>
              </w:rPr>
              <w:t>2001</w:t>
            </w:r>
            <w:r>
              <w:rPr>
                <w:rFonts w:hint="eastAsia" w:ascii="宋体" w:hAnsi="宋体" w:cs="宋体"/>
                <w:color w:val="000000" w:themeColor="text1"/>
                <w:kern w:val="0"/>
                <w:szCs w:val="21"/>
                <w14:textFill>
                  <w14:solidFill>
                    <w14:schemeClr w14:val="tx1"/>
                  </w14:solidFill>
                </w14:textFill>
              </w:rPr>
              <w:t>年版）的有关规定；无电力线路跨越装置区。</w:t>
            </w:r>
          </w:p>
          <w:p w14:paraId="61942B03">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③项目建设有废水处理站，事故废水可依托废水处理站调节池。</w:t>
            </w:r>
          </w:p>
          <w:p w14:paraId="31571B8B">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④严格落实厂区分区防渗和雨污分流排水体制；对危废暂存间、综合仓库（酸洗清洗剂储存区）、废水处理设施区、排水管线、事故应急池、初期雨水收集池等采取重点防渗处理；液体原料分类存放，硝酸溶液储罐储存，暂存区设置围堰和导排流管道，连接事故收集池；物料暂存区域安装应急喷淋稀释装置。按照环评及设计方案规范建设初期雨水、废水收集处理设施和防泄漏收集沟槽、事故收集池、应急切断阀门等各类环境风险防控设施；厂区污水、雨水排口分别设置应急切断截留阀门等末端事故缓冲设施等。</w:t>
            </w:r>
          </w:p>
          <w:p w14:paraId="1F958CF0">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在事故状态下，为防止消防废水等从雨排口或清下水排口直接排出，在排水管网全部设置切断装置，必要时立即切断所有排水管网，严防未经处理的事故废水排入区域地表水体。</w:t>
            </w:r>
          </w:p>
          <w:p w14:paraId="16AF2D07">
            <w:pPr>
              <w:adjustRightInd w:val="0"/>
              <w:snapToGrid w:val="0"/>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项目在主要生产场所及储存区设置水泥硬化地面等防透漏措施，及时收集泄漏物质，防止物质对地下水和土壤的污染。</w:t>
            </w:r>
          </w:p>
          <w:p w14:paraId="6D4E2907">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（2）工艺、设备及自动控制安全防范措施</w:t>
            </w:r>
          </w:p>
          <w:p w14:paraId="1E8AF004">
            <w:pPr>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设计中应选用安全可靠的工艺技术、设备，设备材质、选型应与物料特点、工艺参数相匹配；阀门、管件、接头等应选取定点生产厂家的优质产品，保证装置长期安全稳定运行。使项目投产后的安全性有可靠保证。</w:t>
            </w:r>
          </w:p>
          <w:p w14:paraId="53BB699B">
            <w:pPr>
              <w:tabs>
                <w:tab w:val="left" w:pos="1081"/>
              </w:tabs>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 xml:space="preserve">（3）消防及故障报警系统 </w:t>
            </w:r>
          </w:p>
          <w:p w14:paraId="3AB0BD96">
            <w:pPr>
              <w:tabs>
                <w:tab w:val="left" w:pos="1081"/>
              </w:tabs>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①厂区消防设计应严格遵循《建筑设计防火规范》（GB50016-20</w:t>
            </w:r>
            <w:r>
              <w:rPr>
                <w:rFonts w:hint="eastAsia"/>
                <w:color w:val="000000" w:themeColor="text1"/>
                <w:szCs w:val="21"/>
                <w:lang w:val="en-US" w:eastAsia="zh-CN"/>
                <w14:textFill>
                  <w14:solidFill>
                    <w14:schemeClr w14:val="tx1"/>
                  </w14:solidFill>
                </w14:textFill>
              </w:rPr>
              <w:t>14</w:t>
            </w:r>
            <w:r>
              <w:rPr>
                <w:color w:val="000000" w:themeColor="text1"/>
                <w:szCs w:val="21"/>
                <w14:textFill>
                  <w14:solidFill>
                    <w14:schemeClr w14:val="tx1"/>
                  </w14:solidFill>
                </w14:textFill>
              </w:rPr>
              <w:t>、《建筑灭火器配置设计规范》（GB50140-2005）。</w:t>
            </w:r>
          </w:p>
          <w:p w14:paraId="79159EF3">
            <w:pPr>
              <w:tabs>
                <w:tab w:val="left" w:pos="1081"/>
              </w:tabs>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 xml:space="preserve">②生产装置区、储存区除设置固定式、半固定式灭火设施外，还应设置小型灭火器材。甲乙类厂房、储存区、变电所等重要及有火灾危险场所应设智能干烟探测器。  </w:t>
            </w:r>
          </w:p>
          <w:p w14:paraId="07184DED">
            <w:pPr>
              <w:tabs>
                <w:tab w:val="left" w:pos="1081"/>
              </w:tabs>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③生产装置、储存装置应设置火灾自动报警和消防灭火设施。加强储酒区安全管理，严禁吸烟和动用明火，按照消防设施安全规范，加强对明火安全的管理，防止铁器撞击，防止产生静电火花，罐区电气设备、锅炉设备要符合防火防爆要求等，具体应做好：在醒目位置设立“严禁烟火”、“禁火区”等警戒标语和标牌。禁止任何人携带火种（如打火机、烟头等）和易产生碰撞火花的钉鞋器具等进入区域内。</w:t>
            </w:r>
          </w:p>
          <w:p w14:paraId="50AD7A01">
            <w:pPr>
              <w:tabs>
                <w:tab w:val="left" w:pos="1081"/>
              </w:tabs>
              <w:adjustRightInd w:val="0"/>
              <w:snapToGrid w:val="0"/>
              <w:rPr>
                <w:color w:val="000000" w:themeColor="text1"/>
                <w:szCs w:val="21"/>
                <w14:textFill>
                  <w14:solidFill>
                    <w14:schemeClr w14:val="tx1"/>
                  </w14:solidFill>
                </w14:textFill>
              </w:rPr>
            </w:pPr>
            <w:r>
              <w:rPr>
                <w:color w:val="000000" w:themeColor="text1"/>
                <w:szCs w:val="21"/>
                <w14:textFill>
                  <w14:solidFill>
                    <w14:schemeClr w14:val="tx1"/>
                  </w14:solidFill>
                </w14:textFill>
              </w:rPr>
              <w:t>④对危险场所的消防设施应进行定期检查，确保消防设施始终处于完好状态。应采取消防联动措施，当火灾确认后，能自动/手动启动消防泵等设备。</w:t>
            </w:r>
          </w:p>
          <w:p w14:paraId="32E80076">
            <w:pPr>
              <w:adjustRightInd w:val="0"/>
              <w:snapToGrid w:val="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（4）污水处理站事故风险防范措施</w:t>
            </w:r>
          </w:p>
          <w:p w14:paraId="6E146C77">
            <w:pPr>
              <w:adjustRightInd w:val="0"/>
              <w:snapToGrid w:val="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在运行过程中，若发生事故（停电等）、检修、超负荷溢流以及</w:t>
            </w:r>
            <w:r>
              <w:rPr>
                <w:rFonts w:hint="eastAsia"/>
                <w:color w:val="000000" w:themeColor="text1"/>
                <w:kern w:val="0"/>
                <w:szCs w:val="21"/>
                <w:lang w:eastAsia="zh-CN"/>
                <w14:textFill>
                  <w14:solidFill>
                    <w14:schemeClr w14:val="tx1"/>
                  </w14:solidFill>
                </w14:textFill>
              </w:rPr>
              <w:t>操作不当等</w:t>
            </w:r>
            <w:r>
              <w:rPr>
                <w:color w:val="000000" w:themeColor="text1"/>
                <w:kern w:val="0"/>
                <w:szCs w:val="21"/>
                <w14:textFill>
                  <w14:solidFill>
                    <w14:schemeClr w14:val="tx1"/>
                  </w14:solidFill>
                </w14:textFill>
              </w:rPr>
              <w:t>，将导致污水处理设施不能正常运行，可能造成废水外排，从而对地表水体造成影响。为防范废水事故排放，评价提出以下防范措施：</w:t>
            </w:r>
          </w:p>
          <w:p w14:paraId="6C407026">
            <w:pPr>
              <w:adjustRightInd w:val="0"/>
              <w:snapToGrid w:val="0"/>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①易发生故障的设备（泵类）配套备用设备，并对备用设备进行定期检查。</w:t>
            </w:r>
          </w:p>
          <w:p w14:paraId="73B0348E">
            <w:pPr>
              <w:adjustRightInd w:val="0"/>
              <w:snapToGrid w:val="0"/>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②参考《水体污染防控紧急措施设计导则》，事故储存设施总有效容积计算公式为： </w:t>
            </w:r>
          </w:p>
          <w:p w14:paraId="4CC499F3">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V总=（V1+V2-V3）</w:t>
            </w:r>
            <w:r>
              <w:rPr>
                <w:color w:val="000000" w:themeColor="text1"/>
                <w:kern w:val="0"/>
                <w:szCs w:val="21"/>
                <w:vertAlign w:val="subscript"/>
                <w14:textFill>
                  <w14:solidFill>
                    <w14:schemeClr w14:val="tx1"/>
                  </w14:solidFill>
                </w14:textFill>
              </w:rPr>
              <w:t>max</w:t>
            </w:r>
            <w:r>
              <w:rPr>
                <w:color w:val="000000" w:themeColor="text1"/>
                <w:kern w:val="0"/>
                <w:szCs w:val="21"/>
                <w14:textFill>
                  <w14:solidFill>
                    <w14:schemeClr w14:val="tx1"/>
                  </w14:solidFill>
                </w14:textFill>
              </w:rPr>
              <w:t>+V4+V5</w:t>
            </w:r>
          </w:p>
          <w:p w14:paraId="7DDF8840">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式中：V1—收集系统范围内发生事故的一个罐组或一套装置的物料量m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（储存相同物料的罐组按一个最大储罐计，装置物料量按存留最大物料量的一台反应器或中间储罐计）；本项目液体物料最大物料储存量为</w:t>
            </w:r>
            <w:r>
              <w:rPr>
                <w:rFonts w:hint="eastAsia"/>
                <w:color w:val="000000" w:themeColor="text1"/>
                <w:kern w:val="0"/>
                <w:szCs w:val="21"/>
                <w14:textFill>
                  <w14:solidFill>
                    <w14:schemeClr w14:val="tx1"/>
                  </w14:solidFill>
                </w14:textFill>
              </w:rPr>
              <w:t>60</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28913B6E">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V2—发生事故的储罐或装置的消防水量，m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3D74366B">
            <w:pPr>
              <w:widowControl/>
              <w:jc w:val="center"/>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V2=∑Q</w:t>
            </w:r>
            <w:r>
              <w:rPr>
                <w:color w:val="000000" w:themeColor="text1"/>
                <w:kern w:val="0"/>
                <w:szCs w:val="21"/>
                <w:vertAlign w:val="subscript"/>
                <w14:textFill>
                  <w14:solidFill>
                    <w14:schemeClr w14:val="tx1"/>
                  </w14:solidFill>
                </w14:textFill>
              </w:rPr>
              <w:t>消</w:t>
            </w:r>
            <w:r>
              <w:rPr>
                <w:color w:val="000000" w:themeColor="text1"/>
                <w:kern w:val="0"/>
                <w:szCs w:val="21"/>
                <w14:textFill>
                  <w14:solidFill>
                    <w14:schemeClr w14:val="tx1"/>
                  </w14:solidFill>
                </w14:textFill>
              </w:rPr>
              <w:t>t</w:t>
            </w:r>
            <w:r>
              <w:rPr>
                <w:color w:val="000000" w:themeColor="text1"/>
                <w:kern w:val="0"/>
                <w:szCs w:val="21"/>
                <w:vertAlign w:val="subscript"/>
                <w14:textFill>
                  <w14:solidFill>
                    <w14:schemeClr w14:val="tx1"/>
                  </w14:solidFill>
                </w14:textFill>
              </w:rPr>
              <w:t>消</w:t>
            </w:r>
          </w:p>
          <w:p w14:paraId="23B99B3D">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Q 消—发生事故时的储罐或装置同时使用的消防设施给水流量，m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/h；综合考虑灭火喷淋消防给水量，取10L/s；</w:t>
            </w:r>
          </w:p>
          <w:p w14:paraId="04FEBA0F">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t消—消防设施对应的设计消防历时（h），取2.0h；</w:t>
            </w:r>
          </w:p>
          <w:p w14:paraId="1B089810">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经计算，消防用水量为72m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56E17B23">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V3—发生事故时可以转输到其他设施的物料量，m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；不考虑，V3为0。</w:t>
            </w:r>
          </w:p>
          <w:p w14:paraId="4D95DA1F">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V4—发生事故时仍必须进入该收集系统的生产废水量，m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按项目一个周期事故停车计最大一次事故污水量。根据《化学工业污水处理与回用设计规范》，“污水处理场宜设非正常情况下超过进水指标的事故污水储存池，储存池容积可按8h~12h平均时流量计。”按照污水处理站12h最大废水量计，取</w:t>
            </w:r>
            <w:r>
              <w:rPr>
                <w:rFonts w:hint="eastAsia"/>
                <w:color w:val="000000" w:themeColor="text1"/>
                <w:kern w:val="0"/>
                <w:szCs w:val="21"/>
                <w14:textFill>
                  <w14:solidFill>
                    <w14:schemeClr w14:val="tx1"/>
                  </w14:solidFill>
                </w14:textFill>
              </w:rPr>
              <w:t>20.789</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095BCE5B">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V5—发生事故时可能进入该收集系统的降雨量，m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1D3B5CED">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 xml:space="preserve">项目所在地设计暴雨强度： </w:t>
            </w:r>
          </w:p>
          <w:p w14:paraId="797834CE">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drawing>
                <wp:anchor distT="0" distB="0" distL="0" distR="0" simplePos="0" relativeHeight="251678720" behindDoc="0" locked="0" layoutInCell="1" allowOverlap="1">
                  <wp:simplePos x="0" y="0"/>
                  <wp:positionH relativeFrom="column">
                    <wp:posOffset>1848485</wp:posOffset>
                  </wp:positionH>
                  <wp:positionV relativeFrom="paragraph">
                    <wp:posOffset>41910</wp:posOffset>
                  </wp:positionV>
                  <wp:extent cx="1530350" cy="311150"/>
                  <wp:effectExtent l="0" t="0" r="12700" b="13335"/>
                  <wp:wrapTopAndBottom/>
                  <wp:docPr id="34" name="图片 6"/>
                  <wp:cNvGraphicFramePr/>
                  <a:graphic xmlns:a="http://schemas.openxmlformats.org/drawingml/2006/main">
                    <a:graphicData uri="http://schemas.openxmlformats.org/drawingml/2006/picture">
                      <pic:pic xmlns:pic="http://schemas.openxmlformats.org/drawingml/2006/picture">
                        <pic:nvPicPr>
                          <pic:cNvPr id="34" name="图片 6"/>
                          <pic:cNvPicPr/>
                        </pic:nvPicPr>
                        <pic:blipFill>
                          <a:blip r:embed="rId57" cstate="print"/>
                          <a:srcRect/>
                          <a:stretch>
                            <a:fillRect/>
                          </a:stretch>
                        </pic:blipFill>
                        <pic:spPr>
                          <a:xfrm>
                            <a:off x="0" y="0"/>
                            <a:ext cx="1530350" cy="311150"/>
                          </a:xfrm>
                          <a:prstGeom prst="rect">
                            <a:avLst/>
                          </a:prstGeom>
                          <a:ln>
                            <a:noFill/>
                          </a:ln>
                        </pic:spPr>
                      </pic:pic>
                    </a:graphicData>
                  </a:graphic>
                </wp:anchor>
              </w:drawing>
            </w:r>
            <w:r>
              <w:rPr>
                <w:color w:val="000000" w:themeColor="text1"/>
                <w:kern w:val="0"/>
                <w:szCs w:val="21"/>
                <w14:textFill>
                  <w14:solidFill>
                    <w14:schemeClr w14:val="tx1"/>
                  </w14:solidFill>
                </w14:textFill>
              </w:rPr>
              <w:t>q—设计暴雨强度（L/s•公顷）；</w:t>
            </w:r>
          </w:p>
          <w:p w14:paraId="111AD6EE">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P—重现期（年），取2年；</w:t>
            </w:r>
          </w:p>
          <w:p w14:paraId="6B16C8EC">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t—降雨历时，取15min；</w:t>
            </w:r>
          </w:p>
          <w:p w14:paraId="38CCFB79">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经计算，暴雨强度为237.32L/s•公顷；结合项目平面布置图，项目初期雨水收集面积约为</w:t>
            </w:r>
            <w:r>
              <w:rPr>
                <w:rFonts w:hint="eastAsia"/>
                <w:color w:val="000000" w:themeColor="text1"/>
                <w:kern w:val="0"/>
                <w:szCs w:val="21"/>
                <w14:textFill>
                  <w14:solidFill>
                    <w14:schemeClr w14:val="tx1"/>
                  </w14:solidFill>
                </w14:textFill>
              </w:rPr>
              <w:t>15471</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2</w:t>
            </w:r>
            <w:r>
              <w:rPr>
                <w:color w:val="000000" w:themeColor="text1"/>
                <w:kern w:val="0"/>
                <w:szCs w:val="21"/>
                <w14:textFill>
                  <w14:solidFill>
                    <w14:schemeClr w14:val="tx1"/>
                  </w14:solidFill>
                </w14:textFill>
              </w:rPr>
              <w:t>，径流系数取0.9，则V5为</w:t>
            </w:r>
            <w:r>
              <w:rPr>
                <w:rFonts w:hint="eastAsia"/>
                <w:color w:val="000000" w:themeColor="text1"/>
                <w:kern w:val="0"/>
                <w:szCs w:val="21"/>
                <w14:textFill>
                  <w14:solidFill>
                    <w14:schemeClr w14:val="tx1"/>
                  </w14:solidFill>
                </w14:textFill>
              </w:rPr>
              <w:t>297.398</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w:t>
            </w:r>
          </w:p>
          <w:p w14:paraId="2D975B8D">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所需事故池容积为：V总=（</w:t>
            </w:r>
            <w:r>
              <w:rPr>
                <w:rFonts w:hint="eastAsia"/>
                <w:color w:val="000000" w:themeColor="text1"/>
                <w:kern w:val="0"/>
                <w:szCs w:val="21"/>
                <w14:textFill>
                  <w14:solidFill>
                    <w14:schemeClr w14:val="tx1"/>
                  </w14:solidFill>
                </w14:textFill>
              </w:rPr>
              <w:t>60</w:t>
            </w:r>
            <w:r>
              <w:rPr>
                <w:color w:val="000000" w:themeColor="text1"/>
                <w:kern w:val="0"/>
                <w:szCs w:val="21"/>
                <w14:textFill>
                  <w14:solidFill>
                    <w14:schemeClr w14:val="tx1"/>
                  </w14:solidFill>
                </w14:textFill>
              </w:rPr>
              <w:t>+72-0）+</w:t>
            </w:r>
            <w:r>
              <w:rPr>
                <w:rFonts w:hint="eastAsia"/>
                <w:color w:val="000000" w:themeColor="text1"/>
                <w:kern w:val="0"/>
                <w:szCs w:val="21"/>
                <w14:textFill>
                  <w14:solidFill>
                    <w14:schemeClr w14:val="tx1"/>
                  </w14:solidFill>
                </w14:textFill>
              </w:rPr>
              <w:t>20.789</w:t>
            </w:r>
            <w:r>
              <w:rPr>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297.398</w:t>
            </w:r>
            <w:r>
              <w:rPr>
                <w:color w:val="000000" w:themeColor="text1"/>
                <w:kern w:val="0"/>
                <w:szCs w:val="21"/>
                <w14:textFill>
                  <w14:solidFill>
                    <w14:schemeClr w14:val="tx1"/>
                  </w14:solidFill>
                </w14:textFill>
              </w:rPr>
              <w:t>=</w:t>
            </w:r>
            <w:r>
              <w:rPr>
                <w:rFonts w:hint="eastAsia"/>
                <w:color w:val="000000" w:themeColor="text1"/>
                <w:kern w:val="0"/>
                <w:szCs w:val="21"/>
                <w14:textFill>
                  <w14:solidFill>
                    <w14:schemeClr w14:val="tx1"/>
                  </w14:solidFill>
                </w14:textFill>
              </w:rPr>
              <w:t>450.1877</w:t>
            </w:r>
            <w:r>
              <w:rPr>
                <w:color w:val="000000" w:themeColor="text1"/>
                <w:kern w:val="0"/>
                <w:szCs w:val="21"/>
                <w14:textFill>
                  <w14:solidFill>
                    <w14:schemeClr w14:val="tx1"/>
                  </w14:solidFill>
                </w14:textFill>
              </w:rPr>
              <w:t>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。项目设计1座</w:t>
            </w:r>
            <w:r>
              <w:rPr>
                <w:rFonts w:hint="eastAsia"/>
                <w:color w:val="000000" w:themeColor="text1"/>
                <w:kern w:val="0"/>
                <w:szCs w:val="21"/>
                <w14:textFill>
                  <w14:solidFill>
                    <w14:schemeClr w14:val="tx1"/>
                  </w14:solidFill>
                </w14:textFill>
              </w:rPr>
              <w:t>5</w:t>
            </w:r>
            <w:r>
              <w:rPr>
                <w:color w:val="000000" w:themeColor="text1"/>
                <w:kern w:val="0"/>
                <w:szCs w:val="21"/>
                <w14:textFill>
                  <w14:solidFill>
                    <w14:schemeClr w14:val="tx1"/>
                  </w14:solidFill>
                </w14:textFill>
              </w:rPr>
              <w:t>00m</w:t>
            </w:r>
            <w:r>
              <w:rPr>
                <w:color w:val="000000" w:themeColor="text1"/>
                <w:kern w:val="0"/>
                <w:szCs w:val="21"/>
                <w:vertAlign w:val="superscript"/>
                <w14:textFill>
                  <w14:solidFill>
                    <w14:schemeClr w14:val="tx1"/>
                  </w14:solidFill>
                </w14:textFill>
              </w:rPr>
              <w:t>3</w:t>
            </w:r>
            <w:r>
              <w:rPr>
                <w:color w:val="000000" w:themeColor="text1"/>
                <w:kern w:val="0"/>
                <w:szCs w:val="21"/>
                <w14:textFill>
                  <w14:solidFill>
                    <w14:schemeClr w14:val="tx1"/>
                  </w14:solidFill>
                </w14:textFill>
              </w:rPr>
              <w:t>事故水池，事故池建设应按照《危险废物贮存污染控制标准》（GB18597-2023）中的相关要求做好防渗措施；生产车间和污水站应设置收集槽，以保证事故发生时，废水能够收集到事故池内。</w:t>
            </w:r>
          </w:p>
          <w:p w14:paraId="76DA26D9">
            <w:pPr>
              <w:widowControl/>
              <w:rPr>
                <w:color w:val="000000" w:themeColor="text1"/>
                <w:kern w:val="0"/>
                <w:szCs w:val="21"/>
                <w14:textFill>
                  <w14:solidFill>
                    <w14:schemeClr w14:val="tx1"/>
                  </w14:solidFill>
                </w14:textFill>
              </w:rPr>
            </w:pPr>
            <w:r>
              <w:rPr>
                <w:color w:val="000000" w:themeColor="text1"/>
                <w:kern w:val="0"/>
                <w:szCs w:val="21"/>
                <w14:textFill>
                  <w14:solidFill>
                    <w14:schemeClr w14:val="tx1"/>
                  </w14:solidFill>
                </w14:textFill>
              </w:rPr>
              <w:t>当事故发生启用消防水系统时，应打开消防水导排系统，将消防废水引入事故池，将被污染的消防废水控制在厂区内。待事故结束后检测其水质，并咨询有关专家意见，将废水在厂区内收集处理，处理达标后再排入污水处理厂处理。</w:t>
            </w:r>
          </w:p>
          <w:p w14:paraId="6060D65A">
            <w:pPr>
              <w:widowControl/>
              <w:rPr>
                <w:color w:val="000000" w:themeColor="text1"/>
                <w:szCs w:val="21"/>
                <w14:textFill>
                  <w14:solidFill>
                    <w14:schemeClr w14:val="tx1"/>
                  </w14:solidFill>
                </w14:textFill>
              </w:rPr>
            </w:pPr>
            <w:r>
              <w:rPr>
                <w:color w:val="000000" w:themeColor="text1"/>
                <w:kern w:val="0"/>
                <w:szCs w:val="21"/>
                <w14:textFill>
                  <w14:solidFill>
                    <w14:schemeClr w14:val="tx1"/>
                  </w14:solidFill>
                </w14:textFill>
              </w:rPr>
              <w:t>③污水处理设施制定严格的操作规范和管理制度，工作人员上岗前进行职业技能培训。</w:t>
            </w:r>
          </w:p>
        </w:tc>
      </w:tr>
      <w:tr w14:paraId="2736EB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18" w:type="pct"/>
            <w:vAlign w:val="center"/>
          </w:tcPr>
          <w:p w14:paraId="37C79E26">
            <w:pPr>
              <w:tabs>
                <w:tab w:val="left" w:pos="5250"/>
              </w:tabs>
              <w:adjustRightInd w:val="0"/>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其他环境</w:t>
            </w:r>
          </w:p>
          <w:p w14:paraId="00864E74">
            <w:pPr>
              <w:snapToGrid w:val="0"/>
              <w:jc w:val="center"/>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管理要求</w:t>
            </w:r>
          </w:p>
        </w:tc>
        <w:tc>
          <w:tcPr>
            <w:tcW w:w="4481" w:type="pct"/>
            <w:gridSpan w:val="6"/>
            <w:shd w:val="clear" w:color="auto" w:fill="auto"/>
            <w:vAlign w:val="center"/>
          </w:tcPr>
          <w:p w14:paraId="1BA77AD5">
            <w:pPr>
              <w:pStyle w:val="24"/>
              <w:ind w:firstLine="0" w:firstLineChars="0"/>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①建立完善的环境管理制度，设立专门环境管理机构，建立完善的环境监测制度。</w:t>
            </w:r>
          </w:p>
          <w:p w14:paraId="59D247C8">
            <w:pPr>
              <w:pStyle w:val="24"/>
              <w:ind w:firstLine="0" w:firstLineChars="0"/>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②按照环境监测计划对项目废气、废水、厂界噪声等定期进行监测。</w:t>
            </w:r>
          </w:p>
          <w:p w14:paraId="4A8C2585">
            <w:pPr>
              <w:pStyle w:val="24"/>
              <w:ind w:firstLine="0" w:firstLineChars="0"/>
              <w:rPr>
                <w:rFonts w:ascii="Times New Roman" w:hAnsi="Times New Roman"/>
                <w:color w:val="000000" w:themeColor="text1"/>
                <w:szCs w:val="21"/>
                <w14:textFill>
                  <w14:solidFill>
                    <w14:schemeClr w14:val="tx1"/>
                  </w14:solidFill>
                </w14:textFill>
              </w:rPr>
            </w:pPr>
            <w:r>
              <w:rPr>
                <w:rFonts w:ascii="Times New Roman" w:hAnsi="Times New Roman"/>
                <w:color w:val="000000" w:themeColor="text1"/>
                <w:szCs w:val="21"/>
                <w14:textFill>
                  <w14:solidFill>
                    <w14:schemeClr w14:val="tx1"/>
                  </w14:solidFill>
                </w14:textFill>
              </w:rPr>
              <w:t>③按照《固定源废气监测技术规范》（HJ/T397-2007）要求设置采样口。</w:t>
            </w:r>
          </w:p>
          <w:p w14:paraId="7790D08F">
            <w:pPr>
              <w:widowControl/>
              <w:rPr>
                <w:color w:val="000000" w:themeColor="text1"/>
                <w:szCs w:val="21"/>
                <w14:textFill>
                  <w14:solidFill>
                    <w14:schemeClr w14:val="tx1"/>
                  </w14:solidFill>
                </w14:textFill>
              </w:rPr>
            </w:pPr>
            <w:r>
              <w:rPr>
                <w:color w:val="000000" w:themeColor="text1"/>
                <w:szCs w:val="21"/>
                <w14:textFill>
                  <w14:solidFill>
                    <w14:schemeClr w14:val="tx1"/>
                  </w14:solidFill>
                </w14:textFill>
              </w:rPr>
              <w:t>④按照要求进行排污许可证申报等。</w:t>
            </w:r>
          </w:p>
        </w:tc>
      </w:tr>
    </w:tbl>
    <w:p w14:paraId="729E4CD9">
      <w:pPr>
        <w:widowControl w:val="0"/>
        <w:spacing w:beforeAutospacing="1" w:afterAutospacing="1"/>
        <w:jc w:val="center"/>
        <w:outlineLvl w:val="9"/>
        <w:rPr>
          <w:rFonts w:hint="default" w:ascii="Times New Roman" w:hAnsi="Times New Roman" w:eastAsia="宋体" w:cs="Times New Roman"/>
          <w:b/>
          <w:bCs/>
          <w:snapToGrid w:val="0"/>
          <w:color w:val="000000" w:themeColor="text1"/>
          <w:kern w:val="0"/>
          <w:sz w:val="36"/>
          <w:szCs w:val="36"/>
          <w:lang w:val="en-US" w:eastAsia="zh-CN" w:bidi="ar-SA"/>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p w14:paraId="3D6FA1FB">
      <w:pPr>
        <w:pStyle w:val="3"/>
        <w:bidi w:val="0"/>
        <w:jc w:val="center"/>
        <w:outlineLvl w:val="0"/>
        <w:rPr>
          <w:rFonts w:hint="default"/>
          <w:color w:val="000000" w:themeColor="text1"/>
          <w14:textFill>
            <w14:solidFill>
              <w14:schemeClr w14:val="tx1"/>
            </w14:solidFill>
          </w14:textFill>
        </w:rPr>
      </w:pPr>
      <w:bookmarkStart w:id="230" w:name="_Toc30381"/>
      <w:r>
        <w:rPr>
          <w:color w:val="000000" w:themeColor="text1"/>
          <w14:textFill>
            <w14:solidFill>
              <w14:schemeClr w14:val="tx1"/>
            </w14:solidFill>
          </w14:textFill>
        </w:rPr>
        <w:t>六、结论</w:t>
      </w:r>
      <w:bookmarkEnd w:id="230"/>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3049F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4FA5BF4F">
            <w:pPr>
              <w:spacing w:line="360" w:lineRule="auto"/>
              <w:ind w:firstLine="480" w:firstLineChars="200"/>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综上分析，华陀酒业（河南）有限公司酒品、饮料及医疗器械生产项目的建设符合国家产业政策，项目符合规划、选址合理。在严格执行有关环保法规和“三同时”制度，认真落实本环评提出的环保措施和对策的基础上能够实现污染物达标排放和合理处置，实现社会效益、经济效益和环境效益的协调发展，从环保角度分析，该项目建设是可行的。</w:t>
            </w:r>
          </w:p>
        </w:tc>
      </w:tr>
    </w:tbl>
    <w:p w14:paraId="53BECC91">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p w14:paraId="389EAE43">
      <w:pPr>
        <w:pStyle w:val="21"/>
        <w:adjustRightInd w:val="0"/>
        <w:snapToGrid w:val="0"/>
        <w:spacing w:before="0" w:beforeAutospacing="0" w:after="0" w:afterAutospacing="0"/>
        <w:outlineLvl w:val="0"/>
        <w:rPr>
          <w:rFonts w:ascii="Times New Roman" w:hAnsi="Times New Roman" w:eastAsia="黑体"/>
          <w:snapToGrid w:val="0"/>
          <w:color w:val="000000" w:themeColor="text1"/>
          <w:sz w:val="32"/>
          <w:szCs w:val="32"/>
          <w14:textFill>
            <w14:solidFill>
              <w14:schemeClr w14:val="tx1"/>
            </w14:solidFill>
          </w14:textFill>
        </w:rPr>
      </w:pPr>
      <w:bookmarkStart w:id="231" w:name="_Toc29187"/>
      <w:bookmarkStart w:id="232" w:name="_Toc5188"/>
      <w:r>
        <w:rPr>
          <w:rFonts w:ascii="Times New Roman" w:hAnsi="Times New Roman" w:eastAsia="黑体"/>
          <w:snapToGrid w:val="0"/>
          <w:color w:val="000000" w:themeColor="text1"/>
          <w:sz w:val="32"/>
          <w:szCs w:val="32"/>
          <w14:textFill>
            <w14:solidFill>
              <w14:schemeClr w14:val="tx1"/>
            </w14:solidFill>
          </w14:textFill>
        </w:rPr>
        <w:t>附表</w:t>
      </w:r>
      <w:bookmarkEnd w:id="231"/>
      <w:bookmarkEnd w:id="232"/>
    </w:p>
    <w:p w14:paraId="4664D449">
      <w:pPr>
        <w:pStyle w:val="21"/>
        <w:adjustRightInd w:val="0"/>
        <w:snapToGrid w:val="0"/>
        <w:spacing w:before="0" w:beforeAutospacing="0" w:after="0" w:afterAutospacing="0"/>
        <w:jc w:val="center"/>
        <w:outlineLvl w:val="9"/>
        <w:rPr>
          <w:rFonts w:ascii="Times New Roman" w:hAnsi="Times New Roman" w:eastAsia="方正小标宋_GBK"/>
          <w:snapToGrid w:val="0"/>
          <w:color w:val="000000" w:themeColor="text1"/>
          <w:sz w:val="38"/>
          <w:szCs w:val="38"/>
          <w14:textFill>
            <w14:solidFill>
              <w14:schemeClr w14:val="tx1"/>
            </w14:solidFill>
          </w14:textFill>
        </w:rPr>
      </w:pPr>
      <w:bookmarkStart w:id="233" w:name="_Toc3176"/>
      <w:r>
        <w:rPr>
          <w:rFonts w:ascii="Times New Roman" w:hAnsi="Times New Roman" w:eastAsia="方正小标宋_GBK"/>
          <w:snapToGrid w:val="0"/>
          <w:color w:val="000000" w:themeColor="text1"/>
          <w:sz w:val="38"/>
          <w:szCs w:val="38"/>
          <w14:textFill>
            <w14:solidFill>
              <w14:schemeClr w14:val="tx1"/>
            </w14:solidFill>
          </w14:textFill>
        </w:rPr>
        <w:t>建设项目污染物排放量汇总表</w:t>
      </w:r>
      <w:bookmarkEnd w:id="233"/>
    </w:p>
    <w:tbl>
      <w:tblPr>
        <w:tblStyle w:val="25"/>
        <w:tblW w:w="1377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18"/>
        <w:gridCol w:w="2171"/>
        <w:gridCol w:w="1417"/>
        <w:gridCol w:w="1276"/>
        <w:gridCol w:w="1701"/>
        <w:gridCol w:w="1559"/>
        <w:gridCol w:w="1559"/>
        <w:gridCol w:w="1701"/>
        <w:gridCol w:w="1276"/>
      </w:tblGrid>
      <w:tr w14:paraId="2EF0A1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tcBorders>
              <w:tl2br w:val="single" w:color="auto" w:sz="4" w:space="0"/>
            </w:tcBorders>
            <w:tcMar>
              <w:left w:w="28" w:type="dxa"/>
              <w:right w:w="28" w:type="dxa"/>
            </w:tcMar>
            <w:vAlign w:val="center"/>
          </w:tcPr>
          <w:p w14:paraId="573A2AFD">
            <w:pPr>
              <w:pStyle w:val="31"/>
              <w:spacing w:line="360" w:lineRule="exact"/>
              <w:jc w:val="right"/>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项目</w:t>
            </w:r>
          </w:p>
          <w:p w14:paraId="70DB8E07">
            <w:pPr>
              <w:pStyle w:val="31"/>
              <w:spacing w:line="360" w:lineRule="exact"/>
              <w:jc w:val="left"/>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分类</w:t>
            </w:r>
          </w:p>
        </w:tc>
        <w:tc>
          <w:tcPr>
            <w:tcW w:w="2171" w:type="dxa"/>
            <w:tcMar>
              <w:left w:w="28" w:type="dxa"/>
              <w:right w:w="28" w:type="dxa"/>
            </w:tcMar>
            <w:vAlign w:val="center"/>
          </w:tcPr>
          <w:p w14:paraId="3E3AE14B">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污染物名称</w:t>
            </w:r>
          </w:p>
        </w:tc>
        <w:tc>
          <w:tcPr>
            <w:tcW w:w="1417" w:type="dxa"/>
            <w:tcMar>
              <w:left w:w="28" w:type="dxa"/>
              <w:right w:w="28" w:type="dxa"/>
            </w:tcMar>
            <w:vAlign w:val="center"/>
          </w:tcPr>
          <w:p w14:paraId="32E57E4B">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现有工程</w:t>
            </w:r>
          </w:p>
          <w:p w14:paraId="57103064">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排放量（固体废物产生量）</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1 \* GB3 \* MERGEFORMAT </w:instrText>
            </w:r>
            <w:r>
              <w:rPr>
                <w:snapToGrid w:val="0"/>
                <w:color w:val="000000" w:themeColor="text1"/>
                <w:spacing w:val="-6"/>
                <w:kern w:val="21"/>
                <w:szCs w:val="21"/>
                <w14:textFill>
                  <w14:solidFill>
                    <w14:schemeClr w14:val="tx1"/>
                  </w14:solidFill>
                </w14:textFill>
              </w:rPr>
              <w:fldChar w:fldCharType="separate"/>
            </w:r>
            <w:r>
              <w:rPr>
                <w:color w:val="000000" w:themeColor="text1"/>
                <w:kern w:val="2"/>
                <w:szCs w:val="21"/>
                <w14:textFill>
                  <w14:solidFill>
                    <w14:schemeClr w14:val="tx1"/>
                  </w14:solidFill>
                </w14:textFill>
              </w:rPr>
              <w:t>①</w:t>
            </w:r>
            <w:r>
              <w:rPr>
                <w:snapToGrid w:val="0"/>
                <w:color w:val="000000" w:themeColor="text1"/>
                <w:spacing w:val="-6"/>
                <w:kern w:val="21"/>
                <w:szCs w:val="21"/>
                <w14:textFill>
                  <w14:solidFill>
                    <w14:schemeClr w14:val="tx1"/>
                  </w14:solidFill>
                </w14:textFill>
              </w:rPr>
              <w:fldChar w:fldCharType="end"/>
            </w:r>
          </w:p>
        </w:tc>
        <w:tc>
          <w:tcPr>
            <w:tcW w:w="1276" w:type="dxa"/>
            <w:tcMar>
              <w:left w:w="28" w:type="dxa"/>
              <w:right w:w="28" w:type="dxa"/>
            </w:tcMar>
            <w:vAlign w:val="center"/>
          </w:tcPr>
          <w:p w14:paraId="7A907B61">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现有工程</w:t>
            </w:r>
          </w:p>
          <w:p w14:paraId="1D298091">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许可排放量</w:t>
            </w:r>
          </w:p>
          <w:p w14:paraId="0C5905F5">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2 \* GB3 \* MERGEFORMAT </w:instrText>
            </w:r>
            <w:r>
              <w:rPr>
                <w:snapToGrid w:val="0"/>
                <w:color w:val="000000" w:themeColor="text1"/>
                <w:spacing w:val="-6"/>
                <w:kern w:val="21"/>
                <w:szCs w:val="21"/>
                <w14:textFill>
                  <w14:solidFill>
                    <w14:schemeClr w14:val="tx1"/>
                  </w14:solidFill>
                </w14:textFill>
              </w:rPr>
              <w:fldChar w:fldCharType="separate"/>
            </w:r>
            <w:r>
              <w:rPr>
                <w:snapToGrid w:val="0"/>
                <w:color w:val="000000" w:themeColor="text1"/>
                <w:spacing w:val="-6"/>
                <w:kern w:val="21"/>
                <w:szCs w:val="21"/>
                <w14:textFill>
                  <w14:solidFill>
                    <w14:schemeClr w14:val="tx1"/>
                  </w14:solidFill>
                </w14:textFill>
              </w:rPr>
              <w:t>②</w:t>
            </w:r>
            <w:r>
              <w:rPr>
                <w:snapToGrid w:val="0"/>
                <w:color w:val="000000" w:themeColor="text1"/>
                <w:spacing w:val="-6"/>
                <w:kern w:val="21"/>
                <w:szCs w:val="21"/>
                <w14:textFill>
                  <w14:solidFill>
                    <w14:schemeClr w14:val="tx1"/>
                  </w14:solidFill>
                </w14:textFill>
              </w:rPr>
              <w:fldChar w:fldCharType="end"/>
            </w:r>
          </w:p>
        </w:tc>
        <w:tc>
          <w:tcPr>
            <w:tcW w:w="1701" w:type="dxa"/>
            <w:tcMar>
              <w:left w:w="28" w:type="dxa"/>
              <w:right w:w="28" w:type="dxa"/>
            </w:tcMar>
            <w:vAlign w:val="center"/>
          </w:tcPr>
          <w:p w14:paraId="51CB3EA6">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在建工程</w:t>
            </w:r>
          </w:p>
          <w:p w14:paraId="04270AE4">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排放量（固体废物产生量）</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3 \* GB3 \* MERGEFORMAT </w:instrText>
            </w:r>
            <w:r>
              <w:rPr>
                <w:snapToGrid w:val="0"/>
                <w:color w:val="000000" w:themeColor="text1"/>
                <w:spacing w:val="-6"/>
                <w:kern w:val="21"/>
                <w:szCs w:val="21"/>
                <w14:textFill>
                  <w14:solidFill>
                    <w14:schemeClr w14:val="tx1"/>
                  </w14:solidFill>
                </w14:textFill>
              </w:rPr>
              <w:fldChar w:fldCharType="separate"/>
            </w:r>
            <w:r>
              <w:rPr>
                <w:color w:val="000000" w:themeColor="text1"/>
                <w:kern w:val="2"/>
                <w:szCs w:val="21"/>
                <w14:textFill>
                  <w14:solidFill>
                    <w14:schemeClr w14:val="tx1"/>
                  </w14:solidFill>
                </w14:textFill>
              </w:rPr>
              <w:t>③</w:t>
            </w:r>
            <w:r>
              <w:rPr>
                <w:snapToGrid w:val="0"/>
                <w:color w:val="000000" w:themeColor="text1"/>
                <w:spacing w:val="-6"/>
                <w:kern w:val="21"/>
                <w:szCs w:val="21"/>
                <w14:textFill>
                  <w14:solidFill>
                    <w14:schemeClr w14:val="tx1"/>
                  </w14:solidFill>
                </w14:textFill>
              </w:rPr>
              <w:fldChar w:fldCharType="end"/>
            </w:r>
          </w:p>
        </w:tc>
        <w:tc>
          <w:tcPr>
            <w:tcW w:w="1559" w:type="dxa"/>
            <w:tcMar>
              <w:left w:w="28" w:type="dxa"/>
              <w:right w:w="28" w:type="dxa"/>
            </w:tcMar>
            <w:vAlign w:val="center"/>
          </w:tcPr>
          <w:p w14:paraId="008B66AB">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本项目</w:t>
            </w:r>
          </w:p>
          <w:p w14:paraId="54B5A4A3">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排放量（固体废物产生量）</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4 \* GB3 \* MERGEFORMAT </w:instrText>
            </w:r>
            <w:r>
              <w:rPr>
                <w:snapToGrid w:val="0"/>
                <w:color w:val="000000" w:themeColor="text1"/>
                <w:spacing w:val="-6"/>
                <w:kern w:val="21"/>
                <w:szCs w:val="21"/>
                <w14:textFill>
                  <w14:solidFill>
                    <w14:schemeClr w14:val="tx1"/>
                  </w14:solidFill>
                </w14:textFill>
              </w:rPr>
              <w:fldChar w:fldCharType="separate"/>
            </w:r>
            <w:r>
              <w:rPr>
                <w:color w:val="000000" w:themeColor="text1"/>
                <w:kern w:val="2"/>
                <w:szCs w:val="21"/>
                <w14:textFill>
                  <w14:solidFill>
                    <w14:schemeClr w14:val="tx1"/>
                  </w14:solidFill>
                </w14:textFill>
              </w:rPr>
              <w:t>④</w:t>
            </w:r>
            <w:r>
              <w:rPr>
                <w:snapToGrid w:val="0"/>
                <w:color w:val="000000" w:themeColor="text1"/>
                <w:spacing w:val="-6"/>
                <w:kern w:val="21"/>
                <w:szCs w:val="21"/>
                <w14:textFill>
                  <w14:solidFill>
                    <w14:schemeClr w14:val="tx1"/>
                  </w14:solidFill>
                </w14:textFill>
              </w:rPr>
              <w:fldChar w:fldCharType="end"/>
            </w:r>
          </w:p>
        </w:tc>
        <w:tc>
          <w:tcPr>
            <w:tcW w:w="1559" w:type="dxa"/>
            <w:tcMar>
              <w:left w:w="28" w:type="dxa"/>
              <w:right w:w="28" w:type="dxa"/>
            </w:tcMar>
            <w:vAlign w:val="center"/>
          </w:tcPr>
          <w:p w14:paraId="3B171029">
            <w:pPr>
              <w:pStyle w:val="31"/>
              <w:rPr>
                <w:snapToGrid w:val="0"/>
                <w:color w:val="000000" w:themeColor="text1"/>
                <w:spacing w:val="-16"/>
                <w:kern w:val="21"/>
                <w:szCs w:val="21"/>
                <w14:textFill>
                  <w14:solidFill>
                    <w14:schemeClr w14:val="tx1"/>
                  </w14:solidFill>
                </w14:textFill>
              </w:rPr>
            </w:pPr>
            <w:r>
              <w:rPr>
                <w:snapToGrid w:val="0"/>
                <w:color w:val="000000" w:themeColor="text1"/>
                <w:spacing w:val="-16"/>
                <w:kern w:val="21"/>
                <w:szCs w:val="21"/>
                <w14:textFill>
                  <w14:solidFill>
                    <w14:schemeClr w14:val="tx1"/>
                  </w14:solidFill>
                </w14:textFill>
              </w:rPr>
              <w:t>以新带老削减量</w:t>
            </w:r>
          </w:p>
          <w:p w14:paraId="1AAE8E00">
            <w:pPr>
              <w:pStyle w:val="31"/>
              <w:rPr>
                <w:snapToGrid w:val="0"/>
                <w:color w:val="000000" w:themeColor="text1"/>
                <w:spacing w:val="-16"/>
                <w:kern w:val="21"/>
                <w:szCs w:val="21"/>
                <w14:textFill>
                  <w14:solidFill>
                    <w14:schemeClr w14:val="tx1"/>
                  </w14:solidFill>
                </w14:textFill>
              </w:rPr>
            </w:pPr>
            <w:r>
              <w:rPr>
                <w:snapToGrid w:val="0"/>
                <w:color w:val="000000" w:themeColor="text1"/>
                <w:spacing w:val="-16"/>
                <w:kern w:val="21"/>
                <w:szCs w:val="21"/>
                <w14:textFill>
                  <w14:solidFill>
                    <w14:schemeClr w14:val="tx1"/>
                  </w14:solidFill>
                </w14:textFill>
              </w:rPr>
              <w:t>（新建项目不填）</w:t>
            </w:r>
            <w:r>
              <w:rPr>
                <w:snapToGrid w:val="0"/>
                <w:color w:val="000000" w:themeColor="text1"/>
                <w:spacing w:val="-16"/>
                <w:kern w:val="21"/>
                <w:szCs w:val="21"/>
                <w14:textFill>
                  <w14:solidFill>
                    <w14:schemeClr w14:val="tx1"/>
                  </w14:solidFill>
                </w14:textFill>
              </w:rPr>
              <w:fldChar w:fldCharType="begin"/>
            </w:r>
            <w:r>
              <w:rPr>
                <w:snapToGrid w:val="0"/>
                <w:color w:val="000000" w:themeColor="text1"/>
                <w:spacing w:val="-16"/>
                <w:kern w:val="21"/>
                <w:szCs w:val="21"/>
                <w14:textFill>
                  <w14:solidFill>
                    <w14:schemeClr w14:val="tx1"/>
                  </w14:solidFill>
                </w14:textFill>
              </w:rPr>
              <w:instrText xml:space="preserve"> = 5 \* GB3 \* MERGEFORMAT </w:instrText>
            </w:r>
            <w:r>
              <w:rPr>
                <w:snapToGrid w:val="0"/>
                <w:color w:val="000000" w:themeColor="text1"/>
                <w:spacing w:val="-16"/>
                <w:kern w:val="21"/>
                <w:szCs w:val="21"/>
                <w14:textFill>
                  <w14:solidFill>
                    <w14:schemeClr w14:val="tx1"/>
                  </w14:solidFill>
                </w14:textFill>
              </w:rPr>
              <w:fldChar w:fldCharType="separate"/>
            </w:r>
            <w:r>
              <w:rPr>
                <w:color w:val="000000" w:themeColor="text1"/>
                <w:kern w:val="2"/>
                <w:szCs w:val="21"/>
                <w14:textFill>
                  <w14:solidFill>
                    <w14:schemeClr w14:val="tx1"/>
                  </w14:solidFill>
                </w14:textFill>
              </w:rPr>
              <w:t>⑤</w:t>
            </w:r>
            <w:r>
              <w:rPr>
                <w:snapToGrid w:val="0"/>
                <w:color w:val="000000" w:themeColor="text1"/>
                <w:spacing w:val="-16"/>
                <w:kern w:val="21"/>
                <w:szCs w:val="21"/>
                <w14:textFill>
                  <w14:solidFill>
                    <w14:schemeClr w14:val="tx1"/>
                  </w14:solidFill>
                </w14:textFill>
              </w:rPr>
              <w:fldChar w:fldCharType="end"/>
            </w:r>
          </w:p>
        </w:tc>
        <w:tc>
          <w:tcPr>
            <w:tcW w:w="1701" w:type="dxa"/>
            <w:tcMar>
              <w:left w:w="28" w:type="dxa"/>
              <w:right w:w="28" w:type="dxa"/>
            </w:tcMar>
            <w:vAlign w:val="center"/>
          </w:tcPr>
          <w:p w14:paraId="4DB35892">
            <w:pPr>
              <w:pStyle w:val="31"/>
              <w:rPr>
                <w:snapToGrid w:val="0"/>
                <w:color w:val="000000" w:themeColor="text1"/>
                <w:spacing w:val="-16"/>
                <w:kern w:val="21"/>
                <w:szCs w:val="21"/>
                <w14:textFill>
                  <w14:solidFill>
                    <w14:schemeClr w14:val="tx1"/>
                  </w14:solidFill>
                </w14:textFill>
              </w:rPr>
            </w:pPr>
            <w:r>
              <w:rPr>
                <w:snapToGrid w:val="0"/>
                <w:color w:val="000000" w:themeColor="text1"/>
                <w:spacing w:val="-16"/>
                <w:kern w:val="21"/>
                <w:szCs w:val="21"/>
                <w14:textFill>
                  <w14:solidFill>
                    <w14:schemeClr w14:val="tx1"/>
                  </w14:solidFill>
                </w14:textFill>
              </w:rPr>
              <w:t>本项目建成后</w:t>
            </w:r>
          </w:p>
          <w:p w14:paraId="3C26E18D">
            <w:pPr>
              <w:pStyle w:val="31"/>
              <w:rPr>
                <w:snapToGrid w:val="0"/>
                <w:color w:val="000000" w:themeColor="text1"/>
                <w:spacing w:val="-16"/>
                <w:kern w:val="21"/>
                <w:szCs w:val="21"/>
                <w14:textFill>
                  <w14:solidFill>
                    <w14:schemeClr w14:val="tx1"/>
                  </w14:solidFill>
                </w14:textFill>
              </w:rPr>
            </w:pPr>
            <w:r>
              <w:rPr>
                <w:snapToGrid w:val="0"/>
                <w:color w:val="000000" w:themeColor="text1"/>
                <w:spacing w:val="-16"/>
                <w:kern w:val="21"/>
                <w:szCs w:val="21"/>
                <w14:textFill>
                  <w14:solidFill>
                    <w14:schemeClr w14:val="tx1"/>
                  </w14:solidFill>
                </w14:textFill>
              </w:rPr>
              <w:t>全厂排放量（固体废物产生量）</w:t>
            </w:r>
            <w:r>
              <w:rPr>
                <w:snapToGrid w:val="0"/>
                <w:color w:val="000000" w:themeColor="text1"/>
                <w:spacing w:val="-16"/>
                <w:kern w:val="21"/>
                <w:szCs w:val="21"/>
                <w14:textFill>
                  <w14:solidFill>
                    <w14:schemeClr w14:val="tx1"/>
                  </w14:solidFill>
                </w14:textFill>
              </w:rPr>
              <w:fldChar w:fldCharType="begin"/>
            </w:r>
            <w:r>
              <w:rPr>
                <w:snapToGrid w:val="0"/>
                <w:color w:val="000000" w:themeColor="text1"/>
                <w:spacing w:val="-16"/>
                <w:kern w:val="21"/>
                <w:szCs w:val="21"/>
                <w14:textFill>
                  <w14:solidFill>
                    <w14:schemeClr w14:val="tx1"/>
                  </w14:solidFill>
                </w14:textFill>
              </w:rPr>
              <w:instrText xml:space="preserve"> = 6 \* GB3 \* MERGEFORMAT </w:instrText>
            </w:r>
            <w:r>
              <w:rPr>
                <w:snapToGrid w:val="0"/>
                <w:color w:val="000000" w:themeColor="text1"/>
                <w:spacing w:val="-16"/>
                <w:kern w:val="21"/>
                <w:szCs w:val="21"/>
                <w14:textFill>
                  <w14:solidFill>
                    <w14:schemeClr w14:val="tx1"/>
                  </w14:solidFill>
                </w14:textFill>
              </w:rPr>
              <w:fldChar w:fldCharType="separate"/>
            </w:r>
            <w:r>
              <w:rPr>
                <w:color w:val="000000" w:themeColor="text1"/>
                <w:kern w:val="2"/>
                <w:szCs w:val="21"/>
                <w14:textFill>
                  <w14:solidFill>
                    <w14:schemeClr w14:val="tx1"/>
                  </w14:solidFill>
                </w14:textFill>
              </w:rPr>
              <w:t>⑥</w:t>
            </w:r>
            <w:r>
              <w:rPr>
                <w:snapToGrid w:val="0"/>
                <w:color w:val="000000" w:themeColor="text1"/>
                <w:spacing w:val="-16"/>
                <w:kern w:val="21"/>
                <w:szCs w:val="21"/>
                <w14:textFill>
                  <w14:solidFill>
                    <w14:schemeClr w14:val="tx1"/>
                  </w14:solidFill>
                </w14:textFill>
              </w:rPr>
              <w:fldChar w:fldCharType="end"/>
            </w:r>
          </w:p>
        </w:tc>
        <w:tc>
          <w:tcPr>
            <w:tcW w:w="1276" w:type="dxa"/>
            <w:tcMar>
              <w:left w:w="28" w:type="dxa"/>
              <w:right w:w="28" w:type="dxa"/>
            </w:tcMar>
            <w:vAlign w:val="center"/>
          </w:tcPr>
          <w:p w14:paraId="1D1F2278">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t>变化量</w:t>
            </w:r>
          </w:p>
          <w:p w14:paraId="7F6C01A1">
            <w:pPr>
              <w:pStyle w:val="31"/>
              <w:rPr>
                <w:snapToGrid w:val="0"/>
                <w:color w:val="000000" w:themeColor="text1"/>
                <w:spacing w:val="-6"/>
                <w:kern w:val="21"/>
                <w:szCs w:val="21"/>
                <w14:textFill>
                  <w14:solidFill>
                    <w14:schemeClr w14:val="tx1"/>
                  </w14:solidFill>
                </w14:textFill>
              </w:rPr>
            </w:pP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7 \* GB3 \* MERGEFORMAT </w:instrText>
            </w:r>
            <w:r>
              <w:rPr>
                <w:snapToGrid w:val="0"/>
                <w:color w:val="000000" w:themeColor="text1"/>
                <w:spacing w:val="-6"/>
                <w:kern w:val="21"/>
                <w:szCs w:val="21"/>
                <w14:textFill>
                  <w14:solidFill>
                    <w14:schemeClr w14:val="tx1"/>
                  </w14:solidFill>
                </w14:textFill>
              </w:rPr>
              <w:fldChar w:fldCharType="separate"/>
            </w:r>
            <w:r>
              <w:rPr>
                <w:color w:val="000000" w:themeColor="text1"/>
                <w:kern w:val="2"/>
                <w:szCs w:val="21"/>
                <w14:textFill>
                  <w14:solidFill>
                    <w14:schemeClr w14:val="tx1"/>
                  </w14:solidFill>
                </w14:textFill>
              </w:rPr>
              <w:t>⑦</w:t>
            </w:r>
            <w:r>
              <w:rPr>
                <w:snapToGrid w:val="0"/>
                <w:color w:val="000000" w:themeColor="text1"/>
                <w:spacing w:val="-6"/>
                <w:kern w:val="21"/>
                <w:szCs w:val="21"/>
                <w14:textFill>
                  <w14:solidFill>
                    <w14:schemeClr w14:val="tx1"/>
                  </w14:solidFill>
                </w14:textFill>
              </w:rPr>
              <w:fldChar w:fldCharType="end"/>
            </w:r>
          </w:p>
        </w:tc>
      </w:tr>
      <w:tr w14:paraId="4DC3BF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restart"/>
            <w:vAlign w:val="center"/>
          </w:tcPr>
          <w:p w14:paraId="16A23E3C">
            <w:pPr>
              <w:pStyle w:val="31"/>
              <w:spacing w:line="360" w:lineRule="exact"/>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废气</w:t>
            </w:r>
          </w:p>
        </w:tc>
        <w:tc>
          <w:tcPr>
            <w:tcW w:w="2171" w:type="dxa"/>
            <w:shd w:val="clear" w:color="auto" w:fill="auto"/>
            <w:vAlign w:val="center"/>
          </w:tcPr>
          <w:p w14:paraId="1D4C1ACB">
            <w:pPr>
              <w:pStyle w:val="49"/>
              <w:rPr>
                <w:color w:val="000000" w:themeColor="text1"/>
                <w:szCs w:val="21"/>
                <w14:textFill>
                  <w14:solidFill>
                    <w14:schemeClr w14:val="tx1"/>
                  </w14:solidFill>
                </w14:textFill>
              </w:rPr>
            </w:pPr>
            <w:r>
              <w:rPr>
                <w:color w:val="000000" w:themeColor="text1"/>
                <w:szCs w:val="21"/>
                <w14:textFill>
                  <w14:solidFill>
                    <w14:schemeClr w14:val="tx1"/>
                  </w14:solidFill>
                </w14:textFill>
              </w:rPr>
              <w:t>颗粒物</w:t>
            </w:r>
            <w:r>
              <w:rPr>
                <w:rFonts w:hint="eastAsia"/>
                <w:color w:val="000000" w:themeColor="text1"/>
                <w:szCs w:val="21"/>
                <w14:textFill>
                  <w14:solidFill>
                    <w14:schemeClr w14:val="tx1"/>
                  </w14:solidFill>
                </w14:textFill>
              </w:rPr>
              <w:t>（t/a）</w:t>
            </w:r>
          </w:p>
        </w:tc>
        <w:tc>
          <w:tcPr>
            <w:tcW w:w="1417" w:type="dxa"/>
            <w:vAlign w:val="center"/>
          </w:tcPr>
          <w:p w14:paraId="63D442B3">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4F26B2DD">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4229E9AF">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38BF38D6">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0.1062</w:t>
            </w:r>
          </w:p>
        </w:tc>
        <w:tc>
          <w:tcPr>
            <w:tcW w:w="1559" w:type="dxa"/>
            <w:vAlign w:val="center"/>
          </w:tcPr>
          <w:p w14:paraId="0B6F868D">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30BBF58B">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0.1062</w:t>
            </w:r>
          </w:p>
        </w:tc>
        <w:tc>
          <w:tcPr>
            <w:tcW w:w="1276" w:type="dxa"/>
            <w:shd w:val="clear" w:color="auto" w:fill="auto"/>
            <w:vAlign w:val="center"/>
          </w:tcPr>
          <w:p w14:paraId="489BECD7">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r>
              <w:rPr>
                <w:color w:val="000000" w:themeColor="text1"/>
                <w:kern w:val="0"/>
                <w:szCs w:val="21"/>
                <w:lang w:bidi="ar"/>
                <w14:textFill>
                  <w14:solidFill>
                    <w14:schemeClr w14:val="tx1"/>
                  </w14:solidFill>
                </w14:textFill>
              </w:rPr>
              <w:t>0.1062</w:t>
            </w:r>
          </w:p>
        </w:tc>
      </w:tr>
      <w:tr w14:paraId="27330F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118" w:type="dxa"/>
            <w:vMerge w:val="continue"/>
            <w:vAlign w:val="center"/>
          </w:tcPr>
          <w:p w14:paraId="33201535">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6C6A894B">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非甲烷总烃（t/a）</w:t>
            </w:r>
          </w:p>
        </w:tc>
        <w:tc>
          <w:tcPr>
            <w:tcW w:w="1417" w:type="dxa"/>
            <w:vAlign w:val="center"/>
          </w:tcPr>
          <w:p w14:paraId="2A4F8C51">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2DA08A40">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16D50432">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776D1A9C">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0.071</w:t>
            </w:r>
          </w:p>
        </w:tc>
        <w:tc>
          <w:tcPr>
            <w:tcW w:w="1559" w:type="dxa"/>
            <w:vAlign w:val="center"/>
          </w:tcPr>
          <w:p w14:paraId="181314B0">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231CA7F1">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0.071</w:t>
            </w:r>
          </w:p>
        </w:tc>
        <w:tc>
          <w:tcPr>
            <w:tcW w:w="1276" w:type="dxa"/>
            <w:shd w:val="clear" w:color="auto" w:fill="auto"/>
            <w:vAlign w:val="center"/>
          </w:tcPr>
          <w:p w14:paraId="41BFF42D">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r>
              <w:rPr>
                <w:color w:val="000000" w:themeColor="text1"/>
                <w:kern w:val="0"/>
                <w:szCs w:val="21"/>
                <w:lang w:bidi="ar"/>
                <w14:textFill>
                  <w14:solidFill>
                    <w14:schemeClr w14:val="tx1"/>
                  </w14:solidFill>
                </w14:textFill>
              </w:rPr>
              <w:t>0.071</w:t>
            </w:r>
          </w:p>
        </w:tc>
      </w:tr>
      <w:tr w14:paraId="35AB62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00B5A48B">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7491BEAE">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SO</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（t/a）</w:t>
            </w:r>
          </w:p>
        </w:tc>
        <w:tc>
          <w:tcPr>
            <w:tcW w:w="1417" w:type="dxa"/>
            <w:vAlign w:val="center"/>
          </w:tcPr>
          <w:p w14:paraId="6D91A48B">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22E06344">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46E3F124">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0C40B5F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0.006</w:t>
            </w:r>
          </w:p>
        </w:tc>
        <w:tc>
          <w:tcPr>
            <w:tcW w:w="1559" w:type="dxa"/>
            <w:vAlign w:val="center"/>
          </w:tcPr>
          <w:p w14:paraId="7023D968">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2CFD5B95">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0.006</w:t>
            </w:r>
          </w:p>
        </w:tc>
        <w:tc>
          <w:tcPr>
            <w:tcW w:w="1276" w:type="dxa"/>
            <w:shd w:val="clear" w:color="auto" w:fill="auto"/>
            <w:vAlign w:val="center"/>
          </w:tcPr>
          <w:p w14:paraId="0F8A93F6">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r>
              <w:rPr>
                <w:color w:val="000000" w:themeColor="text1"/>
                <w:kern w:val="0"/>
                <w:szCs w:val="21"/>
                <w:lang w:bidi="ar"/>
                <w14:textFill>
                  <w14:solidFill>
                    <w14:schemeClr w14:val="tx1"/>
                  </w14:solidFill>
                </w14:textFill>
              </w:rPr>
              <w:t>0.006</w:t>
            </w:r>
          </w:p>
        </w:tc>
      </w:tr>
      <w:tr w14:paraId="36D703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0D1B27C1">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21A75E8C">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NOx（t/a）</w:t>
            </w:r>
          </w:p>
        </w:tc>
        <w:tc>
          <w:tcPr>
            <w:tcW w:w="1417" w:type="dxa"/>
            <w:vAlign w:val="center"/>
          </w:tcPr>
          <w:p w14:paraId="6B2505D5">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0CDD85D7">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11D3ADF5">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6E72E59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0.049</w:t>
            </w:r>
          </w:p>
        </w:tc>
        <w:tc>
          <w:tcPr>
            <w:tcW w:w="1559" w:type="dxa"/>
            <w:vAlign w:val="center"/>
          </w:tcPr>
          <w:p w14:paraId="1E83409E">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00B21ED9">
            <w:pPr>
              <w:widowControl/>
              <w:jc w:val="center"/>
              <w:textAlignment w:val="center"/>
              <w:rPr>
                <w:color w:val="000000" w:themeColor="text1"/>
                <w:szCs w:val="21"/>
                <w14:textFill>
                  <w14:solidFill>
                    <w14:schemeClr w14:val="tx1"/>
                  </w14:solidFill>
                </w14:textFill>
              </w:rPr>
            </w:pPr>
            <w:r>
              <w:rPr>
                <w:color w:val="000000" w:themeColor="text1"/>
                <w:kern w:val="0"/>
                <w:szCs w:val="21"/>
                <w:lang w:bidi="ar"/>
                <w14:textFill>
                  <w14:solidFill>
                    <w14:schemeClr w14:val="tx1"/>
                  </w14:solidFill>
                </w14:textFill>
              </w:rPr>
              <w:t>0.049</w:t>
            </w:r>
          </w:p>
        </w:tc>
        <w:tc>
          <w:tcPr>
            <w:tcW w:w="1276" w:type="dxa"/>
            <w:shd w:val="clear" w:color="auto" w:fill="auto"/>
            <w:vAlign w:val="center"/>
          </w:tcPr>
          <w:p w14:paraId="115AABF4">
            <w:pPr>
              <w:widowControl/>
              <w:jc w:val="center"/>
              <w:textAlignment w:val="center"/>
              <w:rPr>
                <w:color w:val="000000" w:themeColor="text1"/>
                <w:szCs w:val="21"/>
                <w14:textFill>
                  <w14:solidFill>
                    <w14:schemeClr w14:val="tx1"/>
                  </w14:solidFill>
                </w14:textFill>
              </w:rPr>
            </w:pPr>
            <w:r>
              <w:rPr>
                <w:rFonts w:hint="eastAsia"/>
                <w:color w:val="000000" w:themeColor="text1"/>
                <w:kern w:val="0"/>
                <w:szCs w:val="21"/>
                <w:lang w:bidi="ar"/>
                <w14:textFill>
                  <w14:solidFill>
                    <w14:schemeClr w14:val="tx1"/>
                  </w14:solidFill>
                </w14:textFill>
              </w:rPr>
              <w:t>+</w:t>
            </w:r>
            <w:r>
              <w:rPr>
                <w:color w:val="000000" w:themeColor="text1"/>
                <w:kern w:val="0"/>
                <w:szCs w:val="21"/>
                <w:lang w:bidi="ar"/>
                <w14:textFill>
                  <w14:solidFill>
                    <w14:schemeClr w14:val="tx1"/>
                  </w14:solidFill>
                </w14:textFill>
              </w:rPr>
              <w:t>0.049</w:t>
            </w:r>
          </w:p>
        </w:tc>
      </w:tr>
      <w:tr w14:paraId="46D485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6681D1BC">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47227E5F">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NH</w:t>
            </w:r>
            <w:r>
              <w:rPr>
                <w:rFonts w:hint="eastAsia"/>
                <w:color w:val="000000" w:themeColor="text1"/>
                <w:szCs w:val="21"/>
                <w:vertAlign w:val="subscript"/>
                <w14:textFill>
                  <w14:solidFill>
                    <w14:schemeClr w14:val="tx1"/>
                  </w14:solidFill>
                </w14:textFill>
              </w:rPr>
              <w:t>3</w:t>
            </w:r>
            <w:r>
              <w:rPr>
                <w:rFonts w:hint="eastAsia"/>
                <w:color w:val="000000" w:themeColor="text1"/>
                <w:szCs w:val="21"/>
                <w14:textFill>
                  <w14:solidFill>
                    <w14:schemeClr w14:val="tx1"/>
                  </w14:solidFill>
                </w14:textFill>
              </w:rPr>
              <w:t>（t/a）</w:t>
            </w:r>
          </w:p>
        </w:tc>
        <w:tc>
          <w:tcPr>
            <w:tcW w:w="1417" w:type="dxa"/>
            <w:vAlign w:val="center"/>
          </w:tcPr>
          <w:p w14:paraId="63B11BCF">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4C5C139C">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6DFB7BBA">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6AF81282">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0.0034</w:t>
            </w:r>
          </w:p>
        </w:tc>
        <w:tc>
          <w:tcPr>
            <w:tcW w:w="1559" w:type="dxa"/>
            <w:vAlign w:val="center"/>
          </w:tcPr>
          <w:p w14:paraId="67CB628B">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235848D2">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0.0034</w:t>
            </w:r>
          </w:p>
        </w:tc>
        <w:tc>
          <w:tcPr>
            <w:tcW w:w="1276" w:type="dxa"/>
            <w:shd w:val="clear" w:color="auto" w:fill="auto"/>
            <w:vAlign w:val="center"/>
          </w:tcPr>
          <w:p w14:paraId="061489F4">
            <w:pPr>
              <w:widowControl/>
              <w:jc w:val="center"/>
              <w:textAlignment w:val="center"/>
              <w:rPr>
                <w:color w:val="000000" w:themeColor="text1"/>
                <w14:textFill>
                  <w14:solidFill>
                    <w14:schemeClr w14:val="tx1"/>
                  </w14:solidFill>
                </w14:textFill>
              </w:rPr>
            </w:pPr>
            <w:r>
              <w:rPr>
                <w:rFonts w:hint="eastAsia"/>
                <w:color w:val="000000" w:themeColor="text1"/>
                <w:kern w:val="0"/>
                <w:szCs w:val="21"/>
                <w:lang w:bidi="ar"/>
                <w14:textFill>
                  <w14:solidFill>
                    <w14:schemeClr w14:val="tx1"/>
                  </w14:solidFill>
                </w14:textFill>
              </w:rPr>
              <w:t>+</w:t>
            </w:r>
            <w:r>
              <w:rPr>
                <w:color w:val="000000" w:themeColor="text1"/>
                <w:kern w:val="0"/>
                <w:szCs w:val="21"/>
                <w:lang w:bidi="ar"/>
                <w14:textFill>
                  <w14:solidFill>
                    <w14:schemeClr w14:val="tx1"/>
                  </w14:solidFill>
                </w14:textFill>
              </w:rPr>
              <w:t>0.0034</w:t>
            </w:r>
          </w:p>
        </w:tc>
      </w:tr>
      <w:tr w14:paraId="24D461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8" w:type="dxa"/>
            <w:vMerge w:val="continue"/>
            <w:vAlign w:val="center"/>
          </w:tcPr>
          <w:p w14:paraId="4289BEBC">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7565D189">
            <w:pPr>
              <w:pStyle w:val="49"/>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H</w:t>
            </w:r>
            <w:r>
              <w:rPr>
                <w:rFonts w:hint="eastAsia"/>
                <w:color w:val="000000" w:themeColor="text1"/>
                <w:szCs w:val="21"/>
                <w:vertAlign w:val="subscript"/>
                <w14:textFill>
                  <w14:solidFill>
                    <w14:schemeClr w14:val="tx1"/>
                  </w14:solidFill>
                </w14:textFill>
              </w:rPr>
              <w:t>2</w:t>
            </w:r>
            <w:r>
              <w:rPr>
                <w:rFonts w:hint="eastAsia"/>
                <w:color w:val="000000" w:themeColor="text1"/>
                <w:szCs w:val="21"/>
                <w14:textFill>
                  <w14:solidFill>
                    <w14:schemeClr w14:val="tx1"/>
                  </w14:solidFill>
                </w14:textFill>
              </w:rPr>
              <w:t>S（t/a）</w:t>
            </w:r>
          </w:p>
        </w:tc>
        <w:tc>
          <w:tcPr>
            <w:tcW w:w="1417" w:type="dxa"/>
            <w:vAlign w:val="center"/>
          </w:tcPr>
          <w:p w14:paraId="7A9F8178">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00394BEC">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696982A8">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4D0F7E32">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0.00012</w:t>
            </w:r>
          </w:p>
        </w:tc>
        <w:tc>
          <w:tcPr>
            <w:tcW w:w="1559" w:type="dxa"/>
            <w:vAlign w:val="center"/>
          </w:tcPr>
          <w:p w14:paraId="699A2CCC">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0238F9B4">
            <w:pPr>
              <w:widowControl/>
              <w:jc w:val="center"/>
              <w:textAlignment w:val="center"/>
              <w:rPr>
                <w:color w:val="000000" w:themeColor="text1"/>
                <w14:textFill>
                  <w14:solidFill>
                    <w14:schemeClr w14:val="tx1"/>
                  </w14:solidFill>
                </w14:textFill>
              </w:rPr>
            </w:pPr>
            <w:r>
              <w:rPr>
                <w:color w:val="000000" w:themeColor="text1"/>
                <w:kern w:val="0"/>
                <w:szCs w:val="21"/>
                <w:lang w:bidi="ar"/>
                <w14:textFill>
                  <w14:solidFill>
                    <w14:schemeClr w14:val="tx1"/>
                  </w14:solidFill>
                </w14:textFill>
              </w:rPr>
              <w:t>0.00012</w:t>
            </w:r>
          </w:p>
        </w:tc>
        <w:tc>
          <w:tcPr>
            <w:tcW w:w="1276" w:type="dxa"/>
            <w:shd w:val="clear" w:color="auto" w:fill="auto"/>
            <w:vAlign w:val="center"/>
          </w:tcPr>
          <w:p w14:paraId="4E581A28">
            <w:pPr>
              <w:widowControl/>
              <w:jc w:val="center"/>
              <w:textAlignment w:val="center"/>
              <w:rPr>
                <w:color w:val="000000" w:themeColor="text1"/>
                <w14:textFill>
                  <w14:solidFill>
                    <w14:schemeClr w14:val="tx1"/>
                  </w14:solidFill>
                </w14:textFill>
              </w:rPr>
            </w:pPr>
            <w:r>
              <w:rPr>
                <w:rFonts w:hint="eastAsia"/>
                <w:color w:val="000000" w:themeColor="text1"/>
                <w:kern w:val="0"/>
                <w:szCs w:val="21"/>
                <w:lang w:bidi="ar"/>
                <w14:textFill>
                  <w14:solidFill>
                    <w14:schemeClr w14:val="tx1"/>
                  </w14:solidFill>
                </w14:textFill>
              </w:rPr>
              <w:t>+</w:t>
            </w:r>
            <w:r>
              <w:rPr>
                <w:color w:val="000000" w:themeColor="text1"/>
                <w:kern w:val="0"/>
                <w:szCs w:val="21"/>
                <w:lang w:bidi="ar"/>
                <w14:textFill>
                  <w14:solidFill>
                    <w14:schemeClr w14:val="tx1"/>
                  </w14:solidFill>
                </w14:textFill>
              </w:rPr>
              <w:t>0.00012</w:t>
            </w:r>
          </w:p>
        </w:tc>
      </w:tr>
      <w:tr w14:paraId="48407E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restart"/>
            <w:vAlign w:val="center"/>
          </w:tcPr>
          <w:p w14:paraId="21F1D5C5">
            <w:pPr>
              <w:pStyle w:val="31"/>
              <w:spacing w:line="360" w:lineRule="exact"/>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废水</w:t>
            </w:r>
          </w:p>
        </w:tc>
        <w:tc>
          <w:tcPr>
            <w:tcW w:w="2171" w:type="dxa"/>
            <w:vAlign w:val="center"/>
          </w:tcPr>
          <w:p w14:paraId="66055D3E">
            <w:pPr>
              <w:spacing w:line="360" w:lineRule="exact"/>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废水量（m</w:t>
            </w:r>
            <w:r>
              <w:rPr>
                <w:color w:val="000000" w:themeColor="text1"/>
                <w:szCs w:val="21"/>
                <w:vertAlign w:val="superscript"/>
                <w14:textFill>
                  <w14:solidFill>
                    <w14:schemeClr w14:val="tx1"/>
                  </w14:solidFill>
                </w14:textFill>
              </w:rPr>
              <w:t>3</w:t>
            </w:r>
            <w:r>
              <w:rPr>
                <w:color w:val="000000" w:themeColor="text1"/>
                <w:szCs w:val="21"/>
                <w14:textFill>
                  <w14:solidFill>
                    <w14:schemeClr w14:val="tx1"/>
                  </w14:solidFill>
                </w14:textFill>
              </w:rPr>
              <w:t>/a）</w:t>
            </w:r>
          </w:p>
        </w:tc>
        <w:tc>
          <w:tcPr>
            <w:tcW w:w="1417" w:type="dxa"/>
            <w:vAlign w:val="center"/>
          </w:tcPr>
          <w:p w14:paraId="37C744CD">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4A1462FC">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5CEBFFB7">
            <w:pPr>
              <w:pStyle w:val="31"/>
              <w:spacing w:line="360" w:lineRule="exact"/>
              <w:rPr>
                <w:snapToGrid w:val="0"/>
                <w:color w:val="000000" w:themeColor="text1"/>
                <w:kern w:val="21"/>
                <w:szCs w:val="21"/>
                <w14:textFill>
                  <w14:solidFill>
                    <w14:schemeClr w14:val="tx1"/>
                  </w14:solidFill>
                </w14:textFill>
              </w:rPr>
            </w:pPr>
          </w:p>
        </w:tc>
        <w:tc>
          <w:tcPr>
            <w:tcW w:w="1559" w:type="dxa"/>
            <w:vAlign w:val="center"/>
          </w:tcPr>
          <w:p w14:paraId="433398EC">
            <w:pPr>
              <w:pStyle w:val="49"/>
              <w:spacing w:line="360" w:lineRule="exact"/>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6200.745</w:t>
            </w:r>
          </w:p>
        </w:tc>
        <w:tc>
          <w:tcPr>
            <w:tcW w:w="1559" w:type="dxa"/>
            <w:vAlign w:val="center"/>
          </w:tcPr>
          <w:p w14:paraId="29CEC8E0">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64AF3FB7">
            <w:pPr>
              <w:pStyle w:val="49"/>
              <w:spacing w:line="360" w:lineRule="exact"/>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6200.745</w:t>
            </w:r>
          </w:p>
        </w:tc>
        <w:tc>
          <w:tcPr>
            <w:tcW w:w="1276" w:type="dxa"/>
            <w:vAlign w:val="center"/>
          </w:tcPr>
          <w:p w14:paraId="12E37C0B">
            <w:pPr>
              <w:pStyle w:val="49"/>
              <w:spacing w:line="360" w:lineRule="exac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w:t>
            </w:r>
            <w:r>
              <w:rPr>
                <w:rFonts w:hint="eastAsia"/>
                <w:color w:val="000000" w:themeColor="text1"/>
                <w:szCs w:val="21"/>
                <w:lang w:val="en-US" w:eastAsia="zh-CN"/>
                <w14:textFill>
                  <w14:solidFill>
                    <w14:schemeClr w14:val="tx1"/>
                  </w14:solidFill>
                </w14:textFill>
              </w:rPr>
              <w:t>6200.745</w:t>
            </w:r>
          </w:p>
        </w:tc>
      </w:tr>
      <w:tr w14:paraId="5892DB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02BAB832">
            <w:pPr>
              <w:pStyle w:val="31"/>
              <w:spacing w:line="360" w:lineRule="exact"/>
              <w:rPr>
                <w:snapToGrid w:val="0"/>
                <w:color w:val="000000" w:themeColor="text1"/>
                <w:kern w:val="21"/>
                <w:szCs w:val="21"/>
                <w14:textFill>
                  <w14:solidFill>
                    <w14:schemeClr w14:val="tx1"/>
                  </w14:solidFill>
                </w14:textFill>
              </w:rPr>
            </w:pPr>
          </w:p>
        </w:tc>
        <w:tc>
          <w:tcPr>
            <w:tcW w:w="2171" w:type="dxa"/>
            <w:vAlign w:val="center"/>
          </w:tcPr>
          <w:p w14:paraId="2BC10204">
            <w:pPr>
              <w:pStyle w:val="31"/>
              <w:spacing w:line="360" w:lineRule="exact"/>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COD（t/a）</w:t>
            </w:r>
          </w:p>
        </w:tc>
        <w:tc>
          <w:tcPr>
            <w:tcW w:w="1417" w:type="dxa"/>
            <w:vAlign w:val="center"/>
          </w:tcPr>
          <w:p w14:paraId="1E6431DB">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52C9BEBA">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6E6A71E5">
            <w:pPr>
              <w:pStyle w:val="31"/>
              <w:spacing w:line="360" w:lineRule="exact"/>
              <w:rPr>
                <w:snapToGrid w:val="0"/>
                <w:color w:val="000000" w:themeColor="text1"/>
                <w:kern w:val="21"/>
                <w:szCs w:val="21"/>
                <w14:textFill>
                  <w14:solidFill>
                    <w14:schemeClr w14:val="tx1"/>
                  </w14:solidFill>
                </w14:textFill>
              </w:rPr>
            </w:pPr>
          </w:p>
        </w:tc>
        <w:tc>
          <w:tcPr>
            <w:tcW w:w="1559" w:type="dxa"/>
            <w:vAlign w:val="center"/>
          </w:tcPr>
          <w:p w14:paraId="5774709C">
            <w:pPr>
              <w:pStyle w:val="31"/>
              <w:spacing w:line="360" w:lineRule="exact"/>
              <w:rPr>
                <w:rFonts w:hint="default" w:eastAsia="宋体"/>
                <w:snapToGrid w:val="0"/>
                <w:color w:val="000000" w:themeColor="text1"/>
                <w:kern w:val="21"/>
                <w:szCs w:val="21"/>
                <w:lang w:val="en-US" w:eastAsia="zh-CN"/>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r>
              <w:rPr>
                <w:rFonts w:hint="eastAsia"/>
                <w:snapToGrid w:val="0"/>
                <w:color w:val="000000" w:themeColor="text1"/>
                <w:kern w:val="21"/>
                <w:szCs w:val="21"/>
                <w:lang w:val="en-US" w:eastAsia="zh-CN"/>
                <w14:textFill>
                  <w14:solidFill>
                    <w14:schemeClr w14:val="tx1"/>
                  </w14:solidFill>
                </w14:textFill>
              </w:rPr>
              <w:t>310</w:t>
            </w:r>
          </w:p>
        </w:tc>
        <w:tc>
          <w:tcPr>
            <w:tcW w:w="1559" w:type="dxa"/>
            <w:vAlign w:val="center"/>
          </w:tcPr>
          <w:p w14:paraId="6C0F3210">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7B0048E3">
            <w:pPr>
              <w:pStyle w:val="31"/>
              <w:spacing w:line="360" w:lineRule="exact"/>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r>
              <w:rPr>
                <w:rFonts w:hint="eastAsia"/>
                <w:snapToGrid w:val="0"/>
                <w:color w:val="000000" w:themeColor="text1"/>
                <w:kern w:val="21"/>
                <w:szCs w:val="21"/>
                <w:lang w:val="en-US" w:eastAsia="zh-CN"/>
                <w14:textFill>
                  <w14:solidFill>
                    <w14:schemeClr w14:val="tx1"/>
                  </w14:solidFill>
                </w14:textFill>
              </w:rPr>
              <w:t>310</w:t>
            </w:r>
          </w:p>
        </w:tc>
        <w:tc>
          <w:tcPr>
            <w:tcW w:w="1276" w:type="dxa"/>
            <w:shd w:val="clear" w:color="auto" w:fill="auto"/>
            <w:vAlign w:val="center"/>
          </w:tcPr>
          <w:p w14:paraId="27535699">
            <w:pPr>
              <w:pStyle w:val="31"/>
              <w:spacing w:line="360" w:lineRule="exact"/>
              <w:rPr>
                <w:rFonts w:hint="default" w:eastAsia="宋体"/>
                <w:snapToGrid w:val="0"/>
                <w:color w:val="000000" w:themeColor="text1"/>
                <w:kern w:val="21"/>
                <w:szCs w:val="21"/>
                <w:lang w:val="en-US" w:eastAsia="zh-CN"/>
                <w14:textFill>
                  <w14:solidFill>
                    <w14:schemeClr w14:val="tx1"/>
                  </w14:solidFill>
                </w14:textFill>
              </w:rPr>
            </w:pPr>
            <w:r>
              <w:rPr>
                <w:rFonts w:hint="eastAsia"/>
                <w:snapToGrid w:val="0"/>
                <w:color w:val="000000" w:themeColor="text1"/>
                <w:kern w:val="21"/>
                <w:szCs w:val="21"/>
                <w14:textFill>
                  <w14:solidFill>
                    <w14:schemeClr w14:val="tx1"/>
                  </w14:solidFill>
                </w14:textFill>
              </w:rPr>
              <w:t>+0.</w:t>
            </w:r>
            <w:r>
              <w:rPr>
                <w:rFonts w:hint="eastAsia"/>
                <w:snapToGrid w:val="0"/>
                <w:color w:val="000000" w:themeColor="text1"/>
                <w:kern w:val="21"/>
                <w:szCs w:val="21"/>
                <w:lang w:val="en-US" w:eastAsia="zh-CN"/>
                <w14:textFill>
                  <w14:solidFill>
                    <w14:schemeClr w14:val="tx1"/>
                  </w14:solidFill>
                </w14:textFill>
              </w:rPr>
              <w:t>310</w:t>
            </w:r>
          </w:p>
        </w:tc>
      </w:tr>
      <w:tr w14:paraId="451933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46C204F2">
            <w:pPr>
              <w:pStyle w:val="31"/>
              <w:spacing w:line="360" w:lineRule="exact"/>
              <w:rPr>
                <w:snapToGrid w:val="0"/>
                <w:color w:val="000000" w:themeColor="text1"/>
                <w:kern w:val="21"/>
                <w:szCs w:val="21"/>
                <w14:textFill>
                  <w14:solidFill>
                    <w14:schemeClr w14:val="tx1"/>
                  </w14:solidFill>
                </w14:textFill>
              </w:rPr>
            </w:pPr>
          </w:p>
        </w:tc>
        <w:tc>
          <w:tcPr>
            <w:tcW w:w="2171" w:type="dxa"/>
            <w:vAlign w:val="center"/>
          </w:tcPr>
          <w:p w14:paraId="4A75ACD5">
            <w:pPr>
              <w:pStyle w:val="31"/>
              <w:spacing w:line="360" w:lineRule="exact"/>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NH</w:t>
            </w:r>
            <w:r>
              <w:rPr>
                <w:snapToGrid w:val="0"/>
                <w:color w:val="000000" w:themeColor="text1"/>
                <w:kern w:val="21"/>
                <w:szCs w:val="21"/>
                <w:vertAlign w:val="subscript"/>
                <w14:textFill>
                  <w14:solidFill>
                    <w14:schemeClr w14:val="tx1"/>
                  </w14:solidFill>
                </w14:textFill>
              </w:rPr>
              <w:t>3</w:t>
            </w:r>
            <w:r>
              <w:rPr>
                <w:snapToGrid w:val="0"/>
                <w:color w:val="000000" w:themeColor="text1"/>
                <w:kern w:val="21"/>
                <w:szCs w:val="21"/>
                <w14:textFill>
                  <w14:solidFill>
                    <w14:schemeClr w14:val="tx1"/>
                  </w14:solidFill>
                </w14:textFill>
              </w:rPr>
              <w:t>-N（t/a）</w:t>
            </w:r>
          </w:p>
        </w:tc>
        <w:tc>
          <w:tcPr>
            <w:tcW w:w="1417" w:type="dxa"/>
            <w:vAlign w:val="center"/>
          </w:tcPr>
          <w:p w14:paraId="14AD926A">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17C3D6B8">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1DE95CC4">
            <w:pPr>
              <w:pStyle w:val="31"/>
              <w:spacing w:line="360" w:lineRule="exact"/>
              <w:rPr>
                <w:snapToGrid w:val="0"/>
                <w:color w:val="000000" w:themeColor="text1"/>
                <w:kern w:val="21"/>
                <w:szCs w:val="21"/>
                <w14:textFill>
                  <w14:solidFill>
                    <w14:schemeClr w14:val="tx1"/>
                  </w14:solidFill>
                </w14:textFill>
              </w:rPr>
            </w:pPr>
          </w:p>
        </w:tc>
        <w:tc>
          <w:tcPr>
            <w:tcW w:w="1559" w:type="dxa"/>
            <w:vAlign w:val="center"/>
          </w:tcPr>
          <w:p w14:paraId="37C87440">
            <w:pPr>
              <w:pStyle w:val="31"/>
              <w:spacing w:line="360" w:lineRule="exact"/>
              <w:rPr>
                <w:rFonts w:hint="eastAsia" w:eastAsia="宋体"/>
                <w:snapToGrid w:val="0"/>
                <w:color w:val="000000" w:themeColor="text1"/>
                <w:kern w:val="21"/>
                <w:szCs w:val="21"/>
                <w:lang w:eastAsia="zh-CN"/>
                <w14:textFill>
                  <w14:solidFill>
                    <w14:schemeClr w14:val="tx1"/>
                  </w14:solidFill>
                </w14:textFill>
              </w:rPr>
            </w:pPr>
            <w:r>
              <w:rPr>
                <w:rFonts w:hint="eastAsia"/>
                <w:snapToGrid w:val="0"/>
                <w:color w:val="000000" w:themeColor="text1"/>
                <w:kern w:val="21"/>
                <w:szCs w:val="21"/>
                <w14:textFill>
                  <w14:solidFill>
                    <w14:schemeClr w14:val="tx1"/>
                  </w14:solidFill>
                </w14:textFill>
              </w:rPr>
              <w:t>0.03</w:t>
            </w:r>
            <w:r>
              <w:rPr>
                <w:rFonts w:hint="eastAsia"/>
                <w:snapToGrid w:val="0"/>
                <w:color w:val="000000" w:themeColor="text1"/>
                <w:kern w:val="21"/>
                <w:szCs w:val="21"/>
                <w:lang w:val="en-US" w:eastAsia="zh-CN"/>
                <w14:textFill>
                  <w14:solidFill>
                    <w14:schemeClr w14:val="tx1"/>
                  </w14:solidFill>
                </w14:textFill>
              </w:rPr>
              <w:t>1</w:t>
            </w:r>
          </w:p>
        </w:tc>
        <w:tc>
          <w:tcPr>
            <w:tcW w:w="1559" w:type="dxa"/>
            <w:vAlign w:val="center"/>
          </w:tcPr>
          <w:p w14:paraId="358E0F5C">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6C79A736">
            <w:pPr>
              <w:pStyle w:val="31"/>
              <w:spacing w:line="360" w:lineRule="exact"/>
              <w:rPr>
                <w:snapToGrid w:val="0"/>
                <w:color w:val="000000" w:themeColor="text1"/>
                <w:kern w:val="21"/>
                <w:szCs w:val="21"/>
                <w14:textFill>
                  <w14:solidFill>
                    <w14:schemeClr w14:val="tx1"/>
                  </w14:solidFill>
                </w14:textFill>
              </w:rPr>
            </w:pPr>
            <w:r>
              <w:rPr>
                <w:rFonts w:hint="eastAsia"/>
                <w:snapToGrid w:val="0"/>
                <w:color w:val="000000" w:themeColor="text1"/>
                <w:kern w:val="21"/>
                <w:szCs w:val="21"/>
                <w14:textFill>
                  <w14:solidFill>
                    <w14:schemeClr w14:val="tx1"/>
                  </w14:solidFill>
                </w14:textFill>
              </w:rPr>
              <w:t>0.03</w:t>
            </w:r>
            <w:r>
              <w:rPr>
                <w:rFonts w:hint="eastAsia"/>
                <w:snapToGrid w:val="0"/>
                <w:color w:val="000000" w:themeColor="text1"/>
                <w:kern w:val="21"/>
                <w:szCs w:val="21"/>
                <w:lang w:val="en-US" w:eastAsia="zh-CN"/>
                <w14:textFill>
                  <w14:solidFill>
                    <w14:schemeClr w14:val="tx1"/>
                  </w14:solidFill>
                </w14:textFill>
              </w:rPr>
              <w:t>1</w:t>
            </w:r>
          </w:p>
        </w:tc>
        <w:tc>
          <w:tcPr>
            <w:tcW w:w="1276" w:type="dxa"/>
            <w:shd w:val="clear" w:color="auto" w:fill="auto"/>
            <w:vAlign w:val="center"/>
          </w:tcPr>
          <w:p w14:paraId="4A9757A7">
            <w:pPr>
              <w:pStyle w:val="31"/>
              <w:spacing w:line="360" w:lineRule="exact"/>
              <w:rPr>
                <w:rFonts w:hint="eastAsia" w:eastAsia="宋体"/>
                <w:snapToGrid w:val="0"/>
                <w:color w:val="000000" w:themeColor="text1"/>
                <w:kern w:val="21"/>
                <w:szCs w:val="21"/>
                <w:lang w:eastAsia="zh-CN"/>
                <w14:textFill>
                  <w14:solidFill>
                    <w14:schemeClr w14:val="tx1"/>
                  </w14:solidFill>
                </w14:textFill>
              </w:rPr>
            </w:pPr>
            <w:r>
              <w:rPr>
                <w:rFonts w:hint="eastAsia"/>
                <w:snapToGrid w:val="0"/>
                <w:color w:val="000000" w:themeColor="text1"/>
                <w:kern w:val="21"/>
                <w:szCs w:val="21"/>
                <w14:textFill>
                  <w14:solidFill>
                    <w14:schemeClr w14:val="tx1"/>
                  </w14:solidFill>
                </w14:textFill>
              </w:rPr>
              <w:t>+0.03</w:t>
            </w:r>
            <w:r>
              <w:rPr>
                <w:rFonts w:hint="eastAsia"/>
                <w:snapToGrid w:val="0"/>
                <w:color w:val="000000" w:themeColor="text1"/>
                <w:kern w:val="21"/>
                <w:szCs w:val="21"/>
                <w:lang w:val="en-US" w:eastAsia="zh-CN"/>
                <w14:textFill>
                  <w14:solidFill>
                    <w14:schemeClr w14:val="tx1"/>
                  </w14:solidFill>
                </w14:textFill>
              </w:rPr>
              <w:t>1</w:t>
            </w:r>
          </w:p>
        </w:tc>
      </w:tr>
      <w:tr w14:paraId="2A9543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restart"/>
            <w:vAlign w:val="center"/>
          </w:tcPr>
          <w:p w14:paraId="4CFB0244">
            <w:pPr>
              <w:pStyle w:val="31"/>
              <w:spacing w:line="360" w:lineRule="exact"/>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一般工业</w:t>
            </w:r>
          </w:p>
          <w:p w14:paraId="5CC1FD83">
            <w:pPr>
              <w:pStyle w:val="31"/>
              <w:spacing w:line="360" w:lineRule="exact"/>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固体废物</w:t>
            </w:r>
          </w:p>
        </w:tc>
        <w:tc>
          <w:tcPr>
            <w:tcW w:w="2171" w:type="dxa"/>
            <w:shd w:val="clear" w:color="auto" w:fill="auto"/>
            <w:vAlign w:val="center"/>
          </w:tcPr>
          <w:p w14:paraId="571FA3A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职工</w:t>
            </w:r>
            <w:r>
              <w:rPr>
                <w:bCs/>
                <w:color w:val="000000" w:themeColor="text1"/>
                <w:kern w:val="0"/>
                <w:szCs w:val="21"/>
                <w14:textFill>
                  <w14:solidFill>
                    <w14:schemeClr w14:val="tx1"/>
                  </w14:solidFill>
                </w14:textFill>
              </w:rPr>
              <w:t>生活垃圾</w:t>
            </w:r>
            <w:r>
              <w:rPr>
                <w:rFonts w:hint="eastAsia"/>
                <w:color w:val="000000" w:themeColor="text1"/>
                <w:szCs w:val="21"/>
                <w14:textFill>
                  <w14:solidFill>
                    <w14:schemeClr w14:val="tx1"/>
                  </w14:solidFill>
                </w14:textFill>
              </w:rPr>
              <w:t>（t/a）</w:t>
            </w:r>
          </w:p>
        </w:tc>
        <w:tc>
          <w:tcPr>
            <w:tcW w:w="1417" w:type="dxa"/>
            <w:vAlign w:val="center"/>
          </w:tcPr>
          <w:p w14:paraId="026708C5">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5AD9FC4B">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32A7FD20">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7800DF50">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5.13</w:t>
            </w:r>
          </w:p>
        </w:tc>
        <w:tc>
          <w:tcPr>
            <w:tcW w:w="1559" w:type="dxa"/>
            <w:vAlign w:val="center"/>
          </w:tcPr>
          <w:p w14:paraId="5FA3DA7C">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013B0F6A">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5.13</w:t>
            </w:r>
          </w:p>
        </w:tc>
        <w:tc>
          <w:tcPr>
            <w:tcW w:w="1276" w:type="dxa"/>
            <w:shd w:val="clear" w:color="auto" w:fill="auto"/>
            <w:vAlign w:val="center"/>
          </w:tcPr>
          <w:p w14:paraId="4C7E69C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5.13</w:t>
            </w:r>
          </w:p>
        </w:tc>
      </w:tr>
      <w:tr w14:paraId="24F443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0E13ABE7">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00BE7AD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化粪池</w:t>
            </w:r>
            <w:r>
              <w:rPr>
                <w:bCs/>
                <w:color w:val="000000" w:themeColor="text1"/>
                <w:kern w:val="0"/>
                <w:szCs w:val="21"/>
                <w14:textFill>
                  <w14:solidFill>
                    <w14:schemeClr w14:val="tx1"/>
                  </w14:solidFill>
                </w14:textFill>
              </w:rPr>
              <w:t>污泥</w:t>
            </w:r>
            <w:r>
              <w:rPr>
                <w:rFonts w:hint="eastAsia"/>
                <w:color w:val="000000" w:themeColor="text1"/>
                <w:szCs w:val="21"/>
                <w14:textFill>
                  <w14:solidFill>
                    <w14:schemeClr w14:val="tx1"/>
                  </w14:solidFill>
                </w14:textFill>
              </w:rPr>
              <w:t>（t/a）</w:t>
            </w:r>
          </w:p>
        </w:tc>
        <w:tc>
          <w:tcPr>
            <w:tcW w:w="1417" w:type="dxa"/>
            <w:vAlign w:val="center"/>
          </w:tcPr>
          <w:p w14:paraId="3BACFCC2">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79857A86">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28E5C490">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290D73E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2.565</w:t>
            </w:r>
          </w:p>
        </w:tc>
        <w:tc>
          <w:tcPr>
            <w:tcW w:w="1559" w:type="dxa"/>
            <w:vAlign w:val="center"/>
          </w:tcPr>
          <w:p w14:paraId="755E74EA">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6BB7CF47">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2.565</w:t>
            </w:r>
          </w:p>
        </w:tc>
        <w:tc>
          <w:tcPr>
            <w:tcW w:w="1276" w:type="dxa"/>
            <w:shd w:val="clear" w:color="auto" w:fill="auto"/>
            <w:vAlign w:val="center"/>
          </w:tcPr>
          <w:p w14:paraId="56770ED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+2.565</w:t>
            </w:r>
          </w:p>
        </w:tc>
      </w:tr>
      <w:tr w14:paraId="17EA26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2677E8CC">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6658CB82">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除尘器收集到的粉尘</w:t>
            </w:r>
            <w:r>
              <w:rPr>
                <w:rFonts w:hint="eastAsia"/>
                <w:color w:val="000000" w:themeColor="text1"/>
                <w:szCs w:val="21"/>
                <w14:textFill>
                  <w14:solidFill>
                    <w14:schemeClr w14:val="tx1"/>
                  </w14:solidFill>
                </w14:textFill>
              </w:rPr>
              <w:t>（t/a）</w:t>
            </w:r>
          </w:p>
        </w:tc>
        <w:tc>
          <w:tcPr>
            <w:tcW w:w="1417" w:type="dxa"/>
            <w:vAlign w:val="center"/>
          </w:tcPr>
          <w:p w14:paraId="337090FE">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59A7BB7A">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1396FB0A">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546426B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0.709</w:t>
            </w:r>
          </w:p>
        </w:tc>
        <w:tc>
          <w:tcPr>
            <w:tcW w:w="1559" w:type="dxa"/>
            <w:vAlign w:val="center"/>
          </w:tcPr>
          <w:p w14:paraId="581F420B">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4CBD13C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0.709</w:t>
            </w:r>
          </w:p>
        </w:tc>
        <w:tc>
          <w:tcPr>
            <w:tcW w:w="1276" w:type="dxa"/>
            <w:shd w:val="clear" w:color="auto" w:fill="auto"/>
            <w:vAlign w:val="center"/>
          </w:tcPr>
          <w:p w14:paraId="7FCED0BE">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+0.709</w:t>
            </w:r>
          </w:p>
        </w:tc>
      </w:tr>
      <w:tr w14:paraId="044369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1EA1CEC9">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7C39A74E">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废酒糟</w:t>
            </w:r>
            <w:r>
              <w:rPr>
                <w:rFonts w:hint="eastAsia"/>
                <w:color w:val="000000" w:themeColor="text1"/>
                <w:szCs w:val="21"/>
                <w14:textFill>
                  <w14:solidFill>
                    <w14:schemeClr w14:val="tx1"/>
                  </w14:solidFill>
                </w14:textFill>
              </w:rPr>
              <w:t>（t/a）</w:t>
            </w:r>
          </w:p>
        </w:tc>
        <w:tc>
          <w:tcPr>
            <w:tcW w:w="1417" w:type="dxa"/>
            <w:vAlign w:val="center"/>
          </w:tcPr>
          <w:p w14:paraId="5E58B4C2">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0587DE0D">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429C2969">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60CE2ED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721.943</w:t>
            </w:r>
          </w:p>
        </w:tc>
        <w:tc>
          <w:tcPr>
            <w:tcW w:w="1559" w:type="dxa"/>
            <w:vAlign w:val="center"/>
          </w:tcPr>
          <w:p w14:paraId="5E5BF788">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3633ECC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721.943</w:t>
            </w:r>
          </w:p>
        </w:tc>
        <w:tc>
          <w:tcPr>
            <w:tcW w:w="1276" w:type="dxa"/>
            <w:shd w:val="clear" w:color="auto" w:fill="auto"/>
            <w:vAlign w:val="center"/>
          </w:tcPr>
          <w:p w14:paraId="0C735DE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+721.943</w:t>
            </w:r>
          </w:p>
        </w:tc>
      </w:tr>
      <w:tr w14:paraId="26C558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7AD5B75E">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3C72A122">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废啤酒花、热凝固物</w:t>
            </w:r>
            <w:r>
              <w:rPr>
                <w:rFonts w:hint="eastAsia"/>
                <w:color w:val="000000" w:themeColor="text1"/>
                <w:szCs w:val="21"/>
                <w14:textFill>
                  <w14:solidFill>
                    <w14:schemeClr w14:val="tx1"/>
                  </w14:solidFill>
                </w14:textFill>
              </w:rPr>
              <w:t>（t/a）</w:t>
            </w:r>
          </w:p>
        </w:tc>
        <w:tc>
          <w:tcPr>
            <w:tcW w:w="1417" w:type="dxa"/>
            <w:vAlign w:val="center"/>
          </w:tcPr>
          <w:p w14:paraId="7E8B8B4D">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6EF49440">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0E01E47B">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68006BB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1.9</w:t>
            </w:r>
          </w:p>
        </w:tc>
        <w:tc>
          <w:tcPr>
            <w:tcW w:w="1559" w:type="dxa"/>
            <w:vAlign w:val="center"/>
          </w:tcPr>
          <w:p w14:paraId="4FC3EE66">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0498D9F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1.9</w:t>
            </w:r>
          </w:p>
        </w:tc>
        <w:tc>
          <w:tcPr>
            <w:tcW w:w="1276" w:type="dxa"/>
            <w:shd w:val="clear" w:color="auto" w:fill="auto"/>
            <w:vAlign w:val="center"/>
          </w:tcPr>
          <w:p w14:paraId="4624883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+1.9</w:t>
            </w:r>
          </w:p>
        </w:tc>
      </w:tr>
      <w:tr w14:paraId="22A994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3C671BDB">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2D051FC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废酵母（含冷凝固物）</w:t>
            </w:r>
            <w:r>
              <w:rPr>
                <w:rFonts w:hint="eastAsia"/>
                <w:color w:val="000000" w:themeColor="text1"/>
                <w:szCs w:val="21"/>
                <w14:textFill>
                  <w14:solidFill>
                    <w14:schemeClr w14:val="tx1"/>
                  </w14:solidFill>
                </w14:textFill>
              </w:rPr>
              <w:t>（t/a）</w:t>
            </w:r>
          </w:p>
        </w:tc>
        <w:tc>
          <w:tcPr>
            <w:tcW w:w="1417" w:type="dxa"/>
            <w:vAlign w:val="center"/>
          </w:tcPr>
          <w:p w14:paraId="5A9C762D">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59345705">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5D0FBB96">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1729FA44">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3.0</w:t>
            </w:r>
          </w:p>
        </w:tc>
        <w:tc>
          <w:tcPr>
            <w:tcW w:w="1559" w:type="dxa"/>
            <w:vAlign w:val="center"/>
          </w:tcPr>
          <w:p w14:paraId="5DAB5676">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2B40C757">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3.0</w:t>
            </w:r>
          </w:p>
        </w:tc>
        <w:tc>
          <w:tcPr>
            <w:tcW w:w="1276" w:type="dxa"/>
            <w:shd w:val="clear" w:color="auto" w:fill="auto"/>
            <w:vAlign w:val="center"/>
          </w:tcPr>
          <w:p w14:paraId="61317B55">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+3.0</w:t>
            </w:r>
          </w:p>
        </w:tc>
      </w:tr>
      <w:tr w14:paraId="5A4FD1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4AFA63BC">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50A578DC">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废果、果皮、果渣及果梗</w:t>
            </w:r>
            <w:r>
              <w:rPr>
                <w:rFonts w:hint="eastAsia"/>
                <w:color w:val="000000" w:themeColor="text1"/>
                <w:szCs w:val="21"/>
                <w14:textFill>
                  <w14:solidFill>
                    <w14:schemeClr w14:val="tx1"/>
                  </w14:solidFill>
                </w14:textFill>
              </w:rPr>
              <w:t>（t/a）</w:t>
            </w:r>
          </w:p>
        </w:tc>
        <w:tc>
          <w:tcPr>
            <w:tcW w:w="1417" w:type="dxa"/>
            <w:vAlign w:val="center"/>
          </w:tcPr>
          <w:p w14:paraId="16A1FC81">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666894A7">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49DF1FC4">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4EEADD6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109.992</w:t>
            </w:r>
          </w:p>
        </w:tc>
        <w:tc>
          <w:tcPr>
            <w:tcW w:w="1559" w:type="dxa"/>
            <w:vAlign w:val="center"/>
          </w:tcPr>
          <w:p w14:paraId="31C1B20D">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2028630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109.992</w:t>
            </w:r>
          </w:p>
        </w:tc>
        <w:tc>
          <w:tcPr>
            <w:tcW w:w="1276" w:type="dxa"/>
            <w:shd w:val="clear" w:color="auto" w:fill="auto"/>
            <w:vAlign w:val="center"/>
          </w:tcPr>
          <w:p w14:paraId="672EB26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+109.992</w:t>
            </w:r>
          </w:p>
        </w:tc>
      </w:tr>
      <w:tr w14:paraId="69DD46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13496F06">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14D29347">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过滤残渣</w:t>
            </w:r>
            <w:r>
              <w:rPr>
                <w:rFonts w:hint="eastAsia"/>
                <w:color w:val="000000" w:themeColor="text1"/>
                <w:szCs w:val="21"/>
                <w14:textFill>
                  <w14:solidFill>
                    <w14:schemeClr w14:val="tx1"/>
                  </w14:solidFill>
                </w14:textFill>
              </w:rPr>
              <w:t>（t/a）</w:t>
            </w:r>
          </w:p>
        </w:tc>
        <w:tc>
          <w:tcPr>
            <w:tcW w:w="1417" w:type="dxa"/>
            <w:vAlign w:val="center"/>
          </w:tcPr>
          <w:p w14:paraId="5E76D18C">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358BF064">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7A7832B2">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39C2E697">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107.227</w:t>
            </w:r>
          </w:p>
        </w:tc>
        <w:tc>
          <w:tcPr>
            <w:tcW w:w="1559" w:type="dxa"/>
            <w:vAlign w:val="center"/>
          </w:tcPr>
          <w:p w14:paraId="39D96CC3">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46A9B0A2">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107.227</w:t>
            </w:r>
          </w:p>
        </w:tc>
        <w:tc>
          <w:tcPr>
            <w:tcW w:w="1276" w:type="dxa"/>
            <w:shd w:val="clear" w:color="auto" w:fill="auto"/>
            <w:vAlign w:val="center"/>
          </w:tcPr>
          <w:p w14:paraId="585716AB">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+107.227</w:t>
            </w:r>
          </w:p>
        </w:tc>
      </w:tr>
      <w:tr w14:paraId="327FFC6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1BBAEB77">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12A9CE29">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废边角料</w:t>
            </w:r>
            <w:r>
              <w:rPr>
                <w:rFonts w:hint="eastAsia"/>
                <w:color w:val="000000" w:themeColor="text1"/>
                <w:szCs w:val="21"/>
                <w14:textFill>
                  <w14:solidFill>
                    <w14:schemeClr w14:val="tx1"/>
                  </w14:solidFill>
                </w14:textFill>
              </w:rPr>
              <w:t>（t/a）</w:t>
            </w:r>
          </w:p>
        </w:tc>
        <w:tc>
          <w:tcPr>
            <w:tcW w:w="1417" w:type="dxa"/>
            <w:vAlign w:val="center"/>
          </w:tcPr>
          <w:p w14:paraId="16AB4E89">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1F74B3FD">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54557CAB">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41AB7B4A">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5.0</w:t>
            </w:r>
          </w:p>
        </w:tc>
        <w:tc>
          <w:tcPr>
            <w:tcW w:w="1559" w:type="dxa"/>
            <w:vAlign w:val="center"/>
          </w:tcPr>
          <w:p w14:paraId="481F73D1">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0B1ED9FE">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5.0</w:t>
            </w:r>
          </w:p>
        </w:tc>
        <w:tc>
          <w:tcPr>
            <w:tcW w:w="1276" w:type="dxa"/>
            <w:shd w:val="clear" w:color="auto" w:fill="auto"/>
            <w:vAlign w:val="center"/>
          </w:tcPr>
          <w:p w14:paraId="0F1E507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+5.0</w:t>
            </w:r>
          </w:p>
        </w:tc>
      </w:tr>
      <w:tr w14:paraId="40DFF4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74C97B33">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2956D0D3">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废包装材料</w:t>
            </w:r>
            <w:r>
              <w:rPr>
                <w:rFonts w:hint="eastAsia"/>
                <w:color w:val="000000" w:themeColor="text1"/>
                <w:szCs w:val="21"/>
                <w14:textFill>
                  <w14:solidFill>
                    <w14:schemeClr w14:val="tx1"/>
                  </w14:solidFill>
                </w14:textFill>
              </w:rPr>
              <w:t>（t/a）</w:t>
            </w:r>
          </w:p>
        </w:tc>
        <w:tc>
          <w:tcPr>
            <w:tcW w:w="1417" w:type="dxa"/>
            <w:vAlign w:val="center"/>
          </w:tcPr>
          <w:p w14:paraId="148B00BA">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4E8ADFCF">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149B181B">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73487D06">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1559" w:type="dxa"/>
            <w:vAlign w:val="center"/>
          </w:tcPr>
          <w:p w14:paraId="4986665B">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4067CE0F">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5.0</w:t>
            </w:r>
          </w:p>
        </w:tc>
        <w:tc>
          <w:tcPr>
            <w:tcW w:w="1276" w:type="dxa"/>
            <w:shd w:val="clear" w:color="auto" w:fill="auto"/>
            <w:vAlign w:val="center"/>
          </w:tcPr>
          <w:p w14:paraId="52AE7DE8">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+5.0</w:t>
            </w:r>
          </w:p>
        </w:tc>
      </w:tr>
      <w:tr w14:paraId="00BC2D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1856E36D">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6DFB2EEF">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废石英砂</w:t>
            </w:r>
            <w:r>
              <w:rPr>
                <w:rFonts w:hint="eastAsia"/>
                <w:color w:val="000000" w:themeColor="text1"/>
                <w:szCs w:val="21"/>
                <w14:textFill>
                  <w14:solidFill>
                    <w14:schemeClr w14:val="tx1"/>
                  </w14:solidFill>
                </w14:textFill>
              </w:rPr>
              <w:t>（t/a）</w:t>
            </w:r>
          </w:p>
        </w:tc>
        <w:tc>
          <w:tcPr>
            <w:tcW w:w="1417" w:type="dxa"/>
            <w:vAlign w:val="center"/>
          </w:tcPr>
          <w:p w14:paraId="4473B80C">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05BF670F">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26318409">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4B0D8816">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1559" w:type="dxa"/>
            <w:vAlign w:val="center"/>
          </w:tcPr>
          <w:p w14:paraId="242796BB">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0E7D8634">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1276" w:type="dxa"/>
            <w:shd w:val="clear" w:color="auto" w:fill="auto"/>
            <w:vAlign w:val="center"/>
          </w:tcPr>
          <w:p w14:paraId="3C2CD40D">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080A14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28CBD876">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49BCF51E">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废滤芯</w:t>
            </w:r>
            <w:r>
              <w:rPr>
                <w:rFonts w:hint="eastAsia"/>
                <w:color w:val="000000" w:themeColor="text1"/>
                <w:szCs w:val="21"/>
                <w14:textFill>
                  <w14:solidFill>
                    <w14:schemeClr w14:val="tx1"/>
                  </w14:solidFill>
                </w14:textFill>
              </w:rPr>
              <w:t>（t/a）</w:t>
            </w:r>
          </w:p>
        </w:tc>
        <w:tc>
          <w:tcPr>
            <w:tcW w:w="1417" w:type="dxa"/>
            <w:vAlign w:val="center"/>
          </w:tcPr>
          <w:p w14:paraId="0F512A94">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1105CD43">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7CC7A6B2">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378B8E7F">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1559" w:type="dxa"/>
            <w:vAlign w:val="center"/>
          </w:tcPr>
          <w:p w14:paraId="72E51B40">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111511B0">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1276" w:type="dxa"/>
            <w:shd w:val="clear" w:color="auto" w:fill="auto"/>
            <w:vAlign w:val="center"/>
          </w:tcPr>
          <w:p w14:paraId="271D66D5">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28A6C1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0FF8EC3B">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5D16C982">
            <w:pPr>
              <w:jc w:val="center"/>
              <w:rPr>
                <w:bCs/>
                <w:color w:val="000000" w:themeColor="text1"/>
                <w:kern w:val="0"/>
                <w:szCs w:val="21"/>
                <w14:textFill>
                  <w14:solidFill>
                    <w14:schemeClr w14:val="tx1"/>
                  </w14:solidFill>
                </w14:textFill>
              </w:rPr>
            </w:pPr>
            <w:r>
              <w:rPr>
                <w:color w:val="000000" w:themeColor="text1"/>
                <w:szCs w:val="21"/>
                <w14:textFill>
                  <w14:solidFill>
                    <w14:schemeClr w14:val="tx1"/>
                  </w14:solidFill>
                </w14:textFill>
              </w:rPr>
              <w:t>废活性炭</w:t>
            </w:r>
            <w:r>
              <w:rPr>
                <w:rFonts w:hint="eastAsia"/>
                <w:color w:val="000000" w:themeColor="text1"/>
                <w:szCs w:val="21"/>
                <w14:textFill>
                  <w14:solidFill>
                    <w14:schemeClr w14:val="tx1"/>
                  </w14:solidFill>
                </w14:textFill>
              </w:rPr>
              <w:t>（t/a）</w:t>
            </w:r>
          </w:p>
        </w:tc>
        <w:tc>
          <w:tcPr>
            <w:tcW w:w="1417" w:type="dxa"/>
            <w:vAlign w:val="center"/>
          </w:tcPr>
          <w:p w14:paraId="0A3492E9">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184D0355">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5DEE3FBB">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2F3F0603">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1559" w:type="dxa"/>
            <w:vAlign w:val="center"/>
          </w:tcPr>
          <w:p w14:paraId="4BAC0A4C">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0996E185">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c>
          <w:tcPr>
            <w:tcW w:w="1276" w:type="dxa"/>
            <w:shd w:val="clear" w:color="auto" w:fill="auto"/>
            <w:vAlign w:val="center"/>
          </w:tcPr>
          <w:p w14:paraId="161A3164">
            <w:pPr>
              <w:jc w:val="center"/>
              <w:rPr>
                <w:bCs/>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+0.5</w:t>
            </w:r>
          </w:p>
        </w:tc>
      </w:tr>
      <w:tr w14:paraId="58975C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1195A278">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119F94F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废反渗透膜</w:t>
            </w:r>
            <w:r>
              <w:rPr>
                <w:rFonts w:hint="eastAsia"/>
                <w:color w:val="000000" w:themeColor="text1"/>
                <w:szCs w:val="21"/>
                <w14:textFill>
                  <w14:solidFill>
                    <w14:schemeClr w14:val="tx1"/>
                  </w14:solidFill>
                </w14:textFill>
              </w:rPr>
              <w:t>（t/a）</w:t>
            </w:r>
          </w:p>
        </w:tc>
        <w:tc>
          <w:tcPr>
            <w:tcW w:w="1417" w:type="dxa"/>
            <w:vAlign w:val="center"/>
          </w:tcPr>
          <w:p w14:paraId="46CBEB5D">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121F9513">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0F3D8BD3">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2A3D551F">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0.</w:t>
            </w:r>
            <w:r>
              <w:rPr>
                <w:rFonts w:hint="eastAsia"/>
                <w:bCs/>
                <w:color w:val="000000" w:themeColor="text1"/>
                <w:kern w:val="0"/>
                <w:szCs w:val="21"/>
                <w14:textFill>
                  <w14:solidFill>
                    <w14:schemeClr w14:val="tx1"/>
                  </w14:solidFill>
                </w14:textFill>
              </w:rPr>
              <w:t>2</w:t>
            </w:r>
          </w:p>
        </w:tc>
        <w:tc>
          <w:tcPr>
            <w:tcW w:w="1559" w:type="dxa"/>
            <w:vAlign w:val="center"/>
          </w:tcPr>
          <w:p w14:paraId="5F6AA92C">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0D8B04C5">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0.</w:t>
            </w:r>
            <w:r>
              <w:rPr>
                <w:rFonts w:hint="eastAsia"/>
                <w:bCs/>
                <w:color w:val="000000" w:themeColor="text1"/>
                <w:kern w:val="0"/>
                <w:szCs w:val="21"/>
                <w14:textFill>
                  <w14:solidFill>
                    <w14:schemeClr w14:val="tx1"/>
                  </w14:solidFill>
                </w14:textFill>
              </w:rPr>
              <w:t>2</w:t>
            </w:r>
          </w:p>
        </w:tc>
        <w:tc>
          <w:tcPr>
            <w:tcW w:w="1276" w:type="dxa"/>
            <w:shd w:val="clear" w:color="auto" w:fill="auto"/>
            <w:vAlign w:val="center"/>
          </w:tcPr>
          <w:p w14:paraId="2BDDC172">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w:t>
            </w:r>
            <w:r>
              <w:rPr>
                <w:bCs/>
                <w:color w:val="000000" w:themeColor="text1"/>
                <w:kern w:val="0"/>
                <w:szCs w:val="21"/>
                <w14:textFill>
                  <w14:solidFill>
                    <w14:schemeClr w14:val="tx1"/>
                  </w14:solidFill>
                </w14:textFill>
              </w:rPr>
              <w:t>0.</w:t>
            </w:r>
            <w:r>
              <w:rPr>
                <w:rFonts w:hint="eastAsia"/>
                <w:bCs/>
                <w:color w:val="000000" w:themeColor="text1"/>
                <w:kern w:val="0"/>
                <w:szCs w:val="21"/>
                <w14:textFill>
                  <w14:solidFill>
                    <w14:schemeClr w14:val="tx1"/>
                  </w14:solidFill>
                </w14:textFill>
              </w:rPr>
              <w:t>2</w:t>
            </w:r>
          </w:p>
        </w:tc>
      </w:tr>
      <w:tr w14:paraId="6CFA78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72890290">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4D12853B">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废硅藻土</w:t>
            </w:r>
            <w:r>
              <w:rPr>
                <w:rFonts w:hint="eastAsia"/>
                <w:color w:val="000000" w:themeColor="text1"/>
                <w:szCs w:val="21"/>
                <w14:textFill>
                  <w14:solidFill>
                    <w14:schemeClr w14:val="tx1"/>
                  </w14:solidFill>
                </w14:textFill>
              </w:rPr>
              <w:t>（t/a）</w:t>
            </w:r>
          </w:p>
        </w:tc>
        <w:tc>
          <w:tcPr>
            <w:tcW w:w="1417" w:type="dxa"/>
            <w:vAlign w:val="center"/>
          </w:tcPr>
          <w:p w14:paraId="7CE528F8">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7F8CAC96">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5FB8EDA6">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3D864623">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0.349</w:t>
            </w:r>
          </w:p>
        </w:tc>
        <w:tc>
          <w:tcPr>
            <w:tcW w:w="1559" w:type="dxa"/>
            <w:vAlign w:val="center"/>
          </w:tcPr>
          <w:p w14:paraId="1AB5FCC3">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294EE92B">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0.349</w:t>
            </w:r>
          </w:p>
        </w:tc>
        <w:tc>
          <w:tcPr>
            <w:tcW w:w="1276" w:type="dxa"/>
            <w:shd w:val="clear" w:color="auto" w:fill="auto"/>
            <w:vAlign w:val="center"/>
          </w:tcPr>
          <w:p w14:paraId="7DB83C1C">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+0.349</w:t>
            </w:r>
          </w:p>
        </w:tc>
      </w:tr>
      <w:tr w14:paraId="2C1B67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7" w:hRule="atLeast"/>
          <w:jc w:val="center"/>
        </w:trPr>
        <w:tc>
          <w:tcPr>
            <w:tcW w:w="1118" w:type="dxa"/>
            <w:vMerge w:val="continue"/>
            <w:vAlign w:val="center"/>
          </w:tcPr>
          <w:p w14:paraId="0AB5845F">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49905744">
            <w:pPr>
              <w:jc w:val="center"/>
              <w:rPr>
                <w:bCs/>
                <w:color w:val="000000" w:themeColor="text1"/>
                <w:kern w:val="0"/>
                <w:szCs w:val="21"/>
                <w14:textFill>
                  <w14:solidFill>
                    <w14:schemeClr w14:val="tx1"/>
                  </w14:solidFill>
                </w14:textFill>
              </w:rPr>
            </w:pPr>
            <w:r>
              <w:rPr>
                <w:bCs/>
                <w:color w:val="000000" w:themeColor="text1"/>
                <w:kern w:val="0"/>
                <w:szCs w:val="21"/>
                <w14:textFill>
                  <w14:solidFill>
                    <w14:schemeClr w14:val="tx1"/>
                  </w14:solidFill>
                </w14:textFill>
              </w:rPr>
              <w:t>废酒瓶</w:t>
            </w:r>
            <w:r>
              <w:rPr>
                <w:rFonts w:hint="eastAsia"/>
                <w:color w:val="000000" w:themeColor="text1"/>
                <w:szCs w:val="21"/>
                <w14:textFill>
                  <w14:solidFill>
                    <w14:schemeClr w14:val="tx1"/>
                  </w14:solidFill>
                </w14:textFill>
              </w:rPr>
              <w:t>（t/a）</w:t>
            </w:r>
          </w:p>
        </w:tc>
        <w:tc>
          <w:tcPr>
            <w:tcW w:w="1417" w:type="dxa"/>
            <w:vAlign w:val="center"/>
          </w:tcPr>
          <w:p w14:paraId="1DEADE05">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5FAF48ED">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79F6ED81">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36749036">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0.7</w:t>
            </w:r>
          </w:p>
        </w:tc>
        <w:tc>
          <w:tcPr>
            <w:tcW w:w="1559" w:type="dxa"/>
            <w:vAlign w:val="center"/>
          </w:tcPr>
          <w:p w14:paraId="0F0FEAAD">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33A8E024">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0.7</w:t>
            </w:r>
          </w:p>
        </w:tc>
        <w:tc>
          <w:tcPr>
            <w:tcW w:w="1276" w:type="dxa"/>
            <w:shd w:val="clear" w:color="auto" w:fill="auto"/>
            <w:vAlign w:val="center"/>
          </w:tcPr>
          <w:p w14:paraId="3CB9BAF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+0.7</w:t>
            </w:r>
          </w:p>
        </w:tc>
      </w:tr>
      <w:tr w14:paraId="5CD3A8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4E1F715D">
            <w:pPr>
              <w:pStyle w:val="31"/>
              <w:spacing w:line="360" w:lineRule="exact"/>
              <w:rPr>
                <w:snapToGrid w:val="0"/>
                <w:color w:val="000000" w:themeColor="text1"/>
                <w:kern w:val="21"/>
                <w:szCs w:val="21"/>
                <w14:textFill>
                  <w14:solidFill>
                    <w14:schemeClr w14:val="tx1"/>
                  </w14:solidFill>
                </w14:textFill>
              </w:rPr>
            </w:pPr>
          </w:p>
        </w:tc>
        <w:tc>
          <w:tcPr>
            <w:tcW w:w="2171" w:type="dxa"/>
            <w:shd w:val="clear" w:color="auto" w:fill="auto"/>
            <w:vAlign w:val="center"/>
          </w:tcPr>
          <w:p w14:paraId="620D3EC4">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污水处理站污泥</w:t>
            </w:r>
            <w:r>
              <w:rPr>
                <w:rFonts w:hint="eastAsia"/>
                <w:color w:val="000000" w:themeColor="text1"/>
                <w:szCs w:val="21"/>
                <w14:textFill>
                  <w14:solidFill>
                    <w14:schemeClr w14:val="tx1"/>
                  </w14:solidFill>
                </w14:textFill>
              </w:rPr>
              <w:t>（t/a）</w:t>
            </w:r>
          </w:p>
        </w:tc>
        <w:tc>
          <w:tcPr>
            <w:tcW w:w="1417" w:type="dxa"/>
            <w:vAlign w:val="center"/>
          </w:tcPr>
          <w:p w14:paraId="6A1FDCA2">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309CE2C1">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4E1CEAB1">
            <w:pPr>
              <w:pStyle w:val="31"/>
              <w:spacing w:line="360" w:lineRule="exact"/>
              <w:rPr>
                <w:snapToGrid w:val="0"/>
                <w:color w:val="000000" w:themeColor="text1"/>
                <w:kern w:val="21"/>
                <w:szCs w:val="21"/>
                <w14:textFill>
                  <w14:solidFill>
                    <w14:schemeClr w14:val="tx1"/>
                  </w14:solidFill>
                </w14:textFill>
              </w:rPr>
            </w:pPr>
          </w:p>
        </w:tc>
        <w:tc>
          <w:tcPr>
            <w:tcW w:w="1559" w:type="dxa"/>
            <w:shd w:val="clear" w:color="auto" w:fill="auto"/>
            <w:vAlign w:val="center"/>
          </w:tcPr>
          <w:p w14:paraId="0C528028">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4.418</w:t>
            </w:r>
          </w:p>
        </w:tc>
        <w:tc>
          <w:tcPr>
            <w:tcW w:w="1559" w:type="dxa"/>
            <w:vAlign w:val="center"/>
          </w:tcPr>
          <w:p w14:paraId="5B639270">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653D930C">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4.418</w:t>
            </w:r>
          </w:p>
        </w:tc>
        <w:tc>
          <w:tcPr>
            <w:tcW w:w="1276" w:type="dxa"/>
            <w:shd w:val="clear" w:color="auto" w:fill="auto"/>
            <w:vAlign w:val="center"/>
          </w:tcPr>
          <w:p w14:paraId="532B856F">
            <w:pPr>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+4.418</w:t>
            </w:r>
          </w:p>
        </w:tc>
      </w:tr>
      <w:tr w14:paraId="01D892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restart"/>
            <w:vAlign w:val="center"/>
          </w:tcPr>
          <w:p w14:paraId="09C0C2ED">
            <w:pPr>
              <w:pStyle w:val="31"/>
              <w:spacing w:line="360" w:lineRule="exact"/>
              <w:rPr>
                <w:snapToGrid w:val="0"/>
                <w:color w:val="000000" w:themeColor="text1"/>
                <w:kern w:val="21"/>
                <w:szCs w:val="21"/>
                <w14:textFill>
                  <w14:solidFill>
                    <w14:schemeClr w14:val="tx1"/>
                  </w14:solidFill>
                </w14:textFill>
              </w:rPr>
            </w:pPr>
            <w:r>
              <w:rPr>
                <w:snapToGrid w:val="0"/>
                <w:color w:val="000000" w:themeColor="text1"/>
                <w:kern w:val="21"/>
                <w:szCs w:val="21"/>
                <w14:textFill>
                  <w14:solidFill>
                    <w14:schemeClr w14:val="tx1"/>
                  </w14:solidFill>
                </w14:textFill>
              </w:rPr>
              <w:t>危险废物</w:t>
            </w:r>
          </w:p>
        </w:tc>
        <w:tc>
          <w:tcPr>
            <w:tcW w:w="2171" w:type="dxa"/>
            <w:vAlign w:val="center"/>
          </w:tcPr>
          <w:p w14:paraId="75D8E150">
            <w:pPr>
              <w:spacing w:line="360" w:lineRule="exact"/>
              <w:jc w:val="center"/>
              <w:rPr>
                <w:color w:val="000000" w:themeColor="text1"/>
                <w:szCs w:val="21"/>
                <w14:textFill>
                  <w14:solidFill>
                    <w14:schemeClr w14:val="tx1"/>
                  </w14:solidFill>
                </w14:textFill>
              </w:rPr>
            </w:pPr>
            <w:r>
              <w:rPr>
                <w:bCs/>
                <w:color w:val="000000" w:themeColor="text1"/>
                <w:szCs w:val="21"/>
                <w14:textFill>
                  <w14:solidFill>
                    <w14:schemeClr w14:val="tx1"/>
                  </w14:solidFill>
                </w14:textFill>
              </w:rPr>
              <w:t>废润滑油</w:t>
            </w:r>
            <w:r>
              <w:rPr>
                <w:snapToGrid w:val="0"/>
                <w:color w:val="000000" w:themeColor="text1"/>
                <w:kern w:val="21"/>
                <w:szCs w:val="21"/>
                <w14:textFill>
                  <w14:solidFill>
                    <w14:schemeClr w14:val="tx1"/>
                  </w14:solidFill>
                </w14:textFill>
              </w:rPr>
              <w:t>（t/a）</w:t>
            </w:r>
          </w:p>
        </w:tc>
        <w:tc>
          <w:tcPr>
            <w:tcW w:w="1417" w:type="dxa"/>
            <w:vAlign w:val="center"/>
          </w:tcPr>
          <w:p w14:paraId="6A6DE3EE">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68156801">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574B92D6">
            <w:pPr>
              <w:pStyle w:val="31"/>
              <w:spacing w:line="360" w:lineRule="exact"/>
              <w:rPr>
                <w:snapToGrid w:val="0"/>
                <w:color w:val="000000" w:themeColor="text1"/>
                <w:kern w:val="21"/>
                <w:szCs w:val="21"/>
                <w14:textFill>
                  <w14:solidFill>
                    <w14:schemeClr w14:val="tx1"/>
                  </w14:solidFill>
                </w14:textFill>
              </w:rPr>
            </w:pPr>
          </w:p>
        </w:tc>
        <w:tc>
          <w:tcPr>
            <w:tcW w:w="1559" w:type="dxa"/>
            <w:vAlign w:val="center"/>
          </w:tcPr>
          <w:p w14:paraId="12C14780">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w:t>
            </w:r>
            <w:r>
              <w:rPr>
                <w:rFonts w:hint="eastAsia" w:ascii="Times New Roman" w:hAnsi="Times New Roman"/>
                <w:color w:val="000000" w:themeColor="text1"/>
                <w:sz w:val="21"/>
                <w:szCs w:val="21"/>
                <w14:textFill>
                  <w14:solidFill>
                    <w14:schemeClr w14:val="tx1"/>
                  </w14:solidFill>
                </w14:textFill>
              </w:rPr>
              <w:t>5</w:t>
            </w:r>
          </w:p>
        </w:tc>
        <w:tc>
          <w:tcPr>
            <w:tcW w:w="1559" w:type="dxa"/>
            <w:vAlign w:val="center"/>
          </w:tcPr>
          <w:p w14:paraId="699C3820">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4F706A57">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w:t>
            </w:r>
            <w:r>
              <w:rPr>
                <w:rFonts w:hint="eastAsia" w:ascii="Times New Roman" w:hAnsi="Times New Roman"/>
                <w:color w:val="000000" w:themeColor="text1"/>
                <w:sz w:val="21"/>
                <w:szCs w:val="21"/>
                <w14:textFill>
                  <w14:solidFill>
                    <w14:schemeClr w14:val="tx1"/>
                  </w14:solidFill>
                </w14:textFill>
              </w:rPr>
              <w:t>5</w:t>
            </w:r>
          </w:p>
        </w:tc>
        <w:tc>
          <w:tcPr>
            <w:tcW w:w="1276" w:type="dxa"/>
            <w:vAlign w:val="center"/>
          </w:tcPr>
          <w:p w14:paraId="2EE0B015">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0.</w:t>
            </w:r>
            <w:r>
              <w:rPr>
                <w:rFonts w:hint="eastAsia" w:ascii="Times New Roman" w:hAnsi="Times New Roman"/>
                <w:color w:val="000000" w:themeColor="text1"/>
                <w:sz w:val="21"/>
                <w:szCs w:val="21"/>
                <w14:textFill>
                  <w14:solidFill>
                    <w14:schemeClr w14:val="tx1"/>
                  </w14:solidFill>
                </w14:textFill>
              </w:rPr>
              <w:t>5</w:t>
            </w:r>
          </w:p>
        </w:tc>
      </w:tr>
      <w:tr w14:paraId="04ECA7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0069462C">
            <w:pPr>
              <w:pStyle w:val="31"/>
              <w:spacing w:line="360" w:lineRule="exact"/>
              <w:rPr>
                <w:snapToGrid w:val="0"/>
                <w:color w:val="000000" w:themeColor="text1"/>
                <w:kern w:val="21"/>
                <w:szCs w:val="21"/>
                <w14:textFill>
                  <w14:solidFill>
                    <w14:schemeClr w14:val="tx1"/>
                  </w14:solidFill>
                </w14:textFill>
              </w:rPr>
            </w:pPr>
          </w:p>
        </w:tc>
        <w:tc>
          <w:tcPr>
            <w:tcW w:w="2171" w:type="dxa"/>
            <w:vAlign w:val="center"/>
          </w:tcPr>
          <w:p w14:paraId="6525343F">
            <w:pPr>
              <w:spacing w:line="360" w:lineRule="exact"/>
              <w:jc w:val="center"/>
              <w:rPr>
                <w:color w:val="000000" w:themeColor="text1"/>
                <w:szCs w:val="21"/>
                <w14:textFill>
                  <w14:solidFill>
                    <w14:schemeClr w14:val="tx1"/>
                  </w14:solidFill>
                </w14:textFill>
              </w:rPr>
            </w:pPr>
            <w:r>
              <w:rPr>
                <w:bCs/>
                <w:color w:val="000000" w:themeColor="text1"/>
                <w:szCs w:val="21"/>
                <w14:textFill>
                  <w14:solidFill>
                    <w14:schemeClr w14:val="tx1"/>
                  </w14:solidFill>
                </w14:textFill>
              </w:rPr>
              <w:t>废润滑油桶</w:t>
            </w:r>
            <w:r>
              <w:rPr>
                <w:snapToGrid w:val="0"/>
                <w:color w:val="000000" w:themeColor="text1"/>
                <w:kern w:val="21"/>
                <w:szCs w:val="21"/>
                <w14:textFill>
                  <w14:solidFill>
                    <w14:schemeClr w14:val="tx1"/>
                  </w14:solidFill>
                </w14:textFill>
              </w:rPr>
              <w:t>（t/a）</w:t>
            </w:r>
          </w:p>
        </w:tc>
        <w:tc>
          <w:tcPr>
            <w:tcW w:w="1417" w:type="dxa"/>
            <w:vAlign w:val="center"/>
          </w:tcPr>
          <w:p w14:paraId="67F2B451">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184A376F">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02BA6B4F">
            <w:pPr>
              <w:pStyle w:val="31"/>
              <w:spacing w:line="360" w:lineRule="exact"/>
              <w:rPr>
                <w:snapToGrid w:val="0"/>
                <w:color w:val="000000" w:themeColor="text1"/>
                <w:kern w:val="21"/>
                <w:szCs w:val="21"/>
                <w14:textFill>
                  <w14:solidFill>
                    <w14:schemeClr w14:val="tx1"/>
                  </w14:solidFill>
                </w14:textFill>
              </w:rPr>
            </w:pPr>
          </w:p>
        </w:tc>
        <w:tc>
          <w:tcPr>
            <w:tcW w:w="1559" w:type="dxa"/>
            <w:vAlign w:val="center"/>
          </w:tcPr>
          <w:p w14:paraId="688A0ACE">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w:t>
            </w:r>
            <w:r>
              <w:rPr>
                <w:rFonts w:hint="eastAsia" w:ascii="Times New Roman" w:hAnsi="Times New Roman"/>
                <w:color w:val="000000" w:themeColor="text1"/>
                <w:sz w:val="21"/>
                <w:szCs w:val="21"/>
                <w14:textFill>
                  <w14:solidFill>
                    <w14:schemeClr w14:val="tx1"/>
                  </w14:solidFill>
                </w14:textFill>
              </w:rPr>
              <w:t>1</w:t>
            </w:r>
          </w:p>
        </w:tc>
        <w:tc>
          <w:tcPr>
            <w:tcW w:w="1559" w:type="dxa"/>
            <w:vAlign w:val="center"/>
          </w:tcPr>
          <w:p w14:paraId="1A841E72">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0D24E847">
            <w:pPr>
              <w:pStyle w:val="51"/>
              <w:snapToGrid w:val="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0.</w:t>
            </w:r>
            <w:r>
              <w:rPr>
                <w:rFonts w:hint="eastAsia" w:ascii="Times New Roman" w:hAnsi="Times New Roman"/>
                <w:color w:val="000000" w:themeColor="text1"/>
                <w:sz w:val="21"/>
                <w:szCs w:val="21"/>
                <w14:textFill>
                  <w14:solidFill>
                    <w14:schemeClr w14:val="tx1"/>
                  </w14:solidFill>
                </w14:textFill>
              </w:rPr>
              <w:t>1</w:t>
            </w:r>
          </w:p>
        </w:tc>
        <w:tc>
          <w:tcPr>
            <w:tcW w:w="1276" w:type="dxa"/>
            <w:vAlign w:val="center"/>
          </w:tcPr>
          <w:p w14:paraId="46B7A33E">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0.</w:t>
            </w:r>
            <w:r>
              <w:rPr>
                <w:rFonts w:hint="eastAsia" w:ascii="Times New Roman" w:hAnsi="Times New Roman"/>
                <w:color w:val="000000" w:themeColor="text1"/>
                <w:sz w:val="21"/>
                <w:szCs w:val="21"/>
                <w14:textFill>
                  <w14:solidFill>
                    <w14:schemeClr w14:val="tx1"/>
                  </w14:solidFill>
                </w14:textFill>
              </w:rPr>
              <w:t>1</w:t>
            </w:r>
          </w:p>
        </w:tc>
      </w:tr>
      <w:tr w14:paraId="55A901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7B8A838E">
            <w:pPr>
              <w:pStyle w:val="31"/>
              <w:spacing w:line="360" w:lineRule="exact"/>
              <w:rPr>
                <w:snapToGrid w:val="0"/>
                <w:color w:val="000000" w:themeColor="text1"/>
                <w:kern w:val="21"/>
                <w:szCs w:val="21"/>
                <w14:textFill>
                  <w14:solidFill>
                    <w14:schemeClr w14:val="tx1"/>
                  </w14:solidFill>
                </w14:textFill>
              </w:rPr>
            </w:pPr>
          </w:p>
        </w:tc>
        <w:tc>
          <w:tcPr>
            <w:tcW w:w="2171" w:type="dxa"/>
            <w:vAlign w:val="center"/>
          </w:tcPr>
          <w:p w14:paraId="124B84C5">
            <w:pPr>
              <w:spacing w:line="360" w:lineRule="exact"/>
              <w:jc w:val="center"/>
              <w:rPr>
                <w:bCs/>
                <w:color w:val="000000" w:themeColor="text1"/>
                <w:szCs w:val="21"/>
                <w14:textFill>
                  <w14:solidFill>
                    <w14:schemeClr w14:val="tx1"/>
                  </w14:solidFill>
                </w14:textFill>
              </w:rPr>
            </w:pPr>
            <w:r>
              <w:rPr>
                <w:bCs/>
                <w:color w:val="000000" w:themeColor="text1"/>
                <w:kern w:val="0"/>
                <w:szCs w:val="21"/>
                <w14:textFill>
                  <w14:solidFill>
                    <w14:schemeClr w14:val="tx1"/>
                  </w14:solidFill>
                </w14:textFill>
              </w:rPr>
              <w:t>废活性炭</w:t>
            </w:r>
            <w:r>
              <w:rPr>
                <w:snapToGrid w:val="0"/>
                <w:color w:val="000000" w:themeColor="text1"/>
                <w:kern w:val="21"/>
                <w:szCs w:val="21"/>
                <w14:textFill>
                  <w14:solidFill>
                    <w14:schemeClr w14:val="tx1"/>
                  </w14:solidFill>
                </w14:textFill>
              </w:rPr>
              <w:t>（t/a）</w:t>
            </w:r>
          </w:p>
        </w:tc>
        <w:tc>
          <w:tcPr>
            <w:tcW w:w="1417" w:type="dxa"/>
            <w:vAlign w:val="center"/>
          </w:tcPr>
          <w:p w14:paraId="253F552F">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0F475BCE">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79B0C40C">
            <w:pPr>
              <w:pStyle w:val="31"/>
              <w:spacing w:line="360" w:lineRule="exact"/>
              <w:rPr>
                <w:snapToGrid w:val="0"/>
                <w:color w:val="000000" w:themeColor="text1"/>
                <w:kern w:val="21"/>
                <w:szCs w:val="21"/>
                <w14:textFill>
                  <w14:solidFill>
                    <w14:schemeClr w14:val="tx1"/>
                  </w14:solidFill>
                </w14:textFill>
              </w:rPr>
            </w:pPr>
          </w:p>
        </w:tc>
        <w:tc>
          <w:tcPr>
            <w:tcW w:w="1559" w:type="dxa"/>
            <w:vAlign w:val="center"/>
          </w:tcPr>
          <w:p w14:paraId="58F5945D">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0.19378</w:t>
            </w:r>
          </w:p>
        </w:tc>
        <w:tc>
          <w:tcPr>
            <w:tcW w:w="1559" w:type="dxa"/>
            <w:vAlign w:val="center"/>
          </w:tcPr>
          <w:p w14:paraId="27BB3E34">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282C5573">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0.19378</w:t>
            </w:r>
          </w:p>
        </w:tc>
        <w:tc>
          <w:tcPr>
            <w:tcW w:w="1276" w:type="dxa"/>
            <w:vAlign w:val="center"/>
          </w:tcPr>
          <w:p w14:paraId="4F641F4B">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+0.19378</w:t>
            </w:r>
          </w:p>
        </w:tc>
      </w:tr>
      <w:tr w14:paraId="74CB35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 w:hRule="atLeast"/>
          <w:jc w:val="center"/>
        </w:trPr>
        <w:tc>
          <w:tcPr>
            <w:tcW w:w="1118" w:type="dxa"/>
            <w:vMerge w:val="continue"/>
            <w:vAlign w:val="center"/>
          </w:tcPr>
          <w:p w14:paraId="5D91E052">
            <w:pPr>
              <w:pStyle w:val="31"/>
              <w:spacing w:line="360" w:lineRule="exact"/>
              <w:rPr>
                <w:snapToGrid w:val="0"/>
                <w:color w:val="000000" w:themeColor="text1"/>
                <w:kern w:val="21"/>
                <w:szCs w:val="21"/>
                <w14:textFill>
                  <w14:solidFill>
                    <w14:schemeClr w14:val="tx1"/>
                  </w14:solidFill>
                </w14:textFill>
              </w:rPr>
            </w:pPr>
          </w:p>
        </w:tc>
        <w:tc>
          <w:tcPr>
            <w:tcW w:w="2171" w:type="dxa"/>
            <w:vAlign w:val="center"/>
          </w:tcPr>
          <w:p w14:paraId="1408CBF8">
            <w:pPr>
              <w:spacing w:line="360" w:lineRule="exact"/>
              <w:jc w:val="center"/>
              <w:rPr>
                <w:bCs/>
                <w:color w:val="000000" w:themeColor="text1"/>
                <w:kern w:val="0"/>
                <w:szCs w:val="21"/>
                <w14:textFill>
                  <w14:solidFill>
                    <w14:schemeClr w14:val="tx1"/>
                  </w14:solidFill>
                </w14:textFill>
              </w:rPr>
            </w:pPr>
            <w:r>
              <w:rPr>
                <w:rFonts w:hint="eastAsia"/>
                <w:bCs/>
                <w:color w:val="000000" w:themeColor="text1"/>
                <w:kern w:val="0"/>
                <w:szCs w:val="21"/>
                <w14:textFill>
                  <w14:solidFill>
                    <w14:schemeClr w14:val="tx1"/>
                  </w14:solidFill>
                </w14:textFill>
              </w:rPr>
              <w:t>原料</w:t>
            </w:r>
            <w:r>
              <w:rPr>
                <w:bCs/>
                <w:color w:val="000000" w:themeColor="text1"/>
                <w:kern w:val="0"/>
                <w:szCs w:val="21"/>
                <w14:textFill>
                  <w14:solidFill>
                    <w14:schemeClr w14:val="tx1"/>
                  </w14:solidFill>
                </w14:textFill>
              </w:rPr>
              <w:t>（氢氧化钠、硝酸）</w:t>
            </w:r>
            <w:r>
              <w:rPr>
                <w:rFonts w:hint="eastAsia"/>
                <w:bCs/>
                <w:color w:val="000000" w:themeColor="text1"/>
                <w:kern w:val="0"/>
                <w:szCs w:val="21"/>
                <w14:textFill>
                  <w14:solidFill>
                    <w14:schemeClr w14:val="tx1"/>
                  </w14:solidFill>
                </w14:textFill>
              </w:rPr>
              <w:t>使用过程产生的废包装材料（t/a）</w:t>
            </w:r>
          </w:p>
        </w:tc>
        <w:tc>
          <w:tcPr>
            <w:tcW w:w="1417" w:type="dxa"/>
            <w:vAlign w:val="center"/>
          </w:tcPr>
          <w:p w14:paraId="5C46FB1F">
            <w:pPr>
              <w:pStyle w:val="31"/>
              <w:spacing w:line="360" w:lineRule="exact"/>
              <w:rPr>
                <w:snapToGrid w:val="0"/>
                <w:color w:val="000000" w:themeColor="text1"/>
                <w:kern w:val="21"/>
                <w:szCs w:val="21"/>
                <w14:textFill>
                  <w14:solidFill>
                    <w14:schemeClr w14:val="tx1"/>
                  </w14:solidFill>
                </w14:textFill>
              </w:rPr>
            </w:pPr>
          </w:p>
        </w:tc>
        <w:tc>
          <w:tcPr>
            <w:tcW w:w="1276" w:type="dxa"/>
            <w:vAlign w:val="center"/>
          </w:tcPr>
          <w:p w14:paraId="6F6CB022">
            <w:pPr>
              <w:pStyle w:val="31"/>
              <w:spacing w:line="360" w:lineRule="exact"/>
              <w:rPr>
                <w:snapToGrid w:val="0"/>
                <w:color w:val="000000" w:themeColor="text1"/>
                <w:kern w:val="21"/>
                <w:szCs w:val="21"/>
                <w14:textFill>
                  <w14:solidFill>
                    <w14:schemeClr w14:val="tx1"/>
                  </w14:solidFill>
                </w14:textFill>
              </w:rPr>
            </w:pPr>
          </w:p>
        </w:tc>
        <w:tc>
          <w:tcPr>
            <w:tcW w:w="1701" w:type="dxa"/>
            <w:vAlign w:val="center"/>
          </w:tcPr>
          <w:p w14:paraId="6245EDBD">
            <w:pPr>
              <w:pStyle w:val="31"/>
              <w:spacing w:line="360" w:lineRule="exact"/>
              <w:rPr>
                <w:snapToGrid w:val="0"/>
                <w:color w:val="000000" w:themeColor="text1"/>
                <w:kern w:val="21"/>
                <w:szCs w:val="21"/>
                <w14:textFill>
                  <w14:solidFill>
                    <w14:schemeClr w14:val="tx1"/>
                  </w14:solidFill>
                </w14:textFill>
              </w:rPr>
            </w:pPr>
          </w:p>
        </w:tc>
        <w:tc>
          <w:tcPr>
            <w:tcW w:w="1559" w:type="dxa"/>
            <w:vAlign w:val="center"/>
          </w:tcPr>
          <w:p w14:paraId="3FC1EF97">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0.05</w:t>
            </w:r>
          </w:p>
        </w:tc>
        <w:tc>
          <w:tcPr>
            <w:tcW w:w="1559" w:type="dxa"/>
            <w:vAlign w:val="center"/>
          </w:tcPr>
          <w:p w14:paraId="141DB358">
            <w:pPr>
              <w:pStyle w:val="31"/>
              <w:spacing w:line="360" w:lineRule="exact"/>
              <w:rPr>
                <w:snapToGrid w:val="0"/>
                <w:color w:val="000000" w:themeColor="text1"/>
                <w:kern w:val="21"/>
                <w:szCs w:val="21"/>
                <w14:textFill>
                  <w14:solidFill>
                    <w14:schemeClr w14:val="tx1"/>
                  </w14:solidFill>
                </w14:textFill>
              </w:rPr>
            </w:pPr>
          </w:p>
        </w:tc>
        <w:tc>
          <w:tcPr>
            <w:tcW w:w="1701" w:type="dxa"/>
            <w:shd w:val="clear" w:color="auto" w:fill="auto"/>
            <w:vAlign w:val="center"/>
          </w:tcPr>
          <w:p w14:paraId="257DB57C">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0.05</w:t>
            </w:r>
          </w:p>
        </w:tc>
        <w:tc>
          <w:tcPr>
            <w:tcW w:w="1276" w:type="dxa"/>
            <w:vAlign w:val="center"/>
          </w:tcPr>
          <w:p w14:paraId="03805017">
            <w:pPr>
              <w:pStyle w:val="51"/>
              <w:snapToGrid w:val="0"/>
              <w:rPr>
                <w:rFonts w:ascii="Times New Roman" w:hAnsi="Times New Roman"/>
                <w:color w:val="000000" w:themeColor="text1"/>
                <w:sz w:val="21"/>
                <w:szCs w:val="21"/>
                <w14:textFill>
                  <w14:solidFill>
                    <w14:schemeClr w14:val="tx1"/>
                  </w14:solidFill>
                </w14:textFill>
              </w:rPr>
            </w:pPr>
            <w:r>
              <w:rPr>
                <w:rFonts w:hint="eastAsia" w:ascii="Times New Roman" w:hAnsi="Times New Roman"/>
                <w:color w:val="000000" w:themeColor="text1"/>
                <w:sz w:val="21"/>
                <w:szCs w:val="21"/>
                <w14:textFill>
                  <w14:solidFill>
                    <w14:schemeClr w14:val="tx1"/>
                  </w14:solidFill>
                </w14:textFill>
              </w:rPr>
              <w:t>+0.05</w:t>
            </w:r>
          </w:p>
        </w:tc>
      </w:tr>
    </w:tbl>
    <w:p w14:paraId="5D071FD2">
      <w:pPr>
        <w:pStyle w:val="31"/>
        <w:spacing w:before="249" w:beforeLines="80" w:after="31"/>
        <w:jc w:val="left"/>
        <w:rPr>
          <w:snapToGrid w:val="0"/>
          <w:color w:val="000000" w:themeColor="text1"/>
          <w:spacing w:val="-6"/>
          <w:kern w:val="21"/>
          <w:szCs w:val="2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r>
        <w:rPr>
          <w:snapToGrid w:val="0"/>
          <w:color w:val="000000" w:themeColor="text1"/>
          <w:kern w:val="21"/>
          <w:szCs w:val="21"/>
          <w14:textFill>
            <w14:solidFill>
              <w14:schemeClr w14:val="tx1"/>
            </w14:solidFill>
          </w14:textFill>
        </w:rPr>
        <w:t>注：</w:t>
      </w:r>
      <w:r>
        <w:rPr>
          <w:snapToGrid w:val="0"/>
          <w:color w:val="000000" w:themeColor="text1"/>
          <w:spacing w:val="-16"/>
          <w:kern w:val="21"/>
          <w:szCs w:val="21"/>
          <w14:textFill>
            <w14:solidFill>
              <w14:schemeClr w14:val="tx1"/>
            </w14:solidFill>
          </w14:textFill>
        </w:rPr>
        <w:fldChar w:fldCharType="begin"/>
      </w:r>
      <w:r>
        <w:rPr>
          <w:snapToGrid w:val="0"/>
          <w:color w:val="000000" w:themeColor="text1"/>
          <w:spacing w:val="-16"/>
          <w:kern w:val="21"/>
          <w:szCs w:val="21"/>
          <w14:textFill>
            <w14:solidFill>
              <w14:schemeClr w14:val="tx1"/>
            </w14:solidFill>
          </w14:textFill>
        </w:rPr>
        <w:instrText xml:space="preserve"> = 6 \* GB3 \* MERGEFORMAT </w:instrText>
      </w:r>
      <w:r>
        <w:rPr>
          <w:snapToGrid w:val="0"/>
          <w:color w:val="000000" w:themeColor="text1"/>
          <w:spacing w:val="-1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⑥</w:t>
      </w:r>
      <w:r>
        <w:rPr>
          <w:snapToGrid w:val="0"/>
          <w:color w:val="000000" w:themeColor="text1"/>
          <w:spacing w:val="-16"/>
          <w:kern w:val="21"/>
          <w:szCs w:val="21"/>
          <w14:textFill>
            <w14:solidFill>
              <w14:schemeClr w14:val="tx1"/>
            </w14:solidFill>
          </w14:textFill>
        </w:rPr>
        <w:fldChar w:fldCharType="end"/>
      </w:r>
      <w:r>
        <w:rPr>
          <w:snapToGrid w:val="0"/>
          <w:color w:val="000000" w:themeColor="text1"/>
          <w:spacing w:val="-16"/>
          <w:kern w:val="21"/>
          <w:szCs w:val="21"/>
          <w14:textFill>
            <w14:solidFill>
              <w14:schemeClr w14:val="tx1"/>
            </w14:solidFill>
          </w14:textFill>
        </w:rPr>
        <w:t>=</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1 \* GB3 \* MERGEFORMAT </w:instrText>
      </w:r>
      <w:r>
        <w:rPr>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①</w:t>
      </w:r>
      <w:r>
        <w:rPr>
          <w:snapToGrid w:val="0"/>
          <w:color w:val="000000" w:themeColor="text1"/>
          <w:spacing w:val="-6"/>
          <w:kern w:val="21"/>
          <w:szCs w:val="21"/>
          <w14:textFill>
            <w14:solidFill>
              <w14:schemeClr w14:val="tx1"/>
            </w14:solidFill>
          </w14:textFill>
        </w:rPr>
        <w:fldChar w:fldCharType="end"/>
      </w:r>
      <w:r>
        <w:rPr>
          <w:snapToGrid w:val="0"/>
          <w:color w:val="000000" w:themeColor="text1"/>
          <w:spacing w:val="-6"/>
          <w:kern w:val="21"/>
          <w:szCs w:val="21"/>
          <w14:textFill>
            <w14:solidFill>
              <w14:schemeClr w14:val="tx1"/>
            </w14:solidFill>
          </w14:textFill>
        </w:rPr>
        <w:t>+</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3 \* GB3 \* MERGEFORMAT </w:instrText>
      </w:r>
      <w:r>
        <w:rPr>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③</w:t>
      </w:r>
      <w:r>
        <w:rPr>
          <w:snapToGrid w:val="0"/>
          <w:color w:val="000000" w:themeColor="text1"/>
          <w:spacing w:val="-6"/>
          <w:kern w:val="21"/>
          <w:szCs w:val="21"/>
          <w14:textFill>
            <w14:solidFill>
              <w14:schemeClr w14:val="tx1"/>
            </w14:solidFill>
          </w14:textFill>
        </w:rPr>
        <w:fldChar w:fldCharType="end"/>
      </w:r>
      <w:r>
        <w:rPr>
          <w:snapToGrid w:val="0"/>
          <w:color w:val="000000" w:themeColor="text1"/>
          <w:spacing w:val="-6"/>
          <w:kern w:val="21"/>
          <w:szCs w:val="21"/>
          <w14:textFill>
            <w14:solidFill>
              <w14:schemeClr w14:val="tx1"/>
            </w14:solidFill>
          </w14:textFill>
        </w:rPr>
        <w:t>+</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4 \* GB3 \* MERGEFORMAT </w:instrText>
      </w:r>
      <w:r>
        <w:rPr>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④</w:t>
      </w:r>
      <w:r>
        <w:rPr>
          <w:snapToGrid w:val="0"/>
          <w:color w:val="000000" w:themeColor="text1"/>
          <w:spacing w:val="-6"/>
          <w:kern w:val="21"/>
          <w:szCs w:val="21"/>
          <w14:textFill>
            <w14:solidFill>
              <w14:schemeClr w14:val="tx1"/>
            </w14:solidFill>
          </w14:textFill>
        </w:rPr>
        <w:fldChar w:fldCharType="end"/>
      </w:r>
      <w:r>
        <w:rPr>
          <w:snapToGrid w:val="0"/>
          <w:color w:val="000000" w:themeColor="text1"/>
          <w:spacing w:val="-6"/>
          <w:kern w:val="21"/>
          <w:szCs w:val="21"/>
          <w14:textFill>
            <w14:solidFill>
              <w14:schemeClr w14:val="tx1"/>
            </w14:solidFill>
          </w14:textFill>
        </w:rPr>
        <w:t>-</w:t>
      </w:r>
      <w:r>
        <w:rPr>
          <w:snapToGrid w:val="0"/>
          <w:color w:val="000000" w:themeColor="text1"/>
          <w:spacing w:val="-16"/>
          <w:kern w:val="21"/>
          <w:szCs w:val="21"/>
          <w14:textFill>
            <w14:solidFill>
              <w14:schemeClr w14:val="tx1"/>
            </w14:solidFill>
          </w14:textFill>
        </w:rPr>
        <w:fldChar w:fldCharType="begin"/>
      </w:r>
      <w:r>
        <w:rPr>
          <w:snapToGrid w:val="0"/>
          <w:color w:val="000000" w:themeColor="text1"/>
          <w:spacing w:val="-16"/>
          <w:kern w:val="21"/>
          <w:szCs w:val="21"/>
          <w14:textFill>
            <w14:solidFill>
              <w14:schemeClr w14:val="tx1"/>
            </w14:solidFill>
          </w14:textFill>
        </w:rPr>
        <w:instrText xml:space="preserve"> = 5 \* GB3 \* MERGEFORMAT </w:instrText>
      </w:r>
      <w:r>
        <w:rPr>
          <w:snapToGrid w:val="0"/>
          <w:color w:val="000000" w:themeColor="text1"/>
          <w:spacing w:val="-1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⑤</w:t>
      </w:r>
      <w:r>
        <w:rPr>
          <w:snapToGrid w:val="0"/>
          <w:color w:val="000000" w:themeColor="text1"/>
          <w:spacing w:val="-16"/>
          <w:kern w:val="21"/>
          <w:szCs w:val="21"/>
          <w14:textFill>
            <w14:solidFill>
              <w14:schemeClr w14:val="tx1"/>
            </w14:solidFill>
          </w14:textFill>
        </w:rPr>
        <w:fldChar w:fldCharType="end"/>
      </w:r>
      <w:r>
        <w:rPr>
          <w:snapToGrid w:val="0"/>
          <w:color w:val="000000" w:themeColor="text1"/>
          <w:spacing w:val="-16"/>
          <w:kern w:val="21"/>
          <w:szCs w:val="21"/>
          <w14:textFill>
            <w14:solidFill>
              <w14:schemeClr w14:val="tx1"/>
            </w14:solidFill>
          </w14:textFill>
        </w:rPr>
        <w:t>；</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7 \* GB3 \* MERGEFORMAT </w:instrText>
      </w:r>
      <w:r>
        <w:rPr>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⑦</w:t>
      </w:r>
      <w:r>
        <w:rPr>
          <w:snapToGrid w:val="0"/>
          <w:color w:val="000000" w:themeColor="text1"/>
          <w:spacing w:val="-6"/>
          <w:kern w:val="21"/>
          <w:szCs w:val="21"/>
          <w14:textFill>
            <w14:solidFill>
              <w14:schemeClr w14:val="tx1"/>
            </w14:solidFill>
          </w14:textFill>
        </w:rPr>
        <w:fldChar w:fldCharType="end"/>
      </w:r>
      <w:r>
        <w:rPr>
          <w:snapToGrid w:val="0"/>
          <w:color w:val="000000" w:themeColor="text1"/>
          <w:spacing w:val="-6"/>
          <w:kern w:val="21"/>
          <w:szCs w:val="21"/>
          <w14:textFill>
            <w14:solidFill>
              <w14:schemeClr w14:val="tx1"/>
            </w14:solidFill>
          </w14:textFill>
        </w:rPr>
        <w:t>=</w:t>
      </w:r>
      <w:r>
        <w:rPr>
          <w:snapToGrid w:val="0"/>
          <w:color w:val="000000" w:themeColor="text1"/>
          <w:spacing w:val="-16"/>
          <w:kern w:val="21"/>
          <w:szCs w:val="21"/>
          <w14:textFill>
            <w14:solidFill>
              <w14:schemeClr w14:val="tx1"/>
            </w14:solidFill>
          </w14:textFill>
        </w:rPr>
        <w:fldChar w:fldCharType="begin"/>
      </w:r>
      <w:r>
        <w:rPr>
          <w:snapToGrid w:val="0"/>
          <w:color w:val="000000" w:themeColor="text1"/>
          <w:spacing w:val="-16"/>
          <w:kern w:val="21"/>
          <w:szCs w:val="21"/>
          <w14:textFill>
            <w14:solidFill>
              <w14:schemeClr w14:val="tx1"/>
            </w14:solidFill>
          </w14:textFill>
        </w:rPr>
        <w:instrText xml:space="preserve"> = 6 \* GB3 \* MERGEFORMAT </w:instrText>
      </w:r>
      <w:r>
        <w:rPr>
          <w:snapToGrid w:val="0"/>
          <w:color w:val="000000" w:themeColor="text1"/>
          <w:spacing w:val="-1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⑥</w:t>
      </w:r>
      <w:r>
        <w:rPr>
          <w:snapToGrid w:val="0"/>
          <w:color w:val="000000" w:themeColor="text1"/>
          <w:spacing w:val="-16"/>
          <w:kern w:val="21"/>
          <w:szCs w:val="21"/>
          <w14:textFill>
            <w14:solidFill>
              <w14:schemeClr w14:val="tx1"/>
            </w14:solidFill>
          </w14:textFill>
        </w:rPr>
        <w:fldChar w:fldCharType="end"/>
      </w:r>
      <w:r>
        <w:rPr>
          <w:snapToGrid w:val="0"/>
          <w:color w:val="000000" w:themeColor="text1"/>
          <w:spacing w:val="-16"/>
          <w:kern w:val="21"/>
          <w:szCs w:val="21"/>
          <w14:textFill>
            <w14:solidFill>
              <w14:schemeClr w14:val="tx1"/>
            </w14:solidFill>
          </w14:textFill>
        </w:rPr>
        <w:t>-</w:t>
      </w:r>
      <w:r>
        <w:rPr>
          <w:snapToGrid w:val="0"/>
          <w:color w:val="000000" w:themeColor="text1"/>
          <w:spacing w:val="-6"/>
          <w:kern w:val="21"/>
          <w:szCs w:val="21"/>
          <w14:textFill>
            <w14:solidFill>
              <w14:schemeClr w14:val="tx1"/>
            </w14:solidFill>
          </w14:textFill>
        </w:rPr>
        <w:fldChar w:fldCharType="begin"/>
      </w:r>
      <w:r>
        <w:rPr>
          <w:snapToGrid w:val="0"/>
          <w:color w:val="000000" w:themeColor="text1"/>
          <w:spacing w:val="-6"/>
          <w:kern w:val="21"/>
          <w:szCs w:val="21"/>
          <w14:textFill>
            <w14:solidFill>
              <w14:schemeClr w14:val="tx1"/>
            </w14:solidFill>
          </w14:textFill>
        </w:rPr>
        <w:instrText xml:space="preserve"> = 1 \* GB3 \* MERGEFORMAT </w:instrText>
      </w:r>
      <w:r>
        <w:rPr>
          <w:snapToGrid w:val="0"/>
          <w:color w:val="000000" w:themeColor="text1"/>
          <w:spacing w:val="-6"/>
          <w:kern w:val="21"/>
          <w:szCs w:val="21"/>
          <w14:textFill>
            <w14:solidFill>
              <w14:schemeClr w14:val="tx1"/>
            </w14:solidFill>
          </w14:textFill>
        </w:rPr>
        <w:fldChar w:fldCharType="separate"/>
      </w:r>
      <w:r>
        <w:rPr>
          <w:rFonts w:hint="eastAsia" w:hAnsi="宋体" w:cs="宋体"/>
          <w:color w:val="000000" w:themeColor="text1"/>
          <w:szCs w:val="21"/>
          <w14:textFill>
            <w14:solidFill>
              <w14:schemeClr w14:val="tx1"/>
            </w14:solidFill>
          </w14:textFill>
        </w:rPr>
        <w:t>①</w:t>
      </w:r>
      <w:r>
        <w:rPr>
          <w:snapToGrid w:val="0"/>
          <w:color w:val="000000" w:themeColor="text1"/>
          <w:spacing w:val="-6"/>
          <w:kern w:val="21"/>
          <w:szCs w:val="21"/>
          <w14:textFill>
            <w14:solidFill>
              <w14:schemeClr w14:val="tx1"/>
            </w14:solidFill>
          </w14:textFill>
        </w:rPr>
        <w:fldChar w:fldCharType="end"/>
      </w:r>
    </w:p>
    <w:tbl>
      <w:tblPr>
        <w:tblStyle w:val="25"/>
        <w:tblW w:w="5000" w:type="pct"/>
        <w:tblInd w:w="0" w:type="dxa"/>
        <w:tblLayout w:type="autofit"/>
        <w:tblCellMar>
          <w:top w:w="0" w:type="dxa"/>
          <w:left w:w="108" w:type="dxa"/>
          <w:bottom w:w="0" w:type="dxa"/>
          <w:right w:w="108" w:type="dxa"/>
        </w:tblCellMar>
      </w:tblPr>
      <w:tblGrid>
        <w:gridCol w:w="9956"/>
      </w:tblGrid>
      <w:tr w14:paraId="3A6F3EF4">
        <w:tblPrEx>
          <w:tblCellMar>
            <w:top w:w="0" w:type="dxa"/>
            <w:left w:w="108" w:type="dxa"/>
            <w:bottom w:w="0" w:type="dxa"/>
            <w:right w:w="108" w:type="dxa"/>
          </w:tblCellMar>
        </w:tblPrEx>
        <w:tc>
          <w:tcPr>
            <w:tcW w:w="5000" w:type="pct"/>
          </w:tcPr>
          <w:p w14:paraId="0E5DB0AE">
            <w:pPr>
              <w:rPr>
                <w:color w:val="000000" w:themeColor="text1"/>
                <w:highlight w:val="yellow"/>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0" distR="0" simplePos="0" relativeHeight="251660288" behindDoc="0" locked="0" layoutInCell="1" allowOverlap="1">
                      <wp:simplePos x="0" y="0"/>
                      <wp:positionH relativeFrom="column">
                        <wp:posOffset>2238375</wp:posOffset>
                      </wp:positionH>
                      <wp:positionV relativeFrom="paragraph">
                        <wp:posOffset>4213860</wp:posOffset>
                      </wp:positionV>
                      <wp:extent cx="914400" cy="375920"/>
                      <wp:effectExtent l="6350" t="6350" r="203200" b="93980"/>
                      <wp:wrapNone/>
                      <wp:docPr id="1080" name="矩形标注 42"/>
                      <wp:cNvGraphicFramePr/>
                      <a:graphic xmlns:a="http://schemas.openxmlformats.org/drawingml/2006/main">
                        <a:graphicData uri="http://schemas.microsoft.com/office/word/2010/wordprocessingShape">
                          <wps:wsp>
                            <wps:cNvSpPr/>
                            <wps:spPr>
                              <a:xfrm>
                                <a:off x="0" y="0"/>
                                <a:ext cx="914400" cy="375920"/>
                              </a:xfrm>
                              <a:prstGeom prst="wedgeRectCallout">
                                <a:avLst>
                                  <a:gd name="adj1" fmla="val 68125"/>
                                  <a:gd name="adj2" fmla="val 64630"/>
                                </a:avLst>
                              </a:prstGeom>
                              <a:solidFill>
                                <a:srgbClr val="FFFF00"/>
                              </a:solidFill>
                              <a:ln w="12700" cap="flat" cmpd="sng">
                                <a:solidFill>
                                  <a:srgbClr val="000000"/>
                                </a:solidFill>
                                <a:prstDash val="solid"/>
                                <a:miter/>
                                <a:headEnd type="none" w="med" len="med"/>
                                <a:tailEnd type="none" w="med" len="med"/>
                              </a:ln>
                            </wps:spPr>
                            <wps:txbx>
                              <w:txbxContent>
                                <w:p w14:paraId="569CA603">
                                  <w:pPr>
                                    <w:rPr>
                                      <w:b/>
                                      <w:bCs/>
                                      <w:color w:val="000000"/>
                                    </w:rPr>
                                  </w:pPr>
                                  <w:r>
                                    <w:rPr>
                                      <w:rFonts w:hint="eastAsia"/>
                                      <w:b/>
                                      <w:bCs/>
                                      <w:color w:val="000000"/>
                                    </w:rPr>
                                    <w:t>项目位置</w:t>
                                  </w:r>
                                </w:p>
                              </w:txbxContent>
                            </wps:txbx>
                            <wps:bodyPr anchor="ctr" upright="1"/>
                          </wps:wsp>
                        </a:graphicData>
                      </a:graphic>
                    </wp:anchor>
                  </w:drawing>
                </mc:Choice>
                <mc:Fallback>
                  <w:pict>
                    <v:shape id="矩形标注 42" o:spid="_x0000_s1026" o:spt="61" type="#_x0000_t61" style="position:absolute;left:0pt;margin-left:176.25pt;margin-top:331.8pt;height:29.6pt;width:72pt;z-index:251660288;v-text-anchor:middle;mso-width-relative:page;mso-height-relative:page;" fillcolor="#FFFF00" filled="t" stroked="t" coordsize="21600,21600" o:gfxdata="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CDxh4l2wAAAAsBAAAPAAAAAAAAAAEAIAAA&#10;ACIAAABkcnMvZG93bnJldi54bWxQSwECFAAUAAAACACHTuJAOiCYnUICAACdBAAADgAAAAAAAAAB&#10;ACAAAAAqAQAAZHJzL2Uyb0RvYy54bWxQSwUGAAAAAAYABgBZAQAA3gUAAAAA&#10;" adj="25515,24760">
                      <v:fill on="t" focussize="0,0"/>
                      <v:stroke weight="1pt" color="#000000" joinstyle="miter"/>
                      <v:imagedata o:title=""/>
                      <o:lock v:ext="edit" aspectratio="f"/>
                      <v:textbox>
                        <w:txbxContent>
                          <w:p w14:paraId="569CA603">
                            <w:pPr>
                              <w:rPr>
                                <w:b/>
                                <w:bCs/>
                                <w:color w:val="000000"/>
                              </w:rPr>
                            </w:pPr>
                            <w:r>
                              <w:rPr>
                                <w:rFonts w:hint="eastAsia"/>
                                <w:b/>
                                <w:bCs/>
                                <w:color w:val="000000"/>
                              </w:rPr>
                              <w:t>项目位置</w:t>
                            </w:r>
                          </w:p>
                        </w:txbxContent>
                      </v:textbox>
                    </v:shape>
                  </w:pict>
                </mc:Fallback>
              </mc:AlternateContent>
            </w:r>
            <w:r>
              <w:rPr>
                <w:color w:val="000000" w:themeColor="text1"/>
                <w14:textFill>
                  <w14:solidFill>
                    <w14:schemeClr w14:val="tx1"/>
                  </w14:solidFill>
                </w14:textFill>
              </w:rPr>
              <mc:AlternateContent>
                <mc:Choice Requires="wps">
                  <w:drawing>
                    <wp:anchor distT="0" distB="0" distL="0" distR="0" simplePos="0" relativeHeight="251661312" behindDoc="0" locked="0" layoutInCell="1" allowOverlap="1">
                      <wp:simplePos x="0" y="0"/>
                      <wp:positionH relativeFrom="column">
                        <wp:posOffset>505460</wp:posOffset>
                      </wp:positionH>
                      <wp:positionV relativeFrom="paragraph">
                        <wp:posOffset>45085</wp:posOffset>
                      </wp:positionV>
                      <wp:extent cx="400050" cy="466725"/>
                      <wp:effectExtent l="0" t="0" r="0" b="0"/>
                      <wp:wrapNone/>
                      <wp:docPr id="1081" name="矩形 40"/>
                      <wp:cNvGraphicFramePr/>
                      <a:graphic xmlns:a="http://schemas.openxmlformats.org/drawingml/2006/main">
                        <a:graphicData uri="http://schemas.microsoft.com/office/word/2010/wordprocessingShape">
                          <wps:wsp>
                            <wps:cNvSpPr/>
                            <wps:spPr>
                              <a:xfrm>
                                <a:off x="0" y="0"/>
                                <a:ext cx="400050" cy="466725"/>
                              </a:xfrm>
                              <a:prstGeom prst="rect">
                                <a:avLst/>
                              </a:prstGeom>
                              <a:ln>
                                <a:noFill/>
                              </a:ln>
                            </wps:spPr>
                            <wps:txbx>
                              <w:txbxContent>
                                <w:p w14:paraId="480F9759">
                                  <w:pPr>
                                    <w:jc w:val="center"/>
                                    <w:rPr>
                                      <w:b/>
                                      <w:color w:val="000000"/>
                                      <w:sz w:val="44"/>
                                      <w:szCs w:val="44"/>
                                    </w:rPr>
                                  </w:pPr>
                                  <w:r>
                                    <w:rPr>
                                      <w:rFonts w:hint="eastAsia"/>
                                      <w:b/>
                                      <w:color w:val="000000"/>
                                      <w:sz w:val="44"/>
                                      <w:szCs w:val="44"/>
                                    </w:rPr>
                                    <w:t>N</w:t>
                                  </w:r>
                                </w:p>
                              </w:txbxContent>
                            </wps:txbx>
                            <wps:bodyPr vert="horz" wrap="square" lIns="91440" tIns="45720" rIns="91440" bIns="45720" anchor="ctr">
                              <a:noAutofit/>
                            </wps:bodyPr>
                          </wps:wsp>
                        </a:graphicData>
                      </a:graphic>
                    </wp:anchor>
                  </w:drawing>
                </mc:Choice>
                <mc:Fallback>
                  <w:pict>
                    <v:rect id="矩形 40" o:spid="_x0000_s1026" o:spt="1" style="position:absolute;left:0pt;margin-left:39.8pt;margin-top:3.55pt;height:36.75pt;width:31.5pt;z-index:251661312;v-text-anchor:middle;mso-width-relative:page;mso-height-relative:page;" filled="f" stroked="f" coordsize="21600,21600" o:gfxdata="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Nq6onHSAAAABwEAAA8AAAAAAAAAAQAgAAAAIgAA&#10;AGRycy9kb3ducmV2LnhtbFBLAQIUABQAAAAIAIdO4kCGgkyW1QEAAKIDAAAOAAAAAAAAAAEAIAAA&#10;ACEBAABkcnMvZTJvRG9jLnhtbFBLBQYAAAAABgAGAFkBAABoBQAAAAA=&#10;">
                      <v:fill on="f" focussize="0,0"/>
                      <v:stroke on="f"/>
                      <v:imagedata o:title=""/>
                      <o:lock v:ext="edit" aspectratio="f"/>
                      <v:textbox>
                        <w:txbxContent>
                          <w:p w14:paraId="480F9759">
                            <w:pPr>
                              <w:jc w:val="center"/>
                              <w:rPr>
                                <w:b/>
                                <w:color w:val="000000"/>
                                <w:sz w:val="44"/>
                                <w:szCs w:val="44"/>
                              </w:rPr>
                            </w:pPr>
                            <w:r>
                              <w:rPr>
                                <w:rFonts w:hint="eastAsia"/>
                                <w:b/>
                                <w:color w:val="000000"/>
                                <w:sz w:val="44"/>
                                <w:szCs w:val="44"/>
                              </w:rPr>
                              <w:t>N</w:t>
                            </w:r>
                          </w:p>
                        </w:txbxContent>
                      </v:textbox>
                    </v:rect>
                  </w:pict>
                </mc:Fallback>
              </mc:AlternateContent>
            </w:r>
            <w:r>
              <w:rPr>
                <w:color w:val="000000" w:themeColor="text1"/>
                <w14:textFill>
                  <w14:solidFill>
                    <w14:schemeClr w14:val="tx1"/>
                  </w14:solidFill>
                </w14:textFill>
              </w:rPr>
              <mc:AlternateContent>
                <mc:Choice Requires="wps">
                  <w:drawing>
                    <wp:anchor distT="0" distB="0" distL="0" distR="0" simplePos="0" relativeHeight="251662336" behindDoc="0" locked="0" layoutInCell="1" allowOverlap="1">
                      <wp:simplePos x="0" y="0"/>
                      <wp:positionH relativeFrom="column">
                        <wp:posOffset>525780</wp:posOffset>
                      </wp:positionH>
                      <wp:positionV relativeFrom="paragraph">
                        <wp:posOffset>116840</wp:posOffset>
                      </wp:positionV>
                      <wp:extent cx="0" cy="542925"/>
                      <wp:effectExtent l="85725" t="0" r="85725" b="9525"/>
                      <wp:wrapNone/>
                      <wp:docPr id="1082" name="直接箭头连接符 44"/>
                      <wp:cNvGraphicFramePr/>
                      <a:graphic xmlns:a="http://schemas.openxmlformats.org/drawingml/2006/main">
                        <a:graphicData uri="http://schemas.microsoft.com/office/word/2010/wordprocessingShape">
                          <wps:wsp>
                            <wps:cNvCnPr/>
                            <wps:spPr>
                              <a:xfrm flipV="1">
                                <a:off x="0" y="0"/>
                                <a:ext cx="0" cy="542925"/>
                              </a:xfrm>
                              <a:prstGeom prst="straightConnector1">
                                <a:avLst/>
                              </a:prstGeom>
                              <a:ln w="57150" cap="flat" cmpd="sng">
                                <a:solidFill>
                                  <a:srgbClr val="000000"/>
                                </a:solidFill>
                                <a:prstDash val="solid"/>
                                <a:miter/>
                                <a:headEnd type="none" w="med" len="med"/>
                                <a:tailEnd type="triangle" w="med" len="med"/>
                              </a:ln>
                            </wps:spPr>
                            <wps:bodyPr/>
                          </wps:wsp>
                        </a:graphicData>
                      </a:graphic>
                    </wp:anchor>
                  </w:drawing>
                </mc:Choice>
                <mc:Fallback>
                  <w:pict>
                    <v:shape id="直接箭头连接符 44" o:spid="_x0000_s1026" o:spt="32" type="#_x0000_t32" style="position:absolute;left:0pt;flip:y;margin-left:41.4pt;margin-top:9.2pt;height:42.75pt;width:0pt;z-index:251662336;mso-width-relative:page;mso-height-relative:page;" filled="f" stroked="t" coordsize="21600,21600" o:gfxdata="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vuy6K0wAAAAgBAAAPAAAAAAAAAAEAIAAA&#10;ACIAAABkcnMvZG93bnJldi54bWxQSwECFAAUAAAACACHTuJA0J2c7RECAAAIBAAADgAAAAAAAAAB&#10;ACAAAAAiAQAAZHJzL2Uyb0RvYy54bWxQSwUGAAAAAAYABgBZAQAApQUAAAAA&#10;">
                      <v:fill on="f" focussize="0,0"/>
                      <v:stroke weight="4.5pt" color="#000000" joinstyle="miter" endarrow="block"/>
                      <v:imagedata o:title=""/>
                      <o:lock v:ext="edit" aspectratio="f"/>
                    </v:shape>
                  </w:pict>
                </mc:Fallback>
              </mc:AlternateContent>
            </w:r>
            <w:r>
              <w:rPr>
                <w:rFonts w:ascii="宋体" w:hAnsi="宋体" w:cs="宋体"/>
                <w:color w:val="000000" w:themeColor="text1"/>
                <w:sz w:val="24"/>
                <w14:textFill>
                  <w14:solidFill>
                    <w14:schemeClr w14:val="tx1"/>
                  </w14:solidFill>
                </w14:textFill>
              </w:rPr>
              <w:drawing>
                <wp:inline distT="0" distB="0" distL="0" distR="0">
                  <wp:extent cx="5776595" cy="8440420"/>
                  <wp:effectExtent l="0" t="0" r="14605" b="17780"/>
                  <wp:docPr id="1083" name="图片 10" descr="IMG_256"/>
                  <wp:cNvGraphicFramePr/>
                  <a:graphic xmlns:a="http://schemas.openxmlformats.org/drawingml/2006/main">
                    <a:graphicData uri="http://schemas.openxmlformats.org/drawingml/2006/picture">
                      <pic:pic xmlns:pic="http://schemas.openxmlformats.org/drawingml/2006/picture">
                        <pic:nvPicPr>
                          <pic:cNvPr id="1083" name="图片 10" descr="IMG_256"/>
                          <pic:cNvPicPr/>
                        </pic:nvPicPr>
                        <pic:blipFill>
                          <a:blip r:embed="rId67" cstate="print"/>
                          <a:srcRect/>
                          <a:stretch>
                            <a:fillRect/>
                          </a:stretch>
                        </pic:blipFill>
                        <pic:spPr>
                          <a:xfrm>
                            <a:off x="0" y="0"/>
                            <a:ext cx="5776595" cy="8440420"/>
                          </a:xfrm>
                          <a:prstGeom prst="rect">
                            <a:avLst/>
                          </a:prstGeom>
                          <a:ln>
                            <a:noFill/>
                          </a:ln>
                        </pic:spPr>
                      </pic:pic>
                    </a:graphicData>
                  </a:graphic>
                </wp:inline>
              </w:drawing>
            </w:r>
            <w:r>
              <w:rPr>
                <w:color w:val="000000" w:themeColor="text1"/>
                <w:highlight w:val="yellow"/>
                <w14:textFill>
                  <w14:solidFill>
                    <w14:schemeClr w14:val="tx1"/>
                  </w14:solidFill>
                </w14:textFill>
              </w:rPr>
              <mc:AlternateContent>
                <mc:Choice Requires="wps">
                  <w:drawing>
                    <wp:anchor distT="0" distB="0" distL="0" distR="0" simplePos="0" relativeHeight="251663360" behindDoc="0" locked="0" layoutInCell="1" allowOverlap="1">
                      <wp:simplePos x="0" y="0"/>
                      <wp:positionH relativeFrom="column">
                        <wp:posOffset>581660</wp:posOffset>
                      </wp:positionH>
                      <wp:positionV relativeFrom="paragraph">
                        <wp:posOffset>-7915275</wp:posOffset>
                      </wp:positionV>
                      <wp:extent cx="400050" cy="466725"/>
                      <wp:effectExtent l="0" t="0" r="0" b="0"/>
                      <wp:wrapNone/>
                      <wp:docPr id="1084" name="矩形 43"/>
                      <wp:cNvGraphicFramePr/>
                      <a:graphic xmlns:a="http://schemas.openxmlformats.org/drawingml/2006/main">
                        <a:graphicData uri="http://schemas.microsoft.com/office/word/2010/wordprocessingShape">
                          <wps:wsp>
                            <wps:cNvSpPr/>
                            <wps:spPr>
                              <a:xfrm>
                                <a:off x="0" y="0"/>
                                <a:ext cx="400050" cy="466725"/>
                              </a:xfrm>
                              <a:prstGeom prst="rect">
                                <a:avLst/>
                              </a:prstGeom>
                              <a:ln>
                                <a:noFill/>
                              </a:ln>
                            </wps:spPr>
                            <wps:txbx>
                              <w:txbxContent>
                                <w:p w14:paraId="185B7135">
                                  <w:pPr>
                                    <w:jc w:val="center"/>
                                    <w:rPr>
                                      <w:b/>
                                      <w:color w:val="000000"/>
                                      <w:sz w:val="44"/>
                                      <w:szCs w:val="44"/>
                                    </w:rPr>
                                  </w:pPr>
                                  <w:r>
                                    <w:rPr>
                                      <w:rFonts w:hint="eastAsia"/>
                                      <w:b/>
                                      <w:color w:val="000000"/>
                                      <w:sz w:val="44"/>
                                      <w:szCs w:val="44"/>
                                    </w:rPr>
                                    <w:t>N</w:t>
                                  </w:r>
                                </w:p>
                              </w:txbxContent>
                            </wps:txbx>
                            <wps:bodyPr vert="horz" wrap="square" lIns="91440" tIns="45720" rIns="91440" bIns="45720" anchor="ctr">
                              <a:noAutofit/>
                            </wps:bodyPr>
                          </wps:wsp>
                        </a:graphicData>
                      </a:graphic>
                    </wp:anchor>
                  </w:drawing>
                </mc:Choice>
                <mc:Fallback>
                  <w:pict>
                    <v:rect id="矩形 43" o:spid="_x0000_s1026" o:spt="1" style="position:absolute;left:0pt;margin-left:45.8pt;margin-top:-623.25pt;height:36.75pt;width:31.5pt;z-index:251663360;v-text-anchor:middle;mso-width-relative:page;mso-height-relative:page;" filled="f" stroked="f" coordsize="21600,21600" o:gfxdata="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BwOpvp2AAAAA4BAAAPAAAAAAAAAAEA&#10;IAAAACIAAABkcnMvZG93bnJldi54bWxQSwECFAAUAAAACACHTuJAlyXqrdYBAACiAwAADgAAAAAA&#10;AAABACAAAAAnAQAAZHJzL2Uyb0RvYy54bWxQSwUGAAAAAAYABgBZAQAAbwUAAAAA&#10;">
                      <v:fill on="f" focussize="0,0"/>
                      <v:stroke on="f"/>
                      <v:imagedata o:title=""/>
                      <o:lock v:ext="edit" aspectratio="f"/>
                      <v:textbox>
                        <w:txbxContent>
                          <w:p w14:paraId="185B7135">
                            <w:pPr>
                              <w:jc w:val="center"/>
                              <w:rPr>
                                <w:b/>
                                <w:color w:val="000000"/>
                                <w:sz w:val="44"/>
                                <w:szCs w:val="44"/>
                              </w:rPr>
                            </w:pPr>
                            <w:r>
                              <w:rPr>
                                <w:rFonts w:hint="eastAsia"/>
                                <w:b/>
                                <w:color w:val="000000"/>
                                <w:sz w:val="44"/>
                                <w:szCs w:val="44"/>
                              </w:rPr>
                              <w:t>N</w:t>
                            </w:r>
                          </w:p>
                        </w:txbxContent>
                      </v:textbox>
                    </v:rect>
                  </w:pict>
                </mc:Fallback>
              </mc:AlternateContent>
            </w:r>
            <w:r>
              <w:rPr>
                <w:color w:val="000000" w:themeColor="text1"/>
                <w:highlight w:val="yellow"/>
                <w14:textFill>
                  <w14:solidFill>
                    <w14:schemeClr w14:val="tx1"/>
                  </w14:solidFill>
                </w14:textFill>
              </w:rPr>
              <mc:AlternateContent>
                <mc:Choice Requires="wps">
                  <w:drawing>
                    <wp:anchor distT="0" distB="0" distL="0" distR="0" simplePos="0" relativeHeight="251664384" behindDoc="0" locked="0" layoutInCell="1" allowOverlap="1">
                      <wp:simplePos x="0" y="0"/>
                      <wp:positionH relativeFrom="column">
                        <wp:posOffset>403860</wp:posOffset>
                      </wp:positionH>
                      <wp:positionV relativeFrom="paragraph">
                        <wp:posOffset>-8023225</wp:posOffset>
                      </wp:positionV>
                      <wp:extent cx="0" cy="542925"/>
                      <wp:effectExtent l="85725" t="0" r="85725" b="9525"/>
                      <wp:wrapNone/>
                      <wp:docPr id="1085" name="直接箭头连接符 47"/>
                      <wp:cNvGraphicFramePr/>
                      <a:graphic xmlns:a="http://schemas.openxmlformats.org/drawingml/2006/main">
                        <a:graphicData uri="http://schemas.microsoft.com/office/word/2010/wordprocessingShape">
                          <wps:wsp>
                            <wps:cNvCnPr/>
                            <wps:spPr>
                              <a:xfrm flipV="1">
                                <a:off x="0" y="0"/>
                                <a:ext cx="0" cy="542925"/>
                              </a:xfrm>
                              <a:prstGeom prst="straightConnector1">
                                <a:avLst/>
                              </a:prstGeom>
                              <a:ln w="57150" cap="flat" cmpd="sng">
                                <a:solidFill>
                                  <a:srgbClr val="000000"/>
                                </a:solidFill>
                                <a:prstDash val="solid"/>
                                <a:miter/>
                                <a:headEnd type="none" w="med" len="med"/>
                                <a:tailEnd type="triangle" w="med" len="med"/>
                              </a:ln>
                            </wps:spPr>
                            <wps:bodyPr/>
                          </wps:wsp>
                        </a:graphicData>
                      </a:graphic>
                    </wp:anchor>
                  </w:drawing>
                </mc:Choice>
                <mc:Fallback>
                  <w:pict>
                    <v:shape id="直接箭头连接符 47" o:spid="_x0000_s1026" o:spt="32" type="#_x0000_t32" style="position:absolute;left:0pt;flip:y;margin-left:31.8pt;margin-top:-631.75pt;height:42.75pt;width:0pt;z-index:251664384;mso-width-relative:page;mso-height-relative:page;" filled="f" stroked="t" coordsize="21600,21600" o:gfxdata="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LnSQeXYAAAADQEAAA8AAAAAAAAA&#10;AQAgAAAAIgAAAGRycy9kb3ducmV2LnhtbFBLAQIUABQAAAAIAIdO4kBCLvk+EQIAAAgEAAAOAAAA&#10;AAAAAAEAIAAAACcBAABkcnMvZTJvRG9jLnhtbFBLBQYAAAAABgAGAFkBAACqBQAAAAA=&#10;">
                      <v:fill on="f" focussize="0,0"/>
                      <v:stroke weight="4.5pt" color="#000000" joinstyle="miter" endarrow="block"/>
                      <v:imagedata o:title=""/>
                      <o:lock v:ext="edit" aspectratio="f"/>
                    </v:shape>
                  </w:pict>
                </mc:Fallback>
              </mc:AlternateContent>
            </w:r>
          </w:p>
        </w:tc>
      </w:tr>
      <w:tr w14:paraId="226B0258">
        <w:tblPrEx>
          <w:tblCellMar>
            <w:top w:w="0" w:type="dxa"/>
            <w:left w:w="108" w:type="dxa"/>
            <w:bottom w:w="0" w:type="dxa"/>
            <w:right w:w="108" w:type="dxa"/>
          </w:tblCellMar>
        </w:tblPrEx>
        <w:tc>
          <w:tcPr>
            <w:tcW w:w="5000" w:type="pct"/>
          </w:tcPr>
          <w:p w14:paraId="5EA78A99">
            <w:pPr>
              <w:jc w:val="center"/>
              <w:rPr>
                <w:color w:val="000000" w:themeColor="text1"/>
                <w:highlight w:val="yellow"/>
                <w14:textFill>
                  <w14:solidFill>
                    <w14:schemeClr w14:val="tx1"/>
                  </w14:solidFill>
                </w14:textFill>
              </w:rPr>
            </w:pPr>
            <w:r>
              <w:rPr>
                <w:b/>
                <w:color w:val="000000" w:themeColor="text1"/>
                <w:sz w:val="24"/>
                <w14:textFill>
                  <w14:solidFill>
                    <w14:schemeClr w14:val="tx1"/>
                  </w14:solidFill>
                </w14:textFill>
              </w:rPr>
              <w:t>附图1</w:t>
            </w:r>
            <w:r>
              <w:rPr>
                <w:rFonts w:hint="eastAsia"/>
                <w:b/>
                <w:color w:val="000000" w:themeColor="text1"/>
                <w:sz w:val="24"/>
                <w14:textFill>
                  <w14:solidFill>
                    <w14:schemeClr w14:val="tx1"/>
                  </w14:solidFill>
                </w14:textFill>
              </w:rPr>
              <w:t xml:space="preserve">  </w:t>
            </w:r>
            <w:r>
              <w:rPr>
                <w:b/>
                <w:color w:val="000000" w:themeColor="text1"/>
                <w:sz w:val="24"/>
                <w14:textFill>
                  <w14:solidFill>
                    <w14:schemeClr w14:val="tx1"/>
                  </w14:solidFill>
                </w14:textFill>
              </w:rPr>
              <w:t>项目地理位置图</w:t>
            </w:r>
          </w:p>
        </w:tc>
      </w:tr>
    </w:tbl>
    <w:p w14:paraId="7E9B444E">
      <w:pPr>
        <w:rPr>
          <w:color w:val="000000" w:themeColor="text1"/>
          <w14:textFill>
            <w14:solidFill>
              <w14:schemeClr w14:val="tx1"/>
            </w14:solidFill>
          </w14:textFill>
        </w:rPr>
        <w:sectPr>
          <w:footerReference r:id="rId8" w:type="default"/>
          <w:pgSz w:w="11906" w:h="16838"/>
          <w:pgMar w:top="1440" w:right="1083" w:bottom="1440" w:left="1083" w:header="851" w:footer="992" w:gutter="0"/>
          <w:pgNumType w:fmt="decimal"/>
          <w:cols w:space="0" w:num="1"/>
          <w:docGrid w:type="lines" w:linePitch="31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690124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vAlign w:val="center"/>
          </w:tcPr>
          <w:p w14:paraId="1A9EAC66">
            <w:pPr>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0" distR="0" simplePos="0" relativeHeight="251665408" behindDoc="0" locked="0" layoutInCell="1" allowOverlap="1">
                      <wp:simplePos x="0" y="0"/>
                      <wp:positionH relativeFrom="column">
                        <wp:posOffset>5482590</wp:posOffset>
                      </wp:positionH>
                      <wp:positionV relativeFrom="paragraph">
                        <wp:posOffset>217170</wp:posOffset>
                      </wp:positionV>
                      <wp:extent cx="381635" cy="564515"/>
                      <wp:effectExtent l="80645" t="0" r="0" b="6985"/>
                      <wp:wrapNone/>
                      <wp:docPr id="1086" name="组合 6"/>
                      <wp:cNvGraphicFramePr/>
                      <a:graphic xmlns:a="http://schemas.openxmlformats.org/drawingml/2006/main">
                        <a:graphicData uri="http://schemas.microsoft.com/office/word/2010/wordprocessingGroup">
                          <wpg:wgp>
                            <wpg:cNvGrpSpPr/>
                            <wpg:grpSpPr>
                              <a:xfrm>
                                <a:off x="0" y="0"/>
                                <a:ext cx="381634" cy="564514"/>
                                <a:chOff x="16075" y="14959"/>
                                <a:chExt cx="601" cy="889"/>
                              </a:xfrm>
                            </wpg:grpSpPr>
                            <wps:wsp>
                              <wps:cNvPr id="1" name="直接箭头连接符 1"/>
                              <wps:cNvCnPr/>
                              <wps:spPr>
                                <a:xfrm flipV="1">
                                  <a:off x="16075" y="14959"/>
                                  <a:ext cx="0" cy="825"/>
                                </a:xfrm>
                                <a:prstGeom prst="straightConnector1">
                                  <a:avLst/>
                                </a:prstGeom>
                                <a:ln w="53975" cap="flat" cmpd="sng">
                                  <a:solidFill>
                                    <a:srgbClr val="000000"/>
                                  </a:solidFill>
                                  <a:prstDash val="solid"/>
                                  <a:miter/>
                                  <a:tailEnd type="triangle" w="med" len="med"/>
                                </a:ln>
                              </wps:spPr>
                              <wps:bodyPr/>
                            </wps:wsp>
                            <wps:wsp>
                              <wps:cNvPr id="2" name="矩形 2"/>
                              <wps:cNvSpPr/>
                              <wps:spPr>
                                <a:xfrm>
                                  <a:off x="16174" y="15196"/>
                                  <a:ext cx="503" cy="653"/>
                                </a:xfrm>
                                <a:prstGeom prst="rect">
                                  <a:avLst/>
                                </a:prstGeom>
                                <a:ln>
                                  <a:noFill/>
                                </a:ln>
                              </wps:spPr>
                              <wps:txbx>
                                <w:txbxContent>
                                  <w:p w14:paraId="6D8E7978">
                                    <w:pPr>
                                      <w:rPr>
                                        <w:b/>
                                        <w:bCs/>
                                        <w:sz w:val="40"/>
                                        <w:szCs w:val="28"/>
                                      </w:rPr>
                                    </w:pPr>
                                    <w:r>
                                      <w:rPr>
                                        <w:rFonts w:hint="eastAsia"/>
                                        <w:b/>
                                        <w:bCs/>
                                        <w:sz w:val="40"/>
                                        <w:szCs w:val="28"/>
                                      </w:rPr>
                                      <w:t>N</w:t>
                                    </w:r>
                                  </w:p>
                                </w:txbxContent>
                              </wps:txbx>
                              <wps:bodyPr vert="horz" wrap="square" lIns="91440" tIns="45720" rIns="91440" bIns="45720" anchor="t">
                                <a:noAutofit/>
                              </wps:bodyPr>
                            </wps:wsp>
                          </wpg:wgp>
                        </a:graphicData>
                      </a:graphic>
                    </wp:anchor>
                  </w:drawing>
                </mc:Choice>
                <mc:Fallback>
                  <w:pict>
                    <v:group id="组合 6" o:spid="_x0000_s1026" o:spt="203" style="position:absolute;left:0pt;margin-left:431.7pt;margin-top:17.1pt;height:44.45pt;width:30.05pt;z-index:251665408;mso-width-relative:page;mso-height-relative:page;" coordorigin="16075,14959" coordsize="601,889" o:gfxdata="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BMsFa3aAAAACgEAAA8AAAAAAAAAAQAgAAAAIgAAAGRycy9kb3ducmV2Lnht&#10;bFBLAQIUABQAAAAIAIdO4kCkxmKOFAMAANEGAAAOAAAAAAAAAAEAIAAAACkBAABkcnMvZTJvRG9j&#10;LnhtbFBLBQYAAAAABgAGAFkBAACvBgAAAAA=&#10;">
                      <o:lock v:ext="edit" aspectratio="f"/>
                      <v:shape id="_x0000_s1026" o:spid="_x0000_s1026" o:spt="32" type="#_x0000_t32" style="position:absolute;left:16075;top:14959;flip:y;height:825;width:0;" filled="f" stroked="t" coordsize="21600,21600" o:gfxdata="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tEaGjugAAANoA&#10;AAAPAAAAAAAAAAEAIAAAACIAAABkcnMvZG93bnJldi54bWxQSwECFAAUAAAACACHTuJAMy8FnjsA&#10;AAA5AAAAEAAAAAAAAAABACAAAAAJAQAAZHJzL3NoYXBleG1sLnhtbFBLBQYAAAAABgAGAFsBAACz&#10;AwAAAAA=&#10;">
                        <v:fill on="f" focussize="0,0"/>
                        <v:stroke weight="4.25pt" color="#000000" joinstyle="miter" endarrow="block"/>
                        <v:imagedata o:title=""/>
                        <o:lock v:ext="edit" aspectratio="f"/>
                      </v:shape>
                      <v:rect id="_x0000_s1026" o:spid="_x0000_s1026" o:spt="1" style="position:absolute;left:16174;top:15196;height:653;width:503;" filled="f" stroked="f" coordsize="21600,21600" o:gfxdata="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qtzq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6D8E7978">
                              <w:pPr>
                                <w:rPr>
                                  <w:b/>
                                  <w:bCs/>
                                  <w:sz w:val="40"/>
                                  <w:szCs w:val="28"/>
                                </w:rPr>
                              </w:pPr>
                              <w:r>
                                <w:rPr>
                                  <w:rFonts w:hint="eastAsia"/>
                                  <w:b/>
                                  <w:bCs/>
                                  <w:sz w:val="40"/>
                                  <w:szCs w:val="28"/>
                                </w:rPr>
                                <w:t>N</w:t>
                              </w:r>
                            </w:p>
                          </w:txbxContent>
                        </v:textbox>
                      </v:rect>
                    </v:group>
                  </w:pict>
                </mc:Fallback>
              </mc:AlternateContent>
            </w:r>
            <w:r>
              <w:rPr>
                <w:color w:val="000000" w:themeColor="text1"/>
                <w14:textFill>
                  <w14:solidFill>
                    <w14:schemeClr w14:val="tx1"/>
                  </w14:solidFill>
                </w14:textFill>
              </w:rPr>
              <w:drawing>
                <wp:inline distT="0" distB="0" distL="114300" distR="114300">
                  <wp:extent cx="5467350" cy="7867650"/>
                  <wp:effectExtent l="0" t="0" r="0" b="0"/>
                  <wp:docPr id="2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68"/>
                          <a:stretch>
                            <a:fillRect/>
                          </a:stretch>
                        </pic:blipFill>
                        <pic:spPr>
                          <a:xfrm>
                            <a:off x="0" y="0"/>
                            <a:ext cx="5467350" cy="7867650"/>
                          </a:xfrm>
                          <a:prstGeom prst="rect">
                            <a:avLst/>
                          </a:prstGeom>
                          <a:noFill/>
                          <a:ln>
                            <a:noFill/>
                          </a:ln>
                        </pic:spPr>
                      </pic:pic>
                    </a:graphicData>
                  </a:graphic>
                </wp:inline>
              </w:drawing>
            </w:r>
          </w:p>
        </w:tc>
      </w:tr>
      <w:tr w14:paraId="2E95FB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tcPr>
          <w:p w14:paraId="6A266F5E">
            <w:pPr>
              <w:jc w:val="center"/>
              <w:rPr>
                <w:color w:val="000000" w:themeColor="text1"/>
                <w14:textFill>
                  <w14:solidFill>
                    <w14:schemeClr w14:val="tx1"/>
                  </w14:solidFill>
                </w14:textFill>
              </w:rPr>
            </w:pPr>
            <w:r>
              <w:rPr>
                <w:rFonts w:hint="eastAsia"/>
                <w:b/>
                <w:color w:val="000000" w:themeColor="text1"/>
                <w:sz w:val="24"/>
                <w14:textFill>
                  <w14:solidFill>
                    <w14:schemeClr w14:val="tx1"/>
                  </w14:solidFill>
                </w14:textFill>
              </w:rPr>
              <w:t>附图2-1  厂区总体平面布置图</w:t>
            </w:r>
          </w:p>
        </w:tc>
      </w:tr>
    </w:tbl>
    <w:p w14:paraId="6D52CF86">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6"/>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9956"/>
      </w:tblGrid>
      <w:tr w14:paraId="764445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5000" w:type="pct"/>
            <w:vAlign w:val="center"/>
          </w:tcPr>
          <w:p w14:paraId="39B3E0BA">
            <w:pPr>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0" distR="0" simplePos="0" relativeHeight="251666432" behindDoc="0" locked="0" layoutInCell="1" allowOverlap="1">
                      <wp:simplePos x="0" y="0"/>
                      <wp:positionH relativeFrom="column">
                        <wp:posOffset>5601970</wp:posOffset>
                      </wp:positionH>
                      <wp:positionV relativeFrom="paragraph">
                        <wp:posOffset>123190</wp:posOffset>
                      </wp:positionV>
                      <wp:extent cx="381635" cy="564515"/>
                      <wp:effectExtent l="80645" t="0" r="0" b="6985"/>
                      <wp:wrapNone/>
                      <wp:docPr id="1093" name="组合 73"/>
                      <wp:cNvGraphicFramePr/>
                      <a:graphic xmlns:a="http://schemas.openxmlformats.org/drawingml/2006/main">
                        <a:graphicData uri="http://schemas.microsoft.com/office/word/2010/wordprocessingGroup">
                          <wpg:wgp>
                            <wpg:cNvGrpSpPr/>
                            <wpg:grpSpPr>
                              <a:xfrm>
                                <a:off x="0" y="0"/>
                                <a:ext cx="381635" cy="564515"/>
                                <a:chOff x="16075" y="14959"/>
                                <a:chExt cx="601" cy="889"/>
                              </a:xfrm>
                            </wpg:grpSpPr>
                            <wps:wsp>
                              <wps:cNvPr id="5" name="直接箭头连接符 5"/>
                              <wps:cNvCnPr/>
                              <wps:spPr>
                                <a:xfrm flipV="1">
                                  <a:off x="16075" y="14959"/>
                                  <a:ext cx="0" cy="825"/>
                                </a:xfrm>
                                <a:prstGeom prst="straightConnector1">
                                  <a:avLst/>
                                </a:prstGeom>
                                <a:ln w="53975" cap="flat" cmpd="sng">
                                  <a:solidFill>
                                    <a:srgbClr val="000000"/>
                                  </a:solidFill>
                                  <a:prstDash val="solid"/>
                                  <a:miter/>
                                  <a:tailEnd type="triangle" w="med" len="med"/>
                                </a:ln>
                              </wps:spPr>
                              <wps:bodyPr/>
                            </wps:wsp>
                            <wps:wsp>
                              <wps:cNvPr id="6" name="矩形 6"/>
                              <wps:cNvSpPr/>
                              <wps:spPr>
                                <a:xfrm>
                                  <a:off x="16174" y="15196"/>
                                  <a:ext cx="503" cy="653"/>
                                </a:xfrm>
                                <a:prstGeom prst="rect">
                                  <a:avLst/>
                                </a:prstGeom>
                                <a:ln>
                                  <a:noFill/>
                                </a:ln>
                              </wps:spPr>
                              <wps:txbx>
                                <w:txbxContent>
                                  <w:p w14:paraId="58D635EC">
                                    <w:pPr>
                                      <w:rPr>
                                        <w:b/>
                                        <w:bCs/>
                                        <w:sz w:val="40"/>
                                        <w:szCs w:val="28"/>
                                      </w:rPr>
                                    </w:pPr>
                                    <w:r>
                                      <w:rPr>
                                        <w:rFonts w:hint="eastAsia"/>
                                        <w:b/>
                                        <w:bCs/>
                                        <w:sz w:val="40"/>
                                        <w:szCs w:val="28"/>
                                      </w:rPr>
                                      <w:t>N</w:t>
                                    </w:r>
                                  </w:p>
                                </w:txbxContent>
                              </wps:txbx>
                              <wps:bodyPr vert="horz" wrap="square" lIns="91440" tIns="45720" rIns="91440" bIns="45720" anchor="t">
                                <a:noAutofit/>
                              </wps:bodyPr>
                            </wps:wsp>
                          </wpg:wgp>
                        </a:graphicData>
                      </a:graphic>
                    </wp:anchor>
                  </w:drawing>
                </mc:Choice>
                <mc:Fallback>
                  <w:pict>
                    <v:group id="组合 73" o:spid="_x0000_s1026" o:spt="203" style="position:absolute;left:0pt;margin-left:441.1pt;margin-top:9.7pt;height:44.45pt;width:30.05pt;z-index:251666432;mso-width-relative:page;mso-height-relative:page;" coordorigin="16075,14959" coordsize="601,889" o:gfxdata="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">
                      <o:lock v:ext="edit" aspectratio="f"/>
                      <v:shape id="_x0000_s1026" o:spid="_x0000_s1026" o:spt="32" type="#_x0000_t32" style="position:absolute;left:16075;top:14959;flip:y;height:825;width:0;" filled="f" stroked="t" coordsize="21600,21600" o:gfxdata="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iqnoL4A&#10;AADaAAAADwAAAAAAAAABACAAAAAiAAAAZHJzL2Rvd25yZXYueG1sUEsBAhQAFAAAAAgAh07iQDMv&#10;BZ47AAAAOQAAABAAAAAAAAAAAQAgAAAADQEAAGRycy9zaGFwZXhtbC54bWxQSwUGAAAAAAYABgBb&#10;AQAAtwMAAAAA&#10;">
                        <v:fill on="f" focussize="0,0"/>
                        <v:stroke weight="4.25pt" color="#000000" joinstyle="miter" endarrow="block"/>
                        <v:imagedata o:title=""/>
                        <o:lock v:ext="edit" aspectratio="f"/>
                      </v:shape>
                      <v:rect id="_x0000_s1026" o:spid="_x0000_s1026" o:spt="1" style="position:absolute;left:16174;top:15196;height:653;width:503;" filled="f" stroked="f" coordsize="21600,21600" o:gfxdata="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PRsTm8AAAA&#10;2gAAAA8AAAAAAAAAAQAgAAAAIgAAAGRycy9kb3ducmV2LnhtbFBLAQIUABQAAAAIAIdO4kAzLwWe&#10;OwAAADkAAAAQAAAAAAAAAAEAIAAAAAsBAABkcnMvc2hhcGV4bWwueG1sUEsFBgAAAAAGAAYAWwEA&#10;ALUDAAAAAA==&#10;">
                        <v:fill on="f" focussize="0,0"/>
                        <v:stroke on="f"/>
                        <v:imagedata o:title=""/>
                        <o:lock v:ext="edit" aspectratio="f"/>
                        <v:textbox>
                          <w:txbxContent>
                            <w:p w14:paraId="58D635EC">
                              <w:pPr>
                                <w:rPr>
                                  <w:b/>
                                  <w:bCs/>
                                  <w:sz w:val="40"/>
                                  <w:szCs w:val="28"/>
                                </w:rPr>
                              </w:pPr>
                              <w:r>
                                <w:rPr>
                                  <w:rFonts w:hint="eastAsia"/>
                                  <w:b/>
                                  <w:bCs/>
                                  <w:sz w:val="40"/>
                                  <w:szCs w:val="28"/>
                                </w:rPr>
                                <w:t>N</w:t>
                              </w:r>
                            </w:p>
                          </w:txbxContent>
                        </v:textbox>
                      </v:rect>
                    </v:group>
                  </w:pict>
                </mc:Fallback>
              </mc:AlternateContent>
            </w:r>
            <w:r>
              <w:rPr>
                <w:color w:val="000000" w:themeColor="text1"/>
                <w14:textFill>
                  <w14:solidFill>
                    <w14:schemeClr w14:val="tx1"/>
                  </w14:solidFill>
                </w14:textFill>
              </w:rPr>
              <w:drawing>
                <wp:inline distT="0" distB="0" distL="114300" distR="114300">
                  <wp:extent cx="6181090" cy="7862570"/>
                  <wp:effectExtent l="0" t="0" r="10160" b="5080"/>
                  <wp:docPr id="5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9"/>
                          <pic:cNvPicPr>
                            <a:picLocks noChangeAspect="1"/>
                          </pic:cNvPicPr>
                        </pic:nvPicPr>
                        <pic:blipFill>
                          <a:blip r:embed="rId69"/>
                          <a:stretch>
                            <a:fillRect/>
                          </a:stretch>
                        </pic:blipFill>
                        <pic:spPr>
                          <a:xfrm>
                            <a:off x="0" y="0"/>
                            <a:ext cx="6181090" cy="7862570"/>
                          </a:xfrm>
                          <a:prstGeom prst="rect">
                            <a:avLst/>
                          </a:prstGeom>
                          <a:noFill/>
                          <a:ln>
                            <a:noFill/>
                          </a:ln>
                        </pic:spPr>
                      </pic:pic>
                    </a:graphicData>
                  </a:graphic>
                </wp:inline>
              </w:drawing>
            </w:r>
          </w:p>
        </w:tc>
      </w:tr>
      <w:tr w14:paraId="167D02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5000" w:type="pct"/>
            <w:vAlign w:val="center"/>
          </w:tcPr>
          <w:p w14:paraId="5BFCB62D">
            <w:pPr>
              <w:jc w:val="center"/>
              <w:rPr>
                <w:color w:val="000000" w:themeColor="text1"/>
                <w14:textFill>
                  <w14:solidFill>
                    <w14:schemeClr w14:val="tx1"/>
                  </w14:solidFill>
                </w14:textFill>
              </w:rPr>
            </w:pPr>
            <w:r>
              <w:rPr>
                <w:rFonts w:hint="eastAsia"/>
                <w:b/>
                <w:color w:val="000000" w:themeColor="text1"/>
                <w:sz w:val="24"/>
                <w14:textFill>
                  <w14:solidFill>
                    <w14:schemeClr w14:val="tx1"/>
                  </w14:solidFill>
                </w14:textFill>
              </w:rPr>
              <w:t>附图2-2  综合车间平面布置图</w:t>
            </w:r>
          </w:p>
        </w:tc>
      </w:tr>
    </w:tbl>
    <w:p w14:paraId="47FFA538">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0A4AA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956" w:type="dxa"/>
            <w:vAlign w:val="center"/>
          </w:tcPr>
          <w:p w14:paraId="76AEFB4B">
            <w:pPr>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0" distR="0" simplePos="0" relativeHeight="251667456" behindDoc="0" locked="0" layoutInCell="1" allowOverlap="1">
                      <wp:simplePos x="0" y="0"/>
                      <wp:positionH relativeFrom="column">
                        <wp:posOffset>5740400</wp:posOffset>
                      </wp:positionH>
                      <wp:positionV relativeFrom="paragraph">
                        <wp:posOffset>217170</wp:posOffset>
                      </wp:positionV>
                      <wp:extent cx="381635" cy="564515"/>
                      <wp:effectExtent l="80645" t="0" r="0" b="6985"/>
                      <wp:wrapNone/>
                      <wp:docPr id="1097" name="组合 79"/>
                      <wp:cNvGraphicFramePr/>
                      <a:graphic xmlns:a="http://schemas.openxmlformats.org/drawingml/2006/main">
                        <a:graphicData uri="http://schemas.microsoft.com/office/word/2010/wordprocessingGroup">
                          <wpg:wgp>
                            <wpg:cNvGrpSpPr/>
                            <wpg:grpSpPr>
                              <a:xfrm>
                                <a:off x="0" y="0"/>
                                <a:ext cx="381634" cy="564514"/>
                                <a:chOff x="16075" y="14959"/>
                                <a:chExt cx="601" cy="889"/>
                              </a:xfrm>
                            </wpg:grpSpPr>
                            <wps:wsp>
                              <wps:cNvPr id="7" name="直接箭头连接符 7"/>
                              <wps:cNvCnPr/>
                              <wps:spPr>
                                <a:xfrm flipV="1">
                                  <a:off x="16075" y="14959"/>
                                  <a:ext cx="0" cy="825"/>
                                </a:xfrm>
                                <a:prstGeom prst="straightConnector1">
                                  <a:avLst/>
                                </a:prstGeom>
                                <a:ln w="53975" cap="flat" cmpd="sng">
                                  <a:solidFill>
                                    <a:srgbClr val="000000"/>
                                  </a:solidFill>
                                  <a:prstDash val="solid"/>
                                  <a:miter/>
                                  <a:tailEnd type="triangle" w="med" len="med"/>
                                </a:ln>
                              </wps:spPr>
                              <wps:bodyPr/>
                            </wps:wsp>
                            <wps:wsp>
                              <wps:cNvPr id="8" name="矩形 8"/>
                              <wps:cNvSpPr/>
                              <wps:spPr>
                                <a:xfrm>
                                  <a:off x="16174" y="15196"/>
                                  <a:ext cx="503" cy="653"/>
                                </a:xfrm>
                                <a:prstGeom prst="rect">
                                  <a:avLst/>
                                </a:prstGeom>
                                <a:ln>
                                  <a:noFill/>
                                </a:ln>
                              </wps:spPr>
                              <wps:txbx>
                                <w:txbxContent>
                                  <w:p w14:paraId="40390793">
                                    <w:pPr>
                                      <w:rPr>
                                        <w:b/>
                                        <w:bCs/>
                                        <w:sz w:val="40"/>
                                        <w:szCs w:val="28"/>
                                      </w:rPr>
                                    </w:pPr>
                                    <w:r>
                                      <w:rPr>
                                        <w:rFonts w:hint="eastAsia"/>
                                        <w:b/>
                                        <w:bCs/>
                                        <w:sz w:val="40"/>
                                        <w:szCs w:val="28"/>
                                      </w:rPr>
                                      <w:t>N</w:t>
                                    </w:r>
                                  </w:p>
                                </w:txbxContent>
                              </wps:txbx>
                              <wps:bodyPr vert="horz" wrap="square" lIns="91440" tIns="45720" rIns="91440" bIns="45720" anchor="t">
                                <a:noAutofit/>
                              </wps:bodyPr>
                            </wps:wsp>
                          </wpg:wgp>
                        </a:graphicData>
                      </a:graphic>
                    </wp:anchor>
                  </w:drawing>
                </mc:Choice>
                <mc:Fallback>
                  <w:pict>
                    <v:group id="组合 79" o:spid="_x0000_s1026" o:spt="203" style="position:absolute;left:0pt;margin-left:452pt;margin-top:17.1pt;height:44.45pt;width:30.05pt;z-index:251667456;mso-width-relative:page;mso-height-relative:page;" coordorigin="16075,14959" coordsize="601,889" o:gfxdata="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">
                      <o:lock v:ext="edit" aspectratio="f"/>
                      <v:shape id="_x0000_s1026" o:spid="_x0000_s1026" o:spt="32" type="#_x0000_t32" style="position:absolute;left:16075;top:14959;flip:y;height:825;width:0;" filled="f" stroked="t" coordsize="21600,21600" o:gfxdata="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bScTL4A&#10;AADaAAAADwAAAAAAAAABACAAAAAiAAAAZHJzL2Rvd25yZXYueG1sUEsBAhQAFAAAAAgAh07iQDMv&#10;BZ47AAAAOQAAABAAAAAAAAAAAQAgAAAADQEAAGRycy9zaGFwZXhtbC54bWxQSwUGAAAAAAYABgBb&#10;AQAAtwMAAAAA&#10;">
                        <v:fill on="f" focussize="0,0"/>
                        <v:stroke weight="4.25pt" color="#000000" joinstyle="miter" endarrow="block"/>
                        <v:imagedata o:title=""/>
                        <o:lock v:ext="edit" aspectratio="f"/>
                      </v:shape>
                      <v:rect id="_x0000_s1026" o:spid="_x0000_s1026" o:spt="1" style="position:absolute;left:16174;top:15196;height:653;width:503;" filled="f" stroked="f" coordsize="21600,21600" o:gfxdata="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0CgNC5AAAA2g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40390793">
                              <w:pPr>
                                <w:rPr>
                                  <w:b/>
                                  <w:bCs/>
                                  <w:sz w:val="40"/>
                                  <w:szCs w:val="28"/>
                                </w:rPr>
                              </w:pPr>
                              <w:r>
                                <w:rPr>
                                  <w:rFonts w:hint="eastAsia"/>
                                  <w:b/>
                                  <w:bCs/>
                                  <w:sz w:val="40"/>
                                  <w:szCs w:val="28"/>
                                </w:rPr>
                                <w:t>N</w:t>
                              </w:r>
                            </w:p>
                          </w:txbxContent>
                        </v:textbox>
                      </v:rect>
                    </v:group>
                  </w:pict>
                </mc:Fallback>
              </mc:AlternateContent>
            </w:r>
            <w:r>
              <w:rPr>
                <w:color w:val="000000" w:themeColor="text1"/>
                <w14:textFill>
                  <w14:solidFill>
                    <w14:schemeClr w14:val="tx1"/>
                  </w14:solidFill>
                </w14:textFill>
              </w:rPr>
              <w:drawing>
                <wp:inline distT="0" distB="0" distL="114300" distR="114300">
                  <wp:extent cx="6181725" cy="3216275"/>
                  <wp:effectExtent l="0" t="0" r="9525" b="3175"/>
                  <wp:docPr id="2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1"/>
                          <pic:cNvPicPr>
                            <a:picLocks noChangeAspect="1"/>
                          </pic:cNvPicPr>
                        </pic:nvPicPr>
                        <pic:blipFill>
                          <a:blip r:embed="rId70"/>
                          <a:stretch>
                            <a:fillRect/>
                          </a:stretch>
                        </pic:blipFill>
                        <pic:spPr>
                          <a:xfrm>
                            <a:off x="0" y="0"/>
                            <a:ext cx="6181725" cy="3216275"/>
                          </a:xfrm>
                          <a:prstGeom prst="rect">
                            <a:avLst/>
                          </a:prstGeom>
                          <a:noFill/>
                          <a:ln>
                            <a:noFill/>
                          </a:ln>
                        </pic:spPr>
                      </pic:pic>
                    </a:graphicData>
                  </a:graphic>
                </wp:inline>
              </w:drawing>
            </w:r>
          </w:p>
        </w:tc>
      </w:tr>
      <w:tr w14:paraId="01FE102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956" w:type="dxa"/>
            <w:vAlign w:val="center"/>
          </w:tcPr>
          <w:p w14:paraId="2BBE1E36">
            <w:pPr>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0" distR="0" simplePos="0" relativeHeight="251668480" behindDoc="0" locked="0" layoutInCell="1" allowOverlap="1">
                      <wp:simplePos x="0" y="0"/>
                      <wp:positionH relativeFrom="column">
                        <wp:posOffset>179705</wp:posOffset>
                      </wp:positionH>
                      <wp:positionV relativeFrom="paragraph">
                        <wp:posOffset>217170</wp:posOffset>
                      </wp:positionV>
                      <wp:extent cx="381635" cy="564515"/>
                      <wp:effectExtent l="80645" t="0" r="0" b="6985"/>
                      <wp:wrapNone/>
                      <wp:docPr id="1101" name="组合 76"/>
                      <wp:cNvGraphicFramePr/>
                      <a:graphic xmlns:a="http://schemas.openxmlformats.org/drawingml/2006/main">
                        <a:graphicData uri="http://schemas.microsoft.com/office/word/2010/wordprocessingGroup">
                          <wpg:wgp>
                            <wpg:cNvGrpSpPr/>
                            <wpg:grpSpPr>
                              <a:xfrm>
                                <a:off x="0" y="0"/>
                                <a:ext cx="381634" cy="564515"/>
                                <a:chOff x="16075" y="14959"/>
                                <a:chExt cx="601" cy="889"/>
                              </a:xfrm>
                            </wpg:grpSpPr>
                            <wps:wsp>
                              <wps:cNvPr id="9" name="直接箭头连接符 9"/>
                              <wps:cNvCnPr/>
                              <wps:spPr>
                                <a:xfrm flipV="1">
                                  <a:off x="16075" y="14959"/>
                                  <a:ext cx="0" cy="825"/>
                                </a:xfrm>
                                <a:prstGeom prst="straightConnector1">
                                  <a:avLst/>
                                </a:prstGeom>
                                <a:ln w="53975" cap="flat" cmpd="sng">
                                  <a:solidFill>
                                    <a:srgbClr val="000000"/>
                                  </a:solidFill>
                                  <a:prstDash val="solid"/>
                                  <a:miter/>
                                  <a:tailEnd type="triangle" w="med" len="med"/>
                                </a:ln>
                              </wps:spPr>
                              <wps:bodyPr/>
                            </wps:wsp>
                            <wps:wsp>
                              <wps:cNvPr id="10" name="矩形 10"/>
                              <wps:cNvSpPr/>
                              <wps:spPr>
                                <a:xfrm>
                                  <a:off x="16174" y="15196"/>
                                  <a:ext cx="503" cy="653"/>
                                </a:xfrm>
                                <a:prstGeom prst="rect">
                                  <a:avLst/>
                                </a:prstGeom>
                                <a:ln>
                                  <a:noFill/>
                                </a:ln>
                              </wps:spPr>
                              <wps:txbx>
                                <w:txbxContent>
                                  <w:p w14:paraId="628330FA">
                                    <w:pPr>
                                      <w:rPr>
                                        <w:b/>
                                        <w:bCs/>
                                        <w:sz w:val="40"/>
                                        <w:szCs w:val="28"/>
                                      </w:rPr>
                                    </w:pPr>
                                    <w:r>
                                      <w:rPr>
                                        <w:rFonts w:hint="eastAsia"/>
                                        <w:b/>
                                        <w:bCs/>
                                        <w:sz w:val="40"/>
                                        <w:szCs w:val="28"/>
                                      </w:rPr>
                                      <w:t>N</w:t>
                                    </w:r>
                                  </w:p>
                                </w:txbxContent>
                              </wps:txbx>
                              <wps:bodyPr vert="horz" wrap="square" lIns="91440" tIns="45720" rIns="91440" bIns="45720" anchor="t">
                                <a:noAutofit/>
                              </wps:bodyPr>
                            </wps:wsp>
                          </wpg:wgp>
                        </a:graphicData>
                      </a:graphic>
                    </wp:anchor>
                  </w:drawing>
                </mc:Choice>
                <mc:Fallback>
                  <w:pict>
                    <v:group id="组合 76" o:spid="_x0000_s1026" o:spt="203" style="position:absolute;left:0pt;margin-left:14.15pt;margin-top:17.1pt;height:44.45pt;width:30.05pt;z-index:251668480;mso-width-relative:page;mso-height-relative:page;" coordorigin="16075,14959" coordsize="601,889" o:gfxdata="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LC14NXYAAAACAEAAA8AAAAAAAAAAQAgAAAAIgAAAGRycy9kb3ducmV2&#10;LnhtbFBLAQIUABQAAAAIAIdO4kCUafNRGQMAANQGAAAOAAAAAAAAAAEAIAAAACcBAABkcnMvZTJv&#10;RG9jLnhtbFBLBQYAAAAABgAGAFkBAACyBgAAAAA=&#10;">
                      <o:lock v:ext="edit" aspectratio="f"/>
                      <v:shape id="_x0000_s1026" o:spid="_x0000_s1026" o:spt="32" type="#_x0000_t32" style="position:absolute;left:16075;top:14959;flip:y;height:825;width:0;" filled="f" stroked="t" coordsize="21600,21600" o:gfxdata="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Z62lvQAA&#10;ANoAAAAPAAAAAAAAAAEAIAAAACIAAABkcnMvZG93bnJldi54bWxQSwECFAAUAAAACACHTuJAMy8F&#10;njsAAAA5AAAAEAAAAAAAAAABACAAAAAMAQAAZHJzL3NoYXBleG1sLnhtbFBLBQYAAAAABgAGAFsB&#10;AAC2AwAAAAA=&#10;">
                        <v:fill on="f" focussize="0,0"/>
                        <v:stroke weight="4.25pt" color="#000000" joinstyle="miter" endarrow="block"/>
                        <v:imagedata o:title=""/>
                        <o:lock v:ext="edit" aspectratio="f"/>
                      </v:shape>
                      <v:rect id="_x0000_s1026" o:spid="_x0000_s1026" o:spt="1" style="position:absolute;left:16174;top:15196;height:653;width:503;" filled="f" stroked="f" coordsize="21600,21600" o:gfxdata="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QP6QQvQAA&#10;ANsAAAAPAAAAAAAAAAEAIAAAACIAAABkcnMvZG93bnJldi54bWxQSwECFAAUAAAACACHTuJAMy8F&#10;njsAAAA5AAAAEAAAAAAAAAABACAAAAAMAQAAZHJzL3NoYXBleG1sLnhtbFBLBQYAAAAABgAGAFsB&#10;AAC2AwAAAAA=&#10;">
                        <v:fill on="f" focussize="0,0"/>
                        <v:stroke on="f"/>
                        <v:imagedata o:title=""/>
                        <o:lock v:ext="edit" aspectratio="f"/>
                        <v:textbox>
                          <w:txbxContent>
                            <w:p w14:paraId="628330FA">
                              <w:pPr>
                                <w:rPr>
                                  <w:b/>
                                  <w:bCs/>
                                  <w:sz w:val="40"/>
                                  <w:szCs w:val="28"/>
                                </w:rPr>
                              </w:pPr>
                              <w:r>
                                <w:rPr>
                                  <w:rFonts w:hint="eastAsia"/>
                                  <w:b/>
                                  <w:bCs/>
                                  <w:sz w:val="40"/>
                                  <w:szCs w:val="28"/>
                                </w:rPr>
                                <w:t>N</w:t>
                              </w:r>
                            </w:p>
                          </w:txbxContent>
                        </v:textbox>
                      </v:rect>
                    </v:group>
                  </w:pict>
                </mc:Fallback>
              </mc:AlternateContent>
            </w:r>
            <w:r>
              <w:rPr>
                <w:rFonts w:hint="eastAsia"/>
                <w:b/>
                <w:color w:val="000000" w:themeColor="text1"/>
                <w:sz w:val="24"/>
                <w14:textFill>
                  <w14:solidFill>
                    <w14:schemeClr w14:val="tx1"/>
                  </w14:solidFill>
                </w14:textFill>
              </w:rPr>
              <w:t>附图2-3  黄酒车间及封坛区域平面布置图</w:t>
            </w:r>
          </w:p>
        </w:tc>
      </w:tr>
      <w:tr w14:paraId="32B3C90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024E8DDF">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6182360" cy="2168525"/>
                  <wp:effectExtent l="0" t="0" r="0" b="0"/>
                  <wp:docPr id="29"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3"/>
                          <pic:cNvPicPr>
                            <a:picLocks noChangeAspect="1"/>
                          </pic:cNvPicPr>
                        </pic:nvPicPr>
                        <pic:blipFill>
                          <a:blip r:embed="rId71"/>
                          <a:srcRect l="-390" t="3527" r="390" b="4523"/>
                          <a:stretch>
                            <a:fillRect/>
                          </a:stretch>
                        </pic:blipFill>
                        <pic:spPr>
                          <a:xfrm>
                            <a:off x="0" y="0"/>
                            <a:ext cx="6182360" cy="2168525"/>
                          </a:xfrm>
                          <a:prstGeom prst="rect">
                            <a:avLst/>
                          </a:prstGeom>
                          <a:noFill/>
                          <a:ln>
                            <a:noFill/>
                          </a:ln>
                        </pic:spPr>
                      </pic:pic>
                    </a:graphicData>
                  </a:graphic>
                </wp:inline>
              </w:drawing>
            </w:r>
          </w:p>
        </w:tc>
      </w:tr>
      <w:tr w14:paraId="4BDD8C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007CDB12">
            <w:pPr>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0" distR="0" simplePos="0" relativeHeight="251676672" behindDoc="0" locked="0" layoutInCell="1" allowOverlap="1">
                      <wp:simplePos x="0" y="0"/>
                      <wp:positionH relativeFrom="column">
                        <wp:posOffset>250190</wp:posOffset>
                      </wp:positionH>
                      <wp:positionV relativeFrom="paragraph">
                        <wp:posOffset>203200</wp:posOffset>
                      </wp:positionV>
                      <wp:extent cx="381635" cy="564515"/>
                      <wp:effectExtent l="80645" t="0" r="0" b="6985"/>
                      <wp:wrapNone/>
                      <wp:docPr id="31" name="组合 76"/>
                      <wp:cNvGraphicFramePr/>
                      <a:graphic xmlns:a="http://schemas.openxmlformats.org/drawingml/2006/main">
                        <a:graphicData uri="http://schemas.microsoft.com/office/word/2010/wordprocessingGroup">
                          <wpg:wgp>
                            <wpg:cNvGrpSpPr/>
                            <wpg:grpSpPr>
                              <a:xfrm>
                                <a:off x="0" y="0"/>
                                <a:ext cx="381635" cy="564515"/>
                                <a:chOff x="16075" y="14959"/>
                                <a:chExt cx="601" cy="889"/>
                              </a:xfrm>
                            </wpg:grpSpPr>
                            <wps:wsp>
                              <wps:cNvPr id="32" name="直接箭头连接符 9"/>
                              <wps:cNvCnPr/>
                              <wps:spPr>
                                <a:xfrm flipV="1">
                                  <a:off x="16075" y="14959"/>
                                  <a:ext cx="0" cy="825"/>
                                </a:xfrm>
                                <a:prstGeom prst="straightConnector1">
                                  <a:avLst/>
                                </a:prstGeom>
                                <a:ln w="53975" cap="flat" cmpd="sng">
                                  <a:solidFill>
                                    <a:srgbClr val="000000"/>
                                  </a:solidFill>
                                  <a:prstDash val="solid"/>
                                  <a:miter/>
                                  <a:tailEnd type="triangle" w="med" len="med"/>
                                </a:ln>
                              </wps:spPr>
                              <wps:bodyPr/>
                            </wps:wsp>
                            <wps:wsp>
                              <wps:cNvPr id="33" name="矩形 10"/>
                              <wps:cNvSpPr/>
                              <wps:spPr>
                                <a:xfrm>
                                  <a:off x="16174" y="15196"/>
                                  <a:ext cx="503" cy="653"/>
                                </a:xfrm>
                                <a:prstGeom prst="rect">
                                  <a:avLst/>
                                </a:prstGeom>
                                <a:ln>
                                  <a:noFill/>
                                </a:ln>
                              </wps:spPr>
                              <wps:txbx>
                                <w:txbxContent>
                                  <w:p w14:paraId="380A17B4">
                                    <w:pPr>
                                      <w:rPr>
                                        <w:b/>
                                        <w:bCs/>
                                        <w:sz w:val="40"/>
                                        <w:szCs w:val="28"/>
                                      </w:rPr>
                                    </w:pPr>
                                    <w:r>
                                      <w:rPr>
                                        <w:rFonts w:hint="eastAsia"/>
                                        <w:b/>
                                        <w:bCs/>
                                        <w:sz w:val="40"/>
                                        <w:szCs w:val="28"/>
                                      </w:rPr>
                                      <w:t>N</w:t>
                                    </w:r>
                                  </w:p>
                                </w:txbxContent>
                              </wps:txbx>
                              <wps:bodyPr vert="horz" wrap="square" lIns="91440" tIns="45720" rIns="91440" bIns="45720" anchor="t">
                                <a:noAutofit/>
                              </wps:bodyPr>
                            </wps:wsp>
                          </wpg:wgp>
                        </a:graphicData>
                      </a:graphic>
                    </wp:anchor>
                  </w:drawing>
                </mc:Choice>
                <mc:Fallback>
                  <w:pict>
                    <v:group id="组合 76" o:spid="_x0000_s1026" o:spt="203" style="position:absolute;left:0pt;margin-left:19.7pt;margin-top:16pt;height:44.45pt;width:30.05pt;z-index:251676672;mso-width-relative:page;mso-height-relative:page;" coordorigin="16075,14959" coordsize="601,889" o:gfxdata="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">
                      <o:lock v:ext="edit" aspectratio="f"/>
                      <v:shape id="直接箭头连接符 9" o:spid="_x0000_s1026" o:spt="32" type="#_x0000_t32" style="position:absolute;left:16075;top:14959;flip:y;height:825;width:0;" filled="f" stroked="t" coordsize="21600,21600" o:gfxdata="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w/8Pb4A&#10;AADbAAAADwAAAAAAAAABACAAAAAiAAAAZHJzL2Rvd25yZXYueG1sUEsBAhQAFAAAAAgAh07iQDMv&#10;BZ47AAAAOQAAABAAAAAAAAAAAQAgAAAADQEAAGRycy9zaGFwZXhtbC54bWxQSwUGAAAAAAYABgBb&#10;AQAAtwMAAAAA&#10;">
                        <v:fill on="f" focussize="0,0"/>
                        <v:stroke weight="4.25pt" color="#000000" joinstyle="miter" endarrow="block"/>
                        <v:imagedata o:title=""/>
                        <o:lock v:ext="edit" aspectratio="f"/>
                      </v:shape>
                      <v:rect id="矩形 10" o:spid="_x0000_s1026" o:spt="1" style="position:absolute;left:16174;top:15196;height:653;width:503;" filled="f" stroked="f" coordsize="21600,21600" o:gfxdata="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1hmB74A&#10;AADb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380A17B4">
                              <w:pPr>
                                <w:rPr>
                                  <w:b/>
                                  <w:bCs/>
                                  <w:sz w:val="40"/>
                                  <w:szCs w:val="28"/>
                                </w:rPr>
                              </w:pPr>
                              <w:r>
                                <w:rPr>
                                  <w:rFonts w:hint="eastAsia"/>
                                  <w:b/>
                                  <w:bCs/>
                                  <w:sz w:val="40"/>
                                  <w:szCs w:val="28"/>
                                </w:rPr>
                                <w:t>N</w:t>
                              </w:r>
                            </w:p>
                          </w:txbxContent>
                        </v:textbox>
                      </v:rect>
                    </v:group>
                  </w:pict>
                </mc:Fallback>
              </mc:AlternateContent>
            </w:r>
            <w:r>
              <w:rPr>
                <w:rFonts w:hint="eastAsia"/>
                <w:b/>
                <w:color w:val="000000" w:themeColor="text1"/>
                <w:sz w:val="24"/>
                <w14:textFill>
                  <w14:solidFill>
                    <w14:schemeClr w14:val="tx1"/>
                  </w14:solidFill>
                </w14:textFill>
              </w:rPr>
              <w:t>附图2-4  封坛区域平面布置图</w:t>
            </w:r>
          </w:p>
        </w:tc>
      </w:tr>
      <w:tr w14:paraId="7B9ED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58B09B73">
            <w:pPr>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6179820" cy="2279015"/>
                  <wp:effectExtent l="0" t="0" r="11430" b="6985"/>
                  <wp:docPr id="3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4"/>
                          <pic:cNvPicPr>
                            <a:picLocks noChangeAspect="1"/>
                          </pic:cNvPicPr>
                        </pic:nvPicPr>
                        <pic:blipFill>
                          <a:blip r:embed="rId72"/>
                          <a:stretch>
                            <a:fillRect/>
                          </a:stretch>
                        </pic:blipFill>
                        <pic:spPr>
                          <a:xfrm>
                            <a:off x="0" y="0"/>
                            <a:ext cx="6179820" cy="2279015"/>
                          </a:xfrm>
                          <a:prstGeom prst="rect">
                            <a:avLst/>
                          </a:prstGeom>
                          <a:noFill/>
                          <a:ln>
                            <a:noFill/>
                          </a:ln>
                        </pic:spPr>
                      </pic:pic>
                    </a:graphicData>
                  </a:graphic>
                </wp:inline>
              </w:drawing>
            </w:r>
          </w:p>
        </w:tc>
      </w:tr>
      <w:tr w14:paraId="7CCED0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2DF2C90C">
            <w:pPr>
              <w:jc w:val="center"/>
              <w:rPr>
                <w:color w:val="000000" w:themeColor="text1"/>
                <w14:textFill>
                  <w14:solidFill>
                    <w14:schemeClr w14:val="tx1"/>
                  </w14:solidFill>
                </w14:textFill>
              </w:rPr>
            </w:pPr>
            <w:r>
              <w:rPr>
                <w:rFonts w:hint="eastAsia"/>
                <w:b/>
                <w:color w:val="000000" w:themeColor="text1"/>
                <w:sz w:val="24"/>
                <w14:textFill>
                  <w14:solidFill>
                    <w14:schemeClr w14:val="tx1"/>
                  </w14:solidFill>
                </w14:textFill>
              </w:rPr>
              <w:t>附图2-5  封坛发酵车间平面布置图</w:t>
            </w:r>
          </w:p>
        </w:tc>
      </w:tr>
    </w:tbl>
    <w:p w14:paraId="4C60C6DA">
      <w:pPr>
        <w:rPr>
          <w:color w:val="000000" w:themeColor="text1"/>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36CBC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tcPr>
          <w:p w14:paraId="4E913A7D">
            <w:pP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0" distR="0" simplePos="0" relativeHeight="251669504" behindDoc="0" locked="0" layoutInCell="1" allowOverlap="1">
                      <wp:simplePos x="0" y="0"/>
                      <wp:positionH relativeFrom="column">
                        <wp:posOffset>8418830</wp:posOffset>
                      </wp:positionH>
                      <wp:positionV relativeFrom="paragraph">
                        <wp:posOffset>218440</wp:posOffset>
                      </wp:positionV>
                      <wp:extent cx="381635" cy="564515"/>
                      <wp:effectExtent l="80645" t="0" r="0" b="6985"/>
                      <wp:wrapNone/>
                      <wp:docPr id="1105" name="组合 36"/>
                      <wp:cNvGraphicFramePr/>
                      <a:graphic xmlns:a="http://schemas.openxmlformats.org/drawingml/2006/main">
                        <a:graphicData uri="http://schemas.microsoft.com/office/word/2010/wordprocessingGroup">
                          <wpg:wgp>
                            <wpg:cNvGrpSpPr/>
                            <wpg:grpSpPr>
                              <a:xfrm>
                                <a:off x="0" y="0"/>
                                <a:ext cx="381634" cy="564515"/>
                                <a:chOff x="16075" y="14959"/>
                                <a:chExt cx="601" cy="889"/>
                              </a:xfrm>
                            </wpg:grpSpPr>
                            <wps:wsp>
                              <wps:cNvPr id="11" name="直接箭头连接符 11"/>
                              <wps:cNvCnPr/>
                              <wps:spPr>
                                <a:xfrm flipV="1">
                                  <a:off x="16075" y="14959"/>
                                  <a:ext cx="0" cy="825"/>
                                </a:xfrm>
                                <a:prstGeom prst="straightConnector1">
                                  <a:avLst/>
                                </a:prstGeom>
                                <a:ln w="53975" cap="flat" cmpd="sng">
                                  <a:solidFill>
                                    <a:srgbClr val="000000"/>
                                  </a:solidFill>
                                  <a:prstDash val="solid"/>
                                  <a:miter/>
                                  <a:tailEnd type="triangle" w="med" len="med"/>
                                </a:ln>
                              </wps:spPr>
                              <wps:bodyPr/>
                            </wps:wsp>
                            <wps:wsp>
                              <wps:cNvPr id="12" name="矩形 12"/>
                              <wps:cNvSpPr/>
                              <wps:spPr>
                                <a:xfrm>
                                  <a:off x="16174" y="15196"/>
                                  <a:ext cx="503" cy="653"/>
                                </a:xfrm>
                                <a:prstGeom prst="rect">
                                  <a:avLst/>
                                </a:prstGeom>
                                <a:ln>
                                  <a:noFill/>
                                </a:ln>
                              </wps:spPr>
                              <wps:txbx>
                                <w:txbxContent>
                                  <w:p w14:paraId="708A1F56">
                                    <w:pPr>
                                      <w:rPr>
                                        <w:b/>
                                        <w:bCs/>
                                        <w:sz w:val="40"/>
                                        <w:szCs w:val="28"/>
                                      </w:rPr>
                                    </w:pPr>
                                    <w:r>
                                      <w:rPr>
                                        <w:rFonts w:hint="eastAsia"/>
                                        <w:b/>
                                        <w:bCs/>
                                        <w:sz w:val="40"/>
                                        <w:szCs w:val="28"/>
                                      </w:rPr>
                                      <w:t>N</w:t>
                                    </w:r>
                                  </w:p>
                                </w:txbxContent>
                              </wps:txbx>
                              <wps:bodyPr vert="horz" wrap="square" lIns="91440" tIns="45720" rIns="91440" bIns="45720" anchor="t">
                                <a:noAutofit/>
                              </wps:bodyPr>
                            </wps:wsp>
                          </wpg:wgp>
                        </a:graphicData>
                      </a:graphic>
                    </wp:anchor>
                  </w:drawing>
                </mc:Choice>
                <mc:Fallback>
                  <w:pict>
                    <v:group id="组合 36" o:spid="_x0000_s1026" o:spt="203" style="position:absolute;left:0pt;margin-left:662.9pt;margin-top:17.2pt;height:44.45pt;width:30.05pt;z-index:251669504;mso-width-relative:page;mso-height-relative:page;" coordorigin="16075,14959" coordsize="601,889" o:gfxdata="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">
                      <o:lock v:ext="edit" aspectratio="f"/>
                      <v:shape id="_x0000_s1026" o:spid="_x0000_s1026" o:spt="32" type="#_x0000_t32" style="position:absolute;left:16075;top:14959;flip:y;height:825;width:0;" filled="f" stroked="t" coordsize="21600,21600" o:gfxdata="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hoPiq8AAAA&#10;2wAAAA8AAAAAAAAAAQAgAAAAIgAAAGRycy9kb3ducmV2LnhtbFBLAQIUABQAAAAIAIdO4kAzLwWe&#10;OwAAADkAAAAQAAAAAAAAAAEAIAAAAAsBAABkcnMvc2hhcGV4bWwueG1sUEsFBgAAAAAGAAYAWwEA&#10;ALUDAAAAAA==&#10;">
                        <v:fill on="f" focussize="0,0"/>
                        <v:stroke weight="4.25pt" color="#000000" joinstyle="miter" endarrow="block"/>
                        <v:imagedata o:title=""/>
                        <o:lock v:ext="edit" aspectratio="f"/>
                      </v:shape>
                      <v:rect id="_x0000_s1026" o:spid="_x0000_s1026" o:spt="1" style="position:absolute;left:16174;top:15196;height:653;width:503;" filled="f" stroked="f" coordsize="21600,21600" o:gfxdata="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oZ/8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708A1F56">
                              <w:pPr>
                                <w:rPr>
                                  <w:b/>
                                  <w:bCs/>
                                  <w:sz w:val="40"/>
                                  <w:szCs w:val="28"/>
                                </w:rPr>
                              </w:pPr>
                              <w:r>
                                <w:rPr>
                                  <w:rFonts w:hint="eastAsia"/>
                                  <w:b/>
                                  <w:bCs/>
                                  <w:sz w:val="40"/>
                                  <w:szCs w:val="28"/>
                                </w:rPr>
                                <w:t>N</w:t>
                              </w:r>
                            </w:p>
                          </w:txbxContent>
                        </v:textbox>
                      </v:rect>
                    </v:group>
                  </w:pict>
                </mc:Fallback>
              </mc:AlternateContent>
            </w:r>
            <w:r>
              <w:rPr>
                <w:color w:val="000000" w:themeColor="text1"/>
                <w14:textFill>
                  <w14:solidFill>
                    <w14:schemeClr w14:val="tx1"/>
                  </w14:solidFill>
                </w14:textFill>
              </w:rPr>
              <w:drawing>
                <wp:inline distT="0" distB="0" distL="0" distR="0">
                  <wp:extent cx="8856345" cy="5376545"/>
                  <wp:effectExtent l="0" t="0" r="1905" b="14605"/>
                  <wp:docPr id="1108" name="图片 39"/>
                  <wp:cNvGraphicFramePr/>
                  <a:graphic xmlns:a="http://schemas.openxmlformats.org/drawingml/2006/main">
                    <a:graphicData uri="http://schemas.openxmlformats.org/drawingml/2006/picture">
                      <pic:pic xmlns:pic="http://schemas.openxmlformats.org/drawingml/2006/picture">
                        <pic:nvPicPr>
                          <pic:cNvPr id="1108" name="图片 39"/>
                          <pic:cNvPicPr/>
                        </pic:nvPicPr>
                        <pic:blipFill>
                          <a:blip r:embed="rId73" cstate="print"/>
                          <a:srcRect/>
                          <a:stretch>
                            <a:fillRect/>
                          </a:stretch>
                        </pic:blipFill>
                        <pic:spPr>
                          <a:xfrm>
                            <a:off x="0" y="0"/>
                            <a:ext cx="8856345" cy="5376545"/>
                          </a:xfrm>
                          <a:prstGeom prst="rect">
                            <a:avLst/>
                          </a:prstGeom>
                          <a:ln>
                            <a:noFill/>
                          </a:ln>
                        </pic:spPr>
                      </pic:pic>
                    </a:graphicData>
                  </a:graphic>
                </wp:inline>
              </w:drawing>
            </w:r>
          </w:p>
        </w:tc>
      </w:tr>
      <w:tr w14:paraId="33C4E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tcPr>
          <w:p w14:paraId="6029D5FD">
            <w:pPr>
              <w:jc w:val="center"/>
              <w:rPr>
                <w:color w:val="000000" w:themeColor="text1"/>
                <w14:textFill>
                  <w14:solidFill>
                    <w14:schemeClr w14:val="tx1"/>
                  </w14:solidFill>
                </w14:textFill>
              </w:rPr>
            </w:pPr>
            <w:r>
              <w:rPr>
                <w:b/>
                <w:color w:val="000000" w:themeColor="text1"/>
                <w:sz w:val="24"/>
                <w14:textFill>
                  <w14:solidFill>
                    <w14:schemeClr w14:val="tx1"/>
                  </w14:solidFill>
                </w14:textFill>
              </w:rPr>
              <w:t>附图</w:t>
            </w:r>
            <w:r>
              <w:rPr>
                <w:rFonts w:hint="eastAsia"/>
                <w:b/>
                <w:color w:val="000000" w:themeColor="text1"/>
                <w:sz w:val="24"/>
                <w14:textFill>
                  <w14:solidFill>
                    <w14:schemeClr w14:val="tx1"/>
                  </w14:solidFill>
                </w14:textFill>
              </w:rPr>
              <w:t xml:space="preserve">3  </w:t>
            </w:r>
            <w:r>
              <w:rPr>
                <w:b/>
                <w:color w:val="000000" w:themeColor="text1"/>
                <w:sz w:val="24"/>
                <w14:textFill>
                  <w14:solidFill>
                    <w14:schemeClr w14:val="tx1"/>
                  </w14:solidFill>
                </w14:textFill>
              </w:rPr>
              <w:t>项目周围环境敏感点分布情况示意图</w:t>
            </w:r>
          </w:p>
        </w:tc>
      </w:tr>
    </w:tbl>
    <w:p w14:paraId="04B28770">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337C63B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00EFE88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8633460" cy="5687695"/>
                  <wp:effectExtent l="0" t="0" r="15240" b="8255"/>
                  <wp:docPr id="1109" name="图片 60" descr="02开发区规划范围图0315"/>
                  <wp:cNvGraphicFramePr/>
                  <a:graphic xmlns:a="http://schemas.openxmlformats.org/drawingml/2006/main">
                    <a:graphicData uri="http://schemas.openxmlformats.org/drawingml/2006/picture">
                      <pic:pic xmlns:pic="http://schemas.openxmlformats.org/drawingml/2006/picture">
                        <pic:nvPicPr>
                          <pic:cNvPr id="1109" name="图片 60" descr="02开发区规划范围图0315"/>
                          <pic:cNvPicPr/>
                        </pic:nvPicPr>
                        <pic:blipFill>
                          <a:blip r:embed="rId74" cstate="print"/>
                          <a:srcRect t="2860" b="3993"/>
                          <a:stretch>
                            <a:fillRect/>
                          </a:stretch>
                        </pic:blipFill>
                        <pic:spPr>
                          <a:xfrm>
                            <a:off x="0" y="0"/>
                            <a:ext cx="8633460" cy="5687695"/>
                          </a:xfrm>
                          <a:prstGeom prst="rect">
                            <a:avLst/>
                          </a:prstGeom>
                        </pic:spPr>
                      </pic:pic>
                    </a:graphicData>
                  </a:graphic>
                </wp:inline>
              </w:drawing>
            </w:r>
            <w:r>
              <w:rPr>
                <w:color w:val="000000" w:themeColor="text1"/>
                <w:sz w:val="24"/>
                <w14:textFill>
                  <w14:solidFill>
                    <w14:schemeClr w14:val="tx1"/>
                  </w14:solidFill>
                </w14:textFill>
              </w:rPr>
              <mc:AlternateContent>
                <mc:Choice Requires="wps">
                  <w:drawing>
                    <wp:anchor distT="0" distB="0" distL="0" distR="0" simplePos="0" relativeHeight="251670528" behindDoc="0" locked="0" layoutInCell="1" allowOverlap="1">
                      <wp:simplePos x="0" y="0"/>
                      <wp:positionH relativeFrom="column">
                        <wp:posOffset>3569970</wp:posOffset>
                      </wp:positionH>
                      <wp:positionV relativeFrom="paragraph">
                        <wp:posOffset>2106930</wp:posOffset>
                      </wp:positionV>
                      <wp:extent cx="914400" cy="300990"/>
                      <wp:effectExtent l="226060" t="6350" r="21590" b="187960"/>
                      <wp:wrapNone/>
                      <wp:docPr id="1110" name="矩形标注 63"/>
                      <wp:cNvGraphicFramePr/>
                      <a:graphic xmlns:a="http://schemas.openxmlformats.org/drawingml/2006/main">
                        <a:graphicData uri="http://schemas.microsoft.com/office/word/2010/wordprocessingShape">
                          <wps:wsp>
                            <wps:cNvSpPr/>
                            <wps:spPr>
                              <a:xfrm>
                                <a:off x="0" y="0"/>
                                <a:ext cx="914400" cy="300989"/>
                              </a:xfrm>
                              <a:prstGeom prst="wedgeRectCallout">
                                <a:avLst>
                                  <a:gd name="adj1" fmla="val -69444"/>
                                  <a:gd name="adj2" fmla="val 104852"/>
                                </a:avLst>
                              </a:prstGeom>
                              <a:solidFill>
                                <a:srgbClr val="FFFF00"/>
                              </a:solidFill>
                              <a:ln w="12700" cap="flat" cmpd="sng">
                                <a:solidFill>
                                  <a:srgbClr val="000000"/>
                                </a:solidFill>
                                <a:prstDash val="solid"/>
                                <a:miter/>
                                <a:headEnd type="none" w="med" len="med"/>
                                <a:tailEnd type="none" w="med" len="med"/>
                              </a:ln>
                            </wps:spPr>
                            <wps:txbx>
                              <w:txbxContent>
                                <w:p w14:paraId="28167071">
                                  <w:pPr>
                                    <w:rPr>
                                      <w:b/>
                                      <w:bCs/>
                                      <w:color w:val="000000"/>
                                    </w:rPr>
                                  </w:pPr>
                                  <w:r>
                                    <w:rPr>
                                      <w:rFonts w:hint="eastAsia"/>
                                      <w:b/>
                                      <w:bCs/>
                                      <w:color w:val="000000"/>
                                    </w:rPr>
                                    <w:t>项目位置</w:t>
                                  </w:r>
                                </w:p>
                              </w:txbxContent>
                            </wps:txbx>
                            <wps:bodyPr anchor="ctr" upright="1"/>
                          </wps:wsp>
                        </a:graphicData>
                      </a:graphic>
                    </wp:anchor>
                  </w:drawing>
                </mc:Choice>
                <mc:Fallback>
                  <w:pict>
                    <v:shape id="矩形标注 63" o:spid="_x0000_s1026" o:spt="61" type="#_x0000_t61" style="position:absolute;left:0pt;margin-left:281.1pt;margin-top:165.9pt;height:23.7pt;width:72pt;z-index:251670528;v-text-anchor:middle;mso-width-relative:page;mso-height-relative:page;" fillcolor="#FFFF00" filled="t" stroked="t" coordsize="21600,21600" o:gfxdata="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iYdlzZAAAACwEAAA8AAAAAAAAAAQAg&#10;AAAAIgAAAGRycy9kb3ducmV2LnhtbFBLAQIUABQAAAAIAIdO4kDcHtbVRgIAAJ8EAAAOAAAAAAAA&#10;AAEAIAAAACgBAABkcnMvZTJvRG9jLnhtbFBLBQYAAAAABgAGAFkBAADgBQAAAAA=&#10;" adj="-4200,33448">
                      <v:fill on="t" focussize="0,0"/>
                      <v:stroke weight="1pt" color="#000000" joinstyle="miter"/>
                      <v:imagedata o:title=""/>
                      <o:lock v:ext="edit" aspectratio="f"/>
                      <v:textbox>
                        <w:txbxContent>
                          <w:p w14:paraId="28167071">
                            <w:pPr>
                              <w:rPr>
                                <w:b/>
                                <w:bCs/>
                                <w:color w:val="000000"/>
                              </w:rPr>
                            </w:pPr>
                            <w:r>
                              <w:rPr>
                                <w:rFonts w:hint="eastAsia"/>
                                <w:b/>
                                <w:bCs/>
                                <w:color w:val="000000"/>
                              </w:rPr>
                              <w:t>项目位置</w:t>
                            </w:r>
                          </w:p>
                        </w:txbxContent>
                      </v:textbox>
                    </v:shape>
                  </w:pict>
                </mc:Fallback>
              </mc:AlternateContent>
            </w:r>
          </w:p>
        </w:tc>
      </w:tr>
      <w:tr w14:paraId="12A671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714D02B7">
            <w:pPr>
              <w:spacing w:line="360" w:lineRule="auto"/>
              <w:jc w:val="center"/>
              <w:rPr>
                <w:color w:val="000000" w:themeColor="text1"/>
                <w14:textFill>
                  <w14:solidFill>
                    <w14:schemeClr w14:val="tx1"/>
                  </w14:solidFill>
                </w14:textFill>
              </w:rPr>
            </w:pPr>
            <w:r>
              <w:rPr>
                <w:rFonts w:hint="eastAsia"/>
                <w:b/>
                <w:bCs/>
                <w:color w:val="000000" w:themeColor="text1"/>
                <w:sz w:val="24"/>
                <w14:textFill>
                  <w14:solidFill>
                    <w14:schemeClr w14:val="tx1"/>
                  </w14:solidFill>
                </w14:textFill>
              </w:rPr>
              <w:t xml:space="preserve">附图4 </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项目在镇平县先进制造业开发区发展规划中的位置示意图</w:t>
            </w:r>
          </w:p>
        </w:tc>
      </w:tr>
    </w:tbl>
    <w:p w14:paraId="13C42352">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4BA819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779440BA">
            <w:pPr>
              <w:jc w:val="center"/>
              <w:rPr>
                <w:color w:val="000000" w:themeColor="text1"/>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0" distR="0" simplePos="0" relativeHeight="251671552" behindDoc="0" locked="0" layoutInCell="1" allowOverlap="1">
                      <wp:simplePos x="0" y="0"/>
                      <wp:positionH relativeFrom="column">
                        <wp:posOffset>2364740</wp:posOffset>
                      </wp:positionH>
                      <wp:positionV relativeFrom="paragraph">
                        <wp:posOffset>2279015</wp:posOffset>
                      </wp:positionV>
                      <wp:extent cx="914400" cy="300990"/>
                      <wp:effectExtent l="6350" t="6350" r="69850" b="168910"/>
                      <wp:wrapNone/>
                      <wp:docPr id="1111" name="矩形标注 64"/>
                      <wp:cNvGraphicFramePr/>
                      <a:graphic xmlns:a="http://schemas.openxmlformats.org/drawingml/2006/main">
                        <a:graphicData uri="http://schemas.microsoft.com/office/word/2010/wordprocessingShape">
                          <wps:wsp>
                            <wps:cNvSpPr/>
                            <wps:spPr>
                              <a:xfrm>
                                <a:off x="0" y="0"/>
                                <a:ext cx="914400" cy="300989"/>
                              </a:xfrm>
                              <a:prstGeom prst="wedgeRectCallout">
                                <a:avLst>
                                  <a:gd name="adj1" fmla="val 52013"/>
                                  <a:gd name="adj2" fmla="val 94514"/>
                                </a:avLst>
                              </a:prstGeom>
                              <a:solidFill>
                                <a:srgbClr val="FFFF00"/>
                              </a:solidFill>
                              <a:ln w="12700" cap="flat" cmpd="sng">
                                <a:solidFill>
                                  <a:srgbClr val="000000"/>
                                </a:solidFill>
                                <a:prstDash val="solid"/>
                                <a:miter/>
                                <a:headEnd type="none" w="med" len="med"/>
                                <a:tailEnd type="none" w="med" len="med"/>
                              </a:ln>
                            </wps:spPr>
                            <wps:txbx>
                              <w:txbxContent>
                                <w:p w14:paraId="25EFDFE6">
                                  <w:pPr>
                                    <w:rPr>
                                      <w:b/>
                                      <w:bCs/>
                                      <w:color w:val="000000"/>
                                    </w:rPr>
                                  </w:pPr>
                                  <w:r>
                                    <w:rPr>
                                      <w:rFonts w:hint="eastAsia"/>
                                      <w:b/>
                                      <w:bCs/>
                                      <w:color w:val="000000"/>
                                    </w:rPr>
                                    <w:t>项目位置</w:t>
                                  </w:r>
                                </w:p>
                              </w:txbxContent>
                            </wps:txbx>
                            <wps:bodyPr anchor="ctr" upright="1"/>
                          </wps:wsp>
                        </a:graphicData>
                      </a:graphic>
                    </wp:anchor>
                  </w:drawing>
                </mc:Choice>
                <mc:Fallback>
                  <w:pict>
                    <v:shape id="矩形标注 64" o:spid="_x0000_s1026" o:spt="61" type="#_x0000_t61" style="position:absolute;left:0pt;margin-left:186.2pt;margin-top:179.45pt;height:23.7pt;width:72pt;z-index:251671552;v-text-anchor:middle;mso-width-relative:page;mso-height-relative:page;" fillcolor="#FFFF00" filled="t" stroked="t" coordsize="21600,21600" o:gfxdata="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NfHXOvaAAAACwEAAA8AAAAAAAAAAQAgAAAA&#10;IgAAAGRycy9kb3ducmV2LnhtbFBLAQIUABQAAAAIAIdO4kDmPsb7QgIAAJ0EAAAOAAAAAAAAAAEA&#10;IAAAACkBAABkcnMvZTJvRG9jLnhtbFBLBQYAAAAABgAGAFkBAADdBQAAAAA=&#10;" adj="22035,31215">
                      <v:fill on="t" focussize="0,0"/>
                      <v:stroke weight="1pt" color="#000000" joinstyle="miter"/>
                      <v:imagedata o:title=""/>
                      <o:lock v:ext="edit" aspectratio="f"/>
                      <v:textbox>
                        <w:txbxContent>
                          <w:p w14:paraId="25EFDFE6">
                            <w:pPr>
                              <w:rPr>
                                <w:b/>
                                <w:bCs/>
                                <w:color w:val="000000"/>
                              </w:rPr>
                            </w:pPr>
                            <w:r>
                              <w:rPr>
                                <w:rFonts w:hint="eastAsia"/>
                                <w:b/>
                                <w:bCs/>
                                <w:color w:val="000000"/>
                              </w:rPr>
                              <w:t>项目位置</w:t>
                            </w:r>
                          </w:p>
                        </w:txbxContent>
                      </v:textbox>
                    </v:shape>
                  </w:pict>
                </mc:Fallback>
              </mc:AlternateContent>
            </w:r>
            <w:r>
              <w:rPr>
                <w:rFonts w:hint="eastAsia"/>
                <w:color w:val="000000" w:themeColor="text1"/>
                <w14:textFill>
                  <w14:solidFill>
                    <w14:schemeClr w14:val="tx1"/>
                  </w14:solidFill>
                </w14:textFill>
              </w:rPr>
              <w:drawing>
                <wp:inline distT="0" distB="0" distL="0" distR="0">
                  <wp:extent cx="8633460" cy="5744210"/>
                  <wp:effectExtent l="0" t="0" r="0" b="0"/>
                  <wp:docPr id="1112" name="图片 61" descr="06产业功能布局图"/>
                  <wp:cNvGraphicFramePr/>
                  <a:graphic xmlns:a="http://schemas.openxmlformats.org/drawingml/2006/main">
                    <a:graphicData uri="http://schemas.openxmlformats.org/drawingml/2006/picture">
                      <pic:pic xmlns:pic="http://schemas.openxmlformats.org/drawingml/2006/picture">
                        <pic:nvPicPr>
                          <pic:cNvPr id="1112" name="图片 61" descr="06产业功能布局图"/>
                          <pic:cNvPicPr/>
                        </pic:nvPicPr>
                        <pic:blipFill>
                          <a:blip r:embed="rId75" cstate="print"/>
                          <a:srcRect t="1986" b="3941"/>
                          <a:stretch>
                            <a:fillRect/>
                          </a:stretch>
                        </pic:blipFill>
                        <pic:spPr>
                          <a:xfrm>
                            <a:off x="0" y="0"/>
                            <a:ext cx="8633460" cy="5744210"/>
                          </a:xfrm>
                          <a:prstGeom prst="rect">
                            <a:avLst/>
                          </a:prstGeom>
                        </pic:spPr>
                      </pic:pic>
                    </a:graphicData>
                  </a:graphic>
                </wp:inline>
              </w:drawing>
            </w:r>
          </w:p>
        </w:tc>
      </w:tr>
      <w:tr w14:paraId="143090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551E19BA">
            <w:pPr>
              <w:spacing w:line="360" w:lineRule="auto"/>
              <w:jc w:val="center"/>
              <w:rPr>
                <w:color w:val="000000" w:themeColor="text1"/>
                <w14:textFill>
                  <w14:solidFill>
                    <w14:schemeClr w14:val="tx1"/>
                  </w14:solidFill>
                </w14:textFill>
              </w:rPr>
            </w:pPr>
            <w:r>
              <w:rPr>
                <w:rFonts w:hint="eastAsia"/>
                <w:b/>
                <w:bCs/>
                <w:color w:val="000000" w:themeColor="text1"/>
                <w:sz w:val="24"/>
                <w14:textFill>
                  <w14:solidFill>
                    <w14:schemeClr w14:val="tx1"/>
                  </w14:solidFill>
                </w14:textFill>
              </w:rPr>
              <w:t xml:space="preserve">附图5 </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项目在镇平县先进制造业开发区产业功能布局图中的位置示意图</w:t>
            </w:r>
          </w:p>
        </w:tc>
      </w:tr>
    </w:tbl>
    <w:p w14:paraId="06709095">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75CBF6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0CD35360">
            <w:pPr>
              <w:jc w:val="center"/>
              <w:rPr>
                <w:color w:val="000000" w:themeColor="text1"/>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0" distR="0" simplePos="0" relativeHeight="251672576" behindDoc="0" locked="0" layoutInCell="1" allowOverlap="1">
                      <wp:simplePos x="0" y="0"/>
                      <wp:positionH relativeFrom="column">
                        <wp:posOffset>3569970</wp:posOffset>
                      </wp:positionH>
                      <wp:positionV relativeFrom="paragraph">
                        <wp:posOffset>2106930</wp:posOffset>
                      </wp:positionV>
                      <wp:extent cx="914400" cy="300990"/>
                      <wp:effectExtent l="226060" t="6350" r="21590" b="187960"/>
                      <wp:wrapNone/>
                      <wp:docPr id="1113" name="矩形标注 66"/>
                      <wp:cNvGraphicFramePr/>
                      <a:graphic xmlns:a="http://schemas.openxmlformats.org/drawingml/2006/main">
                        <a:graphicData uri="http://schemas.microsoft.com/office/word/2010/wordprocessingShape">
                          <wps:wsp>
                            <wps:cNvSpPr/>
                            <wps:spPr>
                              <a:xfrm>
                                <a:off x="0" y="0"/>
                                <a:ext cx="914400" cy="300989"/>
                              </a:xfrm>
                              <a:prstGeom prst="wedgeRectCallout">
                                <a:avLst>
                                  <a:gd name="adj1" fmla="val -69444"/>
                                  <a:gd name="adj2" fmla="val 104852"/>
                                </a:avLst>
                              </a:prstGeom>
                              <a:solidFill>
                                <a:srgbClr val="FFFF00"/>
                              </a:solidFill>
                              <a:ln w="12700" cap="flat" cmpd="sng">
                                <a:solidFill>
                                  <a:srgbClr val="000000"/>
                                </a:solidFill>
                                <a:prstDash val="solid"/>
                                <a:miter/>
                                <a:headEnd type="none" w="med" len="med"/>
                                <a:tailEnd type="none" w="med" len="med"/>
                              </a:ln>
                            </wps:spPr>
                            <wps:txbx>
                              <w:txbxContent>
                                <w:p w14:paraId="7C121960">
                                  <w:pPr>
                                    <w:rPr>
                                      <w:b/>
                                      <w:bCs/>
                                      <w:color w:val="000000"/>
                                    </w:rPr>
                                  </w:pPr>
                                  <w:r>
                                    <w:rPr>
                                      <w:rFonts w:hint="eastAsia"/>
                                      <w:b/>
                                      <w:bCs/>
                                      <w:color w:val="000000"/>
                                    </w:rPr>
                                    <w:t>项目位置</w:t>
                                  </w:r>
                                </w:p>
                              </w:txbxContent>
                            </wps:txbx>
                            <wps:bodyPr anchor="ctr" upright="1"/>
                          </wps:wsp>
                        </a:graphicData>
                      </a:graphic>
                    </wp:anchor>
                  </w:drawing>
                </mc:Choice>
                <mc:Fallback>
                  <w:pict>
                    <v:shape id="矩形标注 66" o:spid="_x0000_s1026" o:spt="61" type="#_x0000_t61" style="position:absolute;left:0pt;margin-left:281.1pt;margin-top:165.9pt;height:23.7pt;width:72pt;z-index:251672576;v-text-anchor:middle;mso-width-relative:page;mso-height-relative:page;" fillcolor="#FFFF00" filled="t" stroked="t" coordsize="21600,21600" o:gfxdata="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HiYdlzZAAAACwEAAA8AAAAAAAAAAQAg&#10;AAAAIgAAAGRycy9kb3ducmV2LnhtbFBLAQIUABQAAAAIAIdO4kDoOe8fRgIAAJ8EAAAOAAAAAAAA&#10;AAEAIAAAACgBAABkcnMvZTJvRG9jLnhtbFBLBQYAAAAABgAGAFkBAADgBQAAAAA=&#10;" adj="-4200,33448">
                      <v:fill on="t" focussize="0,0"/>
                      <v:stroke weight="1pt" color="#000000" joinstyle="miter"/>
                      <v:imagedata o:title=""/>
                      <o:lock v:ext="edit" aspectratio="f"/>
                      <v:textbox>
                        <w:txbxContent>
                          <w:p w14:paraId="7C121960">
                            <w:pPr>
                              <w:rPr>
                                <w:b/>
                                <w:bCs/>
                                <w:color w:val="000000"/>
                              </w:rPr>
                            </w:pPr>
                            <w:r>
                              <w:rPr>
                                <w:rFonts w:hint="eastAsia"/>
                                <w:b/>
                                <w:bCs/>
                                <w:color w:val="000000"/>
                              </w:rPr>
                              <w:t>项目位置</w:t>
                            </w:r>
                          </w:p>
                        </w:txbxContent>
                      </v:textbox>
                    </v:shape>
                  </w:pict>
                </mc:Fallback>
              </mc:AlternateContent>
            </w:r>
            <w:r>
              <w:rPr>
                <w:rFonts w:hint="eastAsia"/>
                <w:color w:val="000000" w:themeColor="text1"/>
                <w14:textFill>
                  <w14:solidFill>
                    <w14:schemeClr w14:val="tx1"/>
                  </w14:solidFill>
                </w14:textFill>
              </w:rPr>
              <w:drawing>
                <wp:inline distT="0" distB="0" distL="0" distR="0">
                  <wp:extent cx="8633460" cy="5636895"/>
                  <wp:effectExtent l="0" t="0" r="0" b="0"/>
                  <wp:docPr id="1114" name="图片 65" descr="05用地功能布局图"/>
                  <wp:cNvGraphicFramePr/>
                  <a:graphic xmlns:a="http://schemas.openxmlformats.org/drawingml/2006/main">
                    <a:graphicData uri="http://schemas.openxmlformats.org/drawingml/2006/picture">
                      <pic:pic xmlns:pic="http://schemas.openxmlformats.org/drawingml/2006/picture">
                        <pic:nvPicPr>
                          <pic:cNvPr id="1114" name="图片 65" descr="05用地功能布局图"/>
                          <pic:cNvPicPr/>
                        </pic:nvPicPr>
                        <pic:blipFill>
                          <a:blip r:embed="rId76" cstate="print"/>
                          <a:srcRect t="2860" b="4825"/>
                          <a:stretch>
                            <a:fillRect/>
                          </a:stretch>
                        </pic:blipFill>
                        <pic:spPr>
                          <a:xfrm>
                            <a:off x="0" y="0"/>
                            <a:ext cx="8633460" cy="5636895"/>
                          </a:xfrm>
                          <a:prstGeom prst="rect">
                            <a:avLst/>
                          </a:prstGeom>
                        </pic:spPr>
                      </pic:pic>
                    </a:graphicData>
                  </a:graphic>
                </wp:inline>
              </w:drawing>
            </w:r>
          </w:p>
        </w:tc>
      </w:tr>
      <w:tr w14:paraId="778FA8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4174" w:type="dxa"/>
            <w:vAlign w:val="center"/>
          </w:tcPr>
          <w:p w14:paraId="26905773">
            <w:pPr>
              <w:spacing w:line="360" w:lineRule="auto"/>
              <w:jc w:val="center"/>
              <w:rPr>
                <w:color w:val="000000" w:themeColor="text1"/>
                <w14:textFill>
                  <w14:solidFill>
                    <w14:schemeClr w14:val="tx1"/>
                  </w14:solidFill>
                </w14:textFill>
              </w:rPr>
            </w:pPr>
            <w:r>
              <w:rPr>
                <w:rFonts w:hint="eastAsia"/>
                <w:b/>
                <w:bCs/>
                <w:color w:val="000000" w:themeColor="text1"/>
                <w:sz w:val="24"/>
                <w14:textFill>
                  <w14:solidFill>
                    <w14:schemeClr w14:val="tx1"/>
                  </w14:solidFill>
                </w14:textFill>
              </w:rPr>
              <w:t xml:space="preserve">附图6 </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项目在镇平县先进制造业开发区用地功能布局图中的位置示意图</w:t>
            </w:r>
          </w:p>
        </w:tc>
      </w:tr>
    </w:tbl>
    <w:p w14:paraId="22297770">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271AF8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2C4D1940">
            <w:pPr>
              <w:jc w:val="center"/>
              <w:rPr>
                <w:color w:val="000000" w:themeColor="text1"/>
                <w:sz w:val="24"/>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0" distR="0" simplePos="0" relativeHeight="251673600" behindDoc="0" locked="0" layoutInCell="1" allowOverlap="1">
                      <wp:simplePos x="0" y="0"/>
                      <wp:positionH relativeFrom="column">
                        <wp:posOffset>3608070</wp:posOffset>
                      </wp:positionH>
                      <wp:positionV relativeFrom="paragraph">
                        <wp:posOffset>2190115</wp:posOffset>
                      </wp:positionV>
                      <wp:extent cx="914400" cy="300990"/>
                      <wp:effectExtent l="226060" t="6350" r="21590" b="187960"/>
                      <wp:wrapNone/>
                      <wp:docPr id="1115" name="矩形标注 67"/>
                      <wp:cNvGraphicFramePr/>
                      <a:graphic xmlns:a="http://schemas.openxmlformats.org/drawingml/2006/main">
                        <a:graphicData uri="http://schemas.microsoft.com/office/word/2010/wordprocessingShape">
                          <wps:wsp>
                            <wps:cNvSpPr/>
                            <wps:spPr>
                              <a:xfrm>
                                <a:off x="0" y="0"/>
                                <a:ext cx="914400" cy="300989"/>
                              </a:xfrm>
                              <a:prstGeom prst="wedgeRectCallout">
                                <a:avLst>
                                  <a:gd name="adj1" fmla="val -69444"/>
                                  <a:gd name="adj2" fmla="val 104852"/>
                                </a:avLst>
                              </a:prstGeom>
                              <a:solidFill>
                                <a:srgbClr val="FFFF00"/>
                              </a:solidFill>
                              <a:ln w="12700" cap="flat" cmpd="sng">
                                <a:solidFill>
                                  <a:srgbClr val="000000"/>
                                </a:solidFill>
                                <a:prstDash val="solid"/>
                                <a:miter/>
                                <a:headEnd type="none" w="med" len="med"/>
                                <a:tailEnd type="none" w="med" len="med"/>
                              </a:ln>
                            </wps:spPr>
                            <wps:txbx>
                              <w:txbxContent>
                                <w:p w14:paraId="211930E5">
                                  <w:pPr>
                                    <w:rPr>
                                      <w:b/>
                                      <w:bCs/>
                                      <w:color w:val="000000"/>
                                    </w:rPr>
                                  </w:pPr>
                                  <w:r>
                                    <w:rPr>
                                      <w:rFonts w:hint="eastAsia"/>
                                      <w:b/>
                                      <w:bCs/>
                                      <w:color w:val="000000"/>
                                    </w:rPr>
                                    <w:t>项目位置</w:t>
                                  </w:r>
                                </w:p>
                              </w:txbxContent>
                            </wps:txbx>
                            <wps:bodyPr anchor="ctr" upright="1"/>
                          </wps:wsp>
                        </a:graphicData>
                      </a:graphic>
                    </wp:anchor>
                  </w:drawing>
                </mc:Choice>
                <mc:Fallback>
                  <w:pict>
                    <v:shape id="矩形标注 67" o:spid="_x0000_s1026" o:spt="61" type="#_x0000_t61" style="position:absolute;left:0pt;margin-left:284.1pt;margin-top:172.45pt;height:23.7pt;width:72pt;z-index:251673600;v-text-anchor:middle;mso-width-relative:page;mso-height-relative:page;" fillcolor="#FFFF00" filled="t" stroked="t" coordsize="21600,21600" o:gfxdata="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" adj="-4200,33448">
                      <v:fill on="t" focussize="0,0"/>
                      <v:stroke weight="1pt" color="#000000" joinstyle="miter"/>
                      <v:imagedata o:title=""/>
                      <o:lock v:ext="edit" aspectratio="f"/>
                      <v:textbox>
                        <w:txbxContent>
                          <w:p w14:paraId="211930E5">
                            <w:pPr>
                              <w:rPr>
                                <w:b/>
                                <w:bCs/>
                                <w:color w:val="000000"/>
                              </w:rPr>
                            </w:pPr>
                            <w:r>
                              <w:rPr>
                                <w:rFonts w:hint="eastAsia"/>
                                <w:b/>
                                <w:bCs/>
                                <w:color w:val="000000"/>
                              </w:rPr>
                              <w:t>项目位置</w:t>
                            </w:r>
                          </w:p>
                        </w:txbxContent>
                      </v:textbox>
                    </v:shape>
                  </w:pict>
                </mc:Fallback>
              </mc:AlternateContent>
            </w:r>
            <w:r>
              <w:rPr>
                <w:rFonts w:hint="eastAsia"/>
                <w:color w:val="000000" w:themeColor="text1"/>
                <w:sz w:val="24"/>
                <w14:textFill>
                  <w14:solidFill>
                    <w14:schemeClr w14:val="tx1"/>
                  </w14:solidFill>
                </w14:textFill>
              </w:rPr>
              <w:drawing>
                <wp:inline distT="0" distB="0" distL="0" distR="0">
                  <wp:extent cx="8633460" cy="5671185"/>
                  <wp:effectExtent l="0" t="0" r="0" b="0"/>
                  <wp:docPr id="1116" name="图片 62" descr="09污水工程规划图_1"/>
                  <wp:cNvGraphicFramePr/>
                  <a:graphic xmlns:a="http://schemas.openxmlformats.org/drawingml/2006/main">
                    <a:graphicData uri="http://schemas.openxmlformats.org/drawingml/2006/picture">
                      <pic:pic xmlns:pic="http://schemas.openxmlformats.org/drawingml/2006/picture">
                        <pic:nvPicPr>
                          <pic:cNvPr id="1116" name="图片 62" descr="09污水工程规划图_1"/>
                          <pic:cNvPicPr/>
                        </pic:nvPicPr>
                        <pic:blipFill>
                          <a:blip r:embed="rId77" cstate="print"/>
                          <a:srcRect t="2329" b="4794"/>
                          <a:stretch>
                            <a:fillRect/>
                          </a:stretch>
                        </pic:blipFill>
                        <pic:spPr>
                          <a:xfrm>
                            <a:off x="0" y="0"/>
                            <a:ext cx="8633460" cy="5671185"/>
                          </a:xfrm>
                          <a:prstGeom prst="rect">
                            <a:avLst/>
                          </a:prstGeom>
                        </pic:spPr>
                      </pic:pic>
                    </a:graphicData>
                  </a:graphic>
                </wp:inline>
              </w:drawing>
            </w:r>
          </w:p>
        </w:tc>
      </w:tr>
      <w:tr w14:paraId="46BEDA6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14174" w:type="dxa"/>
            <w:vAlign w:val="center"/>
          </w:tcPr>
          <w:p w14:paraId="2AE47CEC">
            <w:pPr>
              <w:jc w:val="center"/>
              <w:rPr>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 xml:space="preserve">附图7 </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项目在镇平县先进制造业开发区污水工程规划图中的位置示意图</w:t>
            </w:r>
          </w:p>
        </w:tc>
      </w:tr>
    </w:tbl>
    <w:p w14:paraId="0F406145">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4174"/>
      </w:tblGrid>
      <w:tr w14:paraId="2F2C5D9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tcPr>
          <w:p w14:paraId="3A997AD7">
            <w:pPr>
              <w:jc w:val="center"/>
              <w:rPr>
                <w:color w:val="000000" w:themeColor="text1"/>
                <w14:textFill>
                  <w14:solidFill>
                    <w14:schemeClr w14:val="tx1"/>
                  </w14:solidFill>
                </w14:textFill>
              </w:rPr>
            </w:pPr>
          </w:p>
          <w:p w14:paraId="42D1829F">
            <w:pPr>
              <w:jc w:val="center"/>
              <w:rPr>
                <w:color w:val="000000" w:themeColor="text1"/>
                <w14:textFill>
                  <w14:solidFill>
                    <w14:schemeClr w14:val="tx1"/>
                  </w14:solidFill>
                </w14:textFill>
              </w:rPr>
            </w:pPr>
          </w:p>
          <w:p w14:paraId="6F995538">
            <w:pPr>
              <w:jc w:val="center"/>
              <w:rPr>
                <w:color w:val="000000" w:themeColor="text1"/>
                <w14:textFill>
                  <w14:solidFill>
                    <w14:schemeClr w14:val="tx1"/>
                  </w14:solidFill>
                </w14:textFill>
              </w:rPr>
            </w:pPr>
            <w:r>
              <w:rPr>
                <w:color w:val="000000" w:themeColor="text1"/>
                <w14:textFill>
                  <w14:solidFill>
                    <w14:schemeClr w14:val="tx1"/>
                  </w14:solidFill>
                </w14:textFill>
              </w:rPr>
              <mc:AlternateContent>
                <mc:Choice Requires="wpg">
                  <w:drawing>
                    <wp:anchor distT="0" distB="0" distL="0" distR="0" simplePos="0" relativeHeight="251674624" behindDoc="0" locked="0" layoutInCell="1" allowOverlap="1">
                      <wp:simplePos x="0" y="0"/>
                      <wp:positionH relativeFrom="column">
                        <wp:posOffset>8354695</wp:posOffset>
                      </wp:positionH>
                      <wp:positionV relativeFrom="paragraph">
                        <wp:posOffset>297815</wp:posOffset>
                      </wp:positionV>
                      <wp:extent cx="381635" cy="564515"/>
                      <wp:effectExtent l="80645" t="0" r="0" b="6985"/>
                      <wp:wrapNone/>
                      <wp:docPr id="1117" name="组合 45"/>
                      <wp:cNvGraphicFramePr/>
                      <a:graphic xmlns:a="http://schemas.openxmlformats.org/drawingml/2006/main">
                        <a:graphicData uri="http://schemas.microsoft.com/office/word/2010/wordprocessingGroup">
                          <wpg:wgp>
                            <wpg:cNvGrpSpPr/>
                            <wpg:grpSpPr>
                              <a:xfrm>
                                <a:off x="0" y="0"/>
                                <a:ext cx="381634" cy="564515"/>
                                <a:chOff x="16075" y="14959"/>
                                <a:chExt cx="601" cy="889"/>
                              </a:xfrm>
                            </wpg:grpSpPr>
                            <wps:wsp>
                              <wps:cNvPr id="13" name="直接箭头连接符 13"/>
                              <wps:cNvCnPr/>
                              <wps:spPr>
                                <a:xfrm flipV="1">
                                  <a:off x="16075" y="14959"/>
                                  <a:ext cx="0" cy="825"/>
                                </a:xfrm>
                                <a:prstGeom prst="straightConnector1">
                                  <a:avLst/>
                                </a:prstGeom>
                                <a:ln w="53975" cap="flat" cmpd="sng">
                                  <a:solidFill>
                                    <a:srgbClr val="000000"/>
                                  </a:solidFill>
                                  <a:prstDash val="solid"/>
                                  <a:miter/>
                                  <a:tailEnd type="triangle" w="med" len="med"/>
                                </a:ln>
                              </wps:spPr>
                              <wps:bodyPr/>
                            </wps:wsp>
                            <wps:wsp>
                              <wps:cNvPr id="14" name="矩形 14"/>
                              <wps:cNvSpPr/>
                              <wps:spPr>
                                <a:xfrm>
                                  <a:off x="16174" y="15196"/>
                                  <a:ext cx="503" cy="653"/>
                                </a:xfrm>
                                <a:prstGeom prst="rect">
                                  <a:avLst/>
                                </a:prstGeom>
                                <a:ln>
                                  <a:noFill/>
                                </a:ln>
                              </wps:spPr>
                              <wps:txbx>
                                <w:txbxContent>
                                  <w:p w14:paraId="3927B3B7">
                                    <w:pPr>
                                      <w:rPr>
                                        <w:b/>
                                        <w:bCs/>
                                        <w:sz w:val="40"/>
                                        <w:szCs w:val="28"/>
                                      </w:rPr>
                                    </w:pPr>
                                    <w:r>
                                      <w:rPr>
                                        <w:rFonts w:hint="eastAsia"/>
                                        <w:b/>
                                        <w:bCs/>
                                        <w:sz w:val="40"/>
                                        <w:szCs w:val="28"/>
                                      </w:rPr>
                                      <w:t>N</w:t>
                                    </w:r>
                                  </w:p>
                                </w:txbxContent>
                              </wps:txbx>
                              <wps:bodyPr vert="horz" wrap="square" lIns="91440" tIns="45720" rIns="91440" bIns="45720" anchor="t">
                                <a:noAutofit/>
                              </wps:bodyPr>
                            </wps:wsp>
                          </wpg:wgp>
                        </a:graphicData>
                      </a:graphic>
                    </wp:anchor>
                  </w:drawing>
                </mc:Choice>
                <mc:Fallback>
                  <w:pict>
                    <v:group id="组合 45" o:spid="_x0000_s1026" o:spt="203" style="position:absolute;left:0pt;margin-left:657.85pt;margin-top:23.45pt;height:44.45pt;width:30.05pt;z-index:251674624;mso-width-relative:page;mso-height-relative:page;" coordorigin="16075,14959" coordsize="601,889" o:gfxdata="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BlyjvXaAAAADAEAAA8AAAAAAAAAAQAgAAAAIgAAAGRycy9kb3ducmV2&#10;LnhtbFBLAQIUABQAAAAIAIdO4kDNXbFPFwMAANYGAAAOAAAAAAAAAAEAIAAAACkBAABkcnMvZTJv&#10;RG9jLnhtbFBLBQYAAAAABgAGAFkBAACyBgAAAAA=&#10;">
                      <o:lock v:ext="edit" aspectratio="f"/>
                      <v:shape id="_x0000_s1026" o:spid="_x0000_s1026" o:spt="32" type="#_x0000_t32" style="position:absolute;left:16075;top:14959;flip:y;height:825;width:0;" filled="f" stroked="t" coordsize="21600,21600" o:gfxdata="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YFxrsAAADb&#10;AAAADwAAAAAAAAABACAAAAAiAAAAZHJzL2Rvd25yZXYueG1sUEsBAhQAFAAAAAgAh07iQDMvBZ47&#10;AAAAOQAAABAAAAAAAAAAAQAgAAAACgEAAGRycy9zaGFwZXhtbC54bWxQSwUGAAAAAAYABgBbAQAA&#10;tAMAAAAA&#10;">
                        <v:fill on="f" focussize="0,0"/>
                        <v:stroke weight="4.25pt" color="#000000" joinstyle="miter" endarrow="block"/>
                        <v:imagedata o:title=""/>
                        <o:lock v:ext="edit" aspectratio="f"/>
                      </v:shape>
                      <v:rect id="_x0000_s1026" o:spid="_x0000_s1026" o:spt="1" style="position:absolute;left:16174;top:15196;height:653;width:503;" filled="f" stroked="f" coordsize="21600,21600" o:gfxdata="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vBKITugAAANsA&#10;AAAPAAAAAAAAAAEAIAAAACIAAABkcnMvZG93bnJldi54bWxQSwECFAAUAAAACACHTuJAMy8FnjsA&#10;AAA5AAAAEAAAAAAAAAABACAAAAAJAQAAZHJzL3NoYXBleG1sLnhtbFBLBQYAAAAABgAGAFsBAACz&#10;AwAAAAA=&#10;">
                        <v:fill on="f" focussize="0,0"/>
                        <v:stroke on="f"/>
                        <v:imagedata o:title=""/>
                        <o:lock v:ext="edit" aspectratio="f"/>
                        <v:textbox>
                          <w:txbxContent>
                            <w:p w14:paraId="3927B3B7">
                              <w:pPr>
                                <w:rPr>
                                  <w:b/>
                                  <w:bCs/>
                                  <w:sz w:val="40"/>
                                  <w:szCs w:val="28"/>
                                </w:rPr>
                              </w:pPr>
                              <w:r>
                                <w:rPr>
                                  <w:rFonts w:hint="eastAsia"/>
                                  <w:b/>
                                  <w:bCs/>
                                  <w:sz w:val="40"/>
                                  <w:szCs w:val="28"/>
                                </w:rPr>
                                <w:t>N</w:t>
                              </w:r>
                            </w:p>
                          </w:txbxContent>
                        </v:textbox>
                      </v:rect>
                    </v:group>
                  </w:pict>
                </mc:Fallback>
              </mc:AlternateContent>
            </w:r>
            <w:r>
              <w:rPr>
                <w:color w:val="000000" w:themeColor="text1"/>
                <w14:textFill>
                  <w14:solidFill>
                    <w14:schemeClr w14:val="tx1"/>
                  </w14:solidFill>
                </w14:textFill>
              </w:rPr>
              <w:drawing>
                <wp:inline distT="0" distB="0" distL="0" distR="0">
                  <wp:extent cx="9038590" cy="4668520"/>
                  <wp:effectExtent l="0" t="0" r="10160" b="17780"/>
                  <wp:docPr id="1120" name="图片 49"/>
                  <wp:cNvGraphicFramePr/>
                  <a:graphic xmlns:a="http://schemas.openxmlformats.org/drawingml/2006/main">
                    <a:graphicData uri="http://schemas.openxmlformats.org/drawingml/2006/picture">
                      <pic:pic xmlns:pic="http://schemas.openxmlformats.org/drawingml/2006/picture">
                        <pic:nvPicPr>
                          <pic:cNvPr id="1120" name="图片 49"/>
                          <pic:cNvPicPr/>
                        </pic:nvPicPr>
                        <pic:blipFill>
                          <a:blip r:embed="rId78" cstate="print"/>
                          <a:srcRect l="1297" r="2006"/>
                          <a:stretch>
                            <a:fillRect/>
                          </a:stretch>
                        </pic:blipFill>
                        <pic:spPr>
                          <a:xfrm>
                            <a:off x="0" y="0"/>
                            <a:ext cx="9038590" cy="4668520"/>
                          </a:xfrm>
                          <a:prstGeom prst="rect">
                            <a:avLst/>
                          </a:prstGeom>
                          <a:ln>
                            <a:noFill/>
                          </a:ln>
                        </pic:spPr>
                      </pic:pic>
                    </a:graphicData>
                  </a:graphic>
                </wp:inline>
              </w:drawing>
            </w:r>
          </w:p>
        </w:tc>
      </w:tr>
      <w:tr w14:paraId="3927AD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tcPr>
          <w:p w14:paraId="30D78D89">
            <w:pPr>
              <w:spacing w:line="360" w:lineRule="auto"/>
              <w:jc w:val="center"/>
              <w:rPr>
                <w:color w:val="000000" w:themeColor="text1"/>
                <w14:textFill>
                  <w14:solidFill>
                    <w14:schemeClr w14:val="tx1"/>
                  </w14:solidFill>
                </w14:textFill>
              </w:rPr>
            </w:pPr>
            <w:r>
              <w:rPr>
                <w:b/>
                <w:bCs/>
                <w:color w:val="000000" w:themeColor="text1"/>
                <w:kern w:val="0"/>
                <w:sz w:val="24"/>
                <w14:textFill>
                  <w14:solidFill>
                    <w14:schemeClr w14:val="tx1"/>
                  </w14:solidFill>
                </w14:textFill>
              </w:rPr>
              <w:t>附图</w:t>
            </w:r>
            <w:r>
              <w:rPr>
                <w:rFonts w:hint="eastAsia"/>
                <w:b/>
                <w:bCs/>
                <w:color w:val="000000" w:themeColor="text1"/>
                <w:kern w:val="0"/>
                <w:sz w:val="24"/>
                <w14:textFill>
                  <w14:solidFill>
                    <w14:schemeClr w14:val="tx1"/>
                  </w14:solidFill>
                </w14:textFill>
              </w:rPr>
              <w:t xml:space="preserve">8 </w:t>
            </w:r>
            <w:r>
              <w:rPr>
                <w:b/>
                <w:bCs/>
                <w:color w:val="000000" w:themeColor="text1"/>
                <w:kern w:val="0"/>
                <w:sz w:val="24"/>
                <w14:textFill>
                  <w14:solidFill>
                    <w14:schemeClr w14:val="tx1"/>
                  </w14:solidFill>
                </w14:textFill>
              </w:rPr>
              <w:t xml:space="preserve"> 项目区与南阳市生态环境管控单元分布位置关系图</w:t>
            </w:r>
          </w:p>
        </w:tc>
      </w:tr>
    </w:tbl>
    <w:p w14:paraId="6EC5422E">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930"/>
        <w:gridCol w:w="7244"/>
      </w:tblGrid>
      <w:tr w14:paraId="4DE4FC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87" w:type="dxa"/>
          </w:tcPr>
          <w:p w14:paraId="0C8A9711">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3784600" cy="2551430"/>
                  <wp:effectExtent l="0" t="0" r="6350" b="1270"/>
                  <wp:docPr id="1121" name="图片 50" descr="404061c7472355262630c1600120628"/>
                  <wp:cNvGraphicFramePr/>
                  <a:graphic xmlns:a="http://schemas.openxmlformats.org/drawingml/2006/main">
                    <a:graphicData uri="http://schemas.openxmlformats.org/drawingml/2006/picture">
                      <pic:pic xmlns:pic="http://schemas.openxmlformats.org/drawingml/2006/picture">
                        <pic:nvPicPr>
                          <pic:cNvPr id="1121" name="图片 50" descr="404061c7472355262630c1600120628"/>
                          <pic:cNvPicPr/>
                        </pic:nvPicPr>
                        <pic:blipFill>
                          <a:blip r:embed="rId79" cstate="print"/>
                          <a:srcRect/>
                          <a:stretch>
                            <a:fillRect/>
                          </a:stretch>
                        </pic:blipFill>
                        <pic:spPr>
                          <a:xfrm>
                            <a:off x="0" y="0"/>
                            <a:ext cx="3784600" cy="2551430"/>
                          </a:xfrm>
                          <a:prstGeom prst="rect">
                            <a:avLst/>
                          </a:prstGeom>
                        </pic:spPr>
                      </pic:pic>
                    </a:graphicData>
                  </a:graphic>
                </wp:inline>
              </w:drawing>
            </w:r>
          </w:p>
        </w:tc>
        <w:tc>
          <w:tcPr>
            <w:tcW w:w="7087" w:type="dxa"/>
            <w:vAlign w:val="center"/>
          </w:tcPr>
          <w:p w14:paraId="569B86B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4159250" cy="2414905"/>
                  <wp:effectExtent l="0" t="0" r="12700" b="4445"/>
                  <wp:docPr id="1122" name="图片 51" descr="d5beef47284e6226ba4586b92c78d4f"/>
                  <wp:cNvGraphicFramePr/>
                  <a:graphic xmlns:a="http://schemas.openxmlformats.org/drawingml/2006/main">
                    <a:graphicData uri="http://schemas.openxmlformats.org/drawingml/2006/picture">
                      <pic:pic xmlns:pic="http://schemas.openxmlformats.org/drawingml/2006/picture">
                        <pic:nvPicPr>
                          <pic:cNvPr id="1122" name="图片 51" descr="d5beef47284e6226ba4586b92c78d4f"/>
                          <pic:cNvPicPr/>
                        </pic:nvPicPr>
                        <pic:blipFill>
                          <a:blip r:embed="rId80" cstate="print"/>
                          <a:srcRect/>
                          <a:stretch>
                            <a:fillRect/>
                          </a:stretch>
                        </pic:blipFill>
                        <pic:spPr>
                          <a:xfrm>
                            <a:off x="0" y="0"/>
                            <a:ext cx="4159250" cy="2414905"/>
                          </a:xfrm>
                          <a:prstGeom prst="rect">
                            <a:avLst/>
                          </a:prstGeom>
                        </pic:spPr>
                      </pic:pic>
                    </a:graphicData>
                  </a:graphic>
                </wp:inline>
              </w:drawing>
            </w:r>
          </w:p>
        </w:tc>
      </w:tr>
      <w:tr w14:paraId="2222D0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87" w:type="dxa"/>
          </w:tcPr>
          <w:p w14:paraId="7FCC6B59">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东厂界</w:t>
            </w:r>
          </w:p>
        </w:tc>
        <w:tc>
          <w:tcPr>
            <w:tcW w:w="7087" w:type="dxa"/>
          </w:tcPr>
          <w:p w14:paraId="29F04235">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南厂界</w:t>
            </w:r>
          </w:p>
        </w:tc>
      </w:tr>
      <w:tr w14:paraId="46A4057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87" w:type="dxa"/>
          </w:tcPr>
          <w:p w14:paraId="7327CDB3">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3608705" cy="2459990"/>
                  <wp:effectExtent l="0" t="0" r="10795" b="16510"/>
                  <wp:docPr id="1123" name="图片 52" descr="fbc8b44c1d077a4d73b1c8e639ebc13"/>
                  <wp:cNvGraphicFramePr/>
                  <a:graphic xmlns:a="http://schemas.openxmlformats.org/drawingml/2006/main">
                    <a:graphicData uri="http://schemas.openxmlformats.org/drawingml/2006/picture">
                      <pic:pic xmlns:pic="http://schemas.openxmlformats.org/drawingml/2006/picture">
                        <pic:nvPicPr>
                          <pic:cNvPr id="1123" name="图片 52" descr="fbc8b44c1d077a4d73b1c8e639ebc13"/>
                          <pic:cNvPicPr/>
                        </pic:nvPicPr>
                        <pic:blipFill>
                          <a:blip r:embed="rId81" cstate="print"/>
                          <a:srcRect/>
                          <a:stretch>
                            <a:fillRect/>
                          </a:stretch>
                        </pic:blipFill>
                        <pic:spPr>
                          <a:xfrm>
                            <a:off x="0" y="0"/>
                            <a:ext cx="3608705" cy="2459990"/>
                          </a:xfrm>
                          <a:prstGeom prst="rect">
                            <a:avLst/>
                          </a:prstGeom>
                        </pic:spPr>
                      </pic:pic>
                    </a:graphicData>
                  </a:graphic>
                </wp:inline>
              </w:drawing>
            </w:r>
          </w:p>
        </w:tc>
        <w:tc>
          <w:tcPr>
            <w:tcW w:w="7087" w:type="dxa"/>
          </w:tcPr>
          <w:p w14:paraId="4C40DF0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3887470" cy="2510790"/>
                  <wp:effectExtent l="0" t="0" r="17780" b="3810"/>
                  <wp:docPr id="1124" name="图片 53" descr="f2c9c4738017a5bd28ef6542cbd9d66"/>
                  <wp:cNvGraphicFramePr/>
                  <a:graphic xmlns:a="http://schemas.openxmlformats.org/drawingml/2006/main">
                    <a:graphicData uri="http://schemas.openxmlformats.org/drawingml/2006/picture">
                      <pic:pic xmlns:pic="http://schemas.openxmlformats.org/drawingml/2006/picture">
                        <pic:nvPicPr>
                          <pic:cNvPr id="1124" name="图片 53" descr="f2c9c4738017a5bd28ef6542cbd9d66"/>
                          <pic:cNvPicPr/>
                        </pic:nvPicPr>
                        <pic:blipFill>
                          <a:blip r:embed="rId82" cstate="print"/>
                          <a:srcRect t="14259" b="20263"/>
                          <a:stretch>
                            <a:fillRect/>
                          </a:stretch>
                        </pic:blipFill>
                        <pic:spPr>
                          <a:xfrm>
                            <a:off x="0" y="0"/>
                            <a:ext cx="3887470" cy="2510790"/>
                          </a:xfrm>
                          <a:prstGeom prst="rect">
                            <a:avLst/>
                          </a:prstGeom>
                        </pic:spPr>
                      </pic:pic>
                    </a:graphicData>
                  </a:graphic>
                </wp:inline>
              </w:drawing>
            </w:r>
          </w:p>
        </w:tc>
      </w:tr>
      <w:tr w14:paraId="44F69A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7087" w:type="dxa"/>
          </w:tcPr>
          <w:p w14:paraId="1F1E5A2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西厂界</w:t>
            </w:r>
          </w:p>
        </w:tc>
        <w:tc>
          <w:tcPr>
            <w:tcW w:w="7087" w:type="dxa"/>
          </w:tcPr>
          <w:p w14:paraId="5E6896E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北厂界</w:t>
            </w:r>
          </w:p>
        </w:tc>
      </w:tr>
      <w:tr w14:paraId="61F359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4174" w:type="dxa"/>
            <w:gridSpan w:val="2"/>
            <w:tcBorders>
              <w:bottom w:val="nil"/>
            </w:tcBorders>
          </w:tcPr>
          <w:p w14:paraId="7F5BBB1B">
            <w:pPr>
              <w:jc w:val="center"/>
              <w:rPr>
                <w:color w:val="000000" w:themeColor="text1"/>
                <w14:textFill>
                  <w14:solidFill>
                    <w14:schemeClr w14:val="tx1"/>
                  </w14:solidFill>
                </w14:textFill>
              </w:rPr>
            </w:pPr>
            <w:r>
              <w:rPr>
                <w:b/>
                <w:bCs/>
                <w:color w:val="000000" w:themeColor="text1"/>
                <w:sz w:val="24"/>
                <w14:textFill>
                  <w14:solidFill>
                    <w14:schemeClr w14:val="tx1"/>
                  </w14:solidFill>
                </w14:textFill>
              </w:rPr>
              <w:t>附图</w:t>
            </w:r>
            <w:r>
              <w:rPr>
                <w:rFonts w:hint="eastAsia"/>
                <w:b/>
                <w:bCs/>
                <w:color w:val="000000" w:themeColor="text1"/>
                <w:sz w:val="24"/>
                <w14:textFill>
                  <w14:solidFill>
                    <w14:schemeClr w14:val="tx1"/>
                  </w14:solidFill>
                </w14:textFill>
              </w:rPr>
              <w:t>9</w:t>
            </w:r>
            <w:r>
              <w:rPr>
                <w:b/>
                <w:bCs/>
                <w:color w:val="000000" w:themeColor="text1"/>
                <w:sz w:val="24"/>
                <w14:textFill>
                  <w14:solidFill>
                    <w14:schemeClr w14:val="tx1"/>
                  </w14:solidFill>
                </w14:textFill>
              </w:rPr>
              <w:t xml:space="preserve">  </w:t>
            </w:r>
            <w:r>
              <w:rPr>
                <w:rFonts w:hint="eastAsia"/>
                <w:b/>
                <w:bCs/>
                <w:color w:val="000000" w:themeColor="text1"/>
                <w:sz w:val="24"/>
                <w14:textFill>
                  <w14:solidFill>
                    <w14:schemeClr w14:val="tx1"/>
                  </w14:solidFill>
                </w14:textFill>
              </w:rPr>
              <w:t>项目四周厂界照片</w:t>
            </w:r>
          </w:p>
        </w:tc>
      </w:tr>
      <w:tr w14:paraId="4C620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gridSpan w:val="2"/>
            <w:tcBorders>
              <w:top w:val="nil"/>
              <w:left w:val="nil"/>
              <w:bottom w:val="nil"/>
              <w:right w:val="nil"/>
            </w:tcBorders>
          </w:tcPr>
          <w:p w14:paraId="4C7A14DA">
            <w:pPr>
              <w:rPr>
                <w:color w:val="000000" w:themeColor="text1"/>
                <w14:textFill>
                  <w14:solidFill>
                    <w14:schemeClr w14:val="tx1"/>
                  </w14:solidFill>
                </w14:textFill>
              </w:rPr>
            </w:pPr>
          </w:p>
          <w:p w14:paraId="746C9B71">
            <w:pPr>
              <w:rPr>
                <w:color w:val="000000" w:themeColor="text1"/>
                <w14:textFill>
                  <w14:solidFill>
                    <w14:schemeClr w14:val="tx1"/>
                  </w14:solidFill>
                </w14:textFill>
              </w:rPr>
            </w:pPr>
          </w:p>
          <w:p w14:paraId="6C334A87">
            <w:pP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9153525" cy="4584065"/>
                  <wp:effectExtent l="0" t="0" r="9525" b="6985"/>
                  <wp:docPr id="1125" name="图片 54" descr="85b226411d416600bdbd554cd78a335"/>
                  <wp:cNvGraphicFramePr/>
                  <a:graphic xmlns:a="http://schemas.openxmlformats.org/drawingml/2006/main">
                    <a:graphicData uri="http://schemas.openxmlformats.org/drawingml/2006/picture">
                      <pic:pic xmlns:pic="http://schemas.openxmlformats.org/drawingml/2006/picture">
                        <pic:nvPicPr>
                          <pic:cNvPr id="1125" name="图片 54" descr="85b226411d416600bdbd554cd78a335"/>
                          <pic:cNvPicPr/>
                        </pic:nvPicPr>
                        <pic:blipFill>
                          <a:blip r:embed="rId83" cstate="print"/>
                          <a:srcRect r="10104"/>
                          <a:stretch>
                            <a:fillRect/>
                          </a:stretch>
                        </pic:blipFill>
                        <pic:spPr>
                          <a:xfrm>
                            <a:off x="0" y="0"/>
                            <a:ext cx="9153525" cy="4584065"/>
                          </a:xfrm>
                          <a:prstGeom prst="rect">
                            <a:avLst/>
                          </a:prstGeom>
                        </pic:spPr>
                      </pic:pic>
                    </a:graphicData>
                  </a:graphic>
                </wp:inline>
              </w:drawing>
            </w:r>
          </w:p>
        </w:tc>
      </w:tr>
      <w:tr w14:paraId="42C71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74" w:type="dxa"/>
            <w:gridSpan w:val="2"/>
            <w:tcBorders>
              <w:top w:val="nil"/>
              <w:left w:val="nil"/>
              <w:bottom w:val="nil"/>
              <w:right w:val="nil"/>
            </w:tcBorders>
          </w:tcPr>
          <w:p w14:paraId="3A94A0C5">
            <w:pPr>
              <w:spacing w:line="360" w:lineRule="auto"/>
              <w:jc w:val="center"/>
              <w:rPr>
                <w:color w:val="000000" w:themeColor="text1"/>
                <w14:textFill>
                  <w14:solidFill>
                    <w14:schemeClr w14:val="tx1"/>
                  </w14:solidFill>
                </w14:textFill>
              </w:rPr>
            </w:pPr>
            <w:r>
              <w:rPr>
                <w:rFonts w:hint="eastAsia"/>
                <w:b/>
                <w:bCs/>
                <w:color w:val="000000" w:themeColor="text1"/>
                <w:sz w:val="24"/>
                <w14:textFill>
                  <w14:solidFill>
                    <w14:schemeClr w14:val="tx1"/>
                  </w14:solidFill>
                </w14:textFill>
              </w:rPr>
              <w:t>附图10  工程师现场照片</w:t>
            </w:r>
          </w:p>
        </w:tc>
      </w:tr>
    </w:tbl>
    <w:p w14:paraId="1CC087F4">
      <w:pPr>
        <w:rPr>
          <w:color w:val="000000" w:themeColor="text1"/>
          <w14:textFill>
            <w14:solidFill>
              <w14:schemeClr w14:val="tx1"/>
            </w14:solidFill>
          </w14:textFill>
        </w:rPr>
      </w:pPr>
    </w:p>
    <w:p w14:paraId="2E89916D">
      <w:pPr>
        <w:rPr>
          <w:color w:val="000000" w:themeColor="text1"/>
          <w14:textFill>
            <w14:solidFill>
              <w14:schemeClr w14:val="tx1"/>
            </w14:solidFill>
          </w14:textFill>
        </w:rPr>
        <w:sectPr>
          <w:pgSz w:w="16838" w:h="11906" w:orient="landscape"/>
          <w:pgMar w:top="1083" w:right="1440" w:bottom="1083" w:left="1440" w:header="851" w:footer="992" w:gutter="0"/>
          <w:pgNumType w:fmt="decimal"/>
          <w:cols w:space="0" w:num="1"/>
          <w:docGrid w:type="lines" w:linePitch="312" w:charSpace="0"/>
        </w:sectPr>
      </w:pPr>
    </w:p>
    <w:p w14:paraId="73609FB1">
      <w:pPr>
        <w:jc w:val="center"/>
        <w:rPr>
          <w:rFonts w:eastAsia="楷体"/>
          <w:color w:val="000000" w:themeColor="text1"/>
          <w:sz w:val="32"/>
          <w:szCs w:val="32"/>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r>
        <w:rPr>
          <w:color w:val="000000" w:themeColor="text1"/>
          <w14:textFill>
            <w14:solidFill>
              <w14:schemeClr w14:val="tx1"/>
            </w14:solidFill>
          </w14:textFill>
        </w:rPr>
        <w:drawing>
          <wp:inline distT="0" distB="0" distL="114300" distR="114300">
            <wp:extent cx="6177280" cy="8732520"/>
            <wp:effectExtent l="0" t="0" r="13970" b="1143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84"/>
                    <a:stretch>
                      <a:fillRect/>
                    </a:stretch>
                  </pic:blipFill>
                  <pic:spPr>
                    <a:xfrm>
                      <a:off x="0" y="0"/>
                      <a:ext cx="6177280" cy="873252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0" distR="0">
            <wp:extent cx="6014085" cy="8521700"/>
            <wp:effectExtent l="0" t="0" r="5715" b="12700"/>
            <wp:docPr id="1126" name="图片 13"/>
            <wp:cNvGraphicFramePr/>
            <a:graphic xmlns:a="http://schemas.openxmlformats.org/drawingml/2006/main">
              <a:graphicData uri="http://schemas.openxmlformats.org/drawingml/2006/picture">
                <pic:pic xmlns:pic="http://schemas.openxmlformats.org/drawingml/2006/picture">
                  <pic:nvPicPr>
                    <pic:cNvPr id="1126" name="图片 13"/>
                    <pic:cNvPicPr/>
                  </pic:nvPicPr>
                  <pic:blipFill>
                    <a:blip r:embed="rId85" cstate="print"/>
                    <a:srcRect/>
                    <a:stretch>
                      <a:fillRect/>
                    </a:stretch>
                  </pic:blipFill>
                  <pic:spPr>
                    <a:xfrm>
                      <a:off x="0" y="0"/>
                      <a:ext cx="6014085" cy="8521700"/>
                    </a:xfrm>
                    <a:prstGeom prst="rect">
                      <a:avLst/>
                    </a:prstGeom>
                    <a:ln>
                      <a:noFill/>
                    </a:ln>
                  </pic:spPr>
                </pic:pic>
              </a:graphicData>
            </a:graphic>
          </wp:inline>
        </w:drawing>
      </w:r>
    </w:p>
    <w:p w14:paraId="52D3FCED">
      <w:pPr>
        <w:jc w:val="center"/>
        <w:rPr>
          <w:rFonts w:eastAsia="楷体"/>
          <w:color w:val="000000" w:themeColor="text1"/>
          <w:sz w:val="32"/>
          <w:szCs w:val="32"/>
          <w14:textFill>
            <w14:solidFill>
              <w14:schemeClr w14:val="tx1"/>
            </w14:solidFill>
          </w14:textFill>
        </w:rPr>
      </w:pPr>
      <w:r>
        <w:rPr>
          <w:rFonts w:hint="eastAsia" w:eastAsia="楷体"/>
          <w:color w:val="000000" w:themeColor="text1"/>
          <w:sz w:val="32"/>
          <w:szCs w:val="32"/>
          <w14:textFill>
            <w14:solidFill>
              <w14:schemeClr w14:val="tx1"/>
            </w14:solidFill>
          </w14:textFill>
        </w:rPr>
        <w:drawing>
          <wp:inline distT="0" distB="0" distL="0" distR="0">
            <wp:extent cx="6179185" cy="8498205"/>
            <wp:effectExtent l="0" t="0" r="12065" b="17145"/>
            <wp:docPr id="1127" name="图片 56" descr="6fcf4815298fd152a4878bd7dbb49e4"/>
            <wp:cNvGraphicFramePr/>
            <a:graphic xmlns:a="http://schemas.openxmlformats.org/drawingml/2006/main">
              <a:graphicData uri="http://schemas.openxmlformats.org/drawingml/2006/picture">
                <pic:pic xmlns:pic="http://schemas.openxmlformats.org/drawingml/2006/picture">
                  <pic:nvPicPr>
                    <pic:cNvPr id="1127" name="图片 56" descr="6fcf4815298fd152a4878bd7dbb49e4"/>
                    <pic:cNvPicPr/>
                  </pic:nvPicPr>
                  <pic:blipFill>
                    <a:blip r:embed="rId86" cstate="print"/>
                    <a:srcRect/>
                    <a:stretch>
                      <a:fillRect/>
                    </a:stretch>
                  </pic:blipFill>
                  <pic:spPr>
                    <a:xfrm>
                      <a:off x="0" y="0"/>
                      <a:ext cx="6179185" cy="8498205"/>
                    </a:xfrm>
                    <a:prstGeom prst="rect">
                      <a:avLst/>
                    </a:prstGeom>
                  </pic:spPr>
                </pic:pic>
              </a:graphicData>
            </a:graphic>
          </wp:inline>
        </w:drawing>
      </w:r>
    </w:p>
    <w:p w14:paraId="756C83AE">
      <w:pPr>
        <w:jc w:val="center"/>
        <w:rPr>
          <w:rFonts w:eastAsia="楷体"/>
          <w:color w:val="000000" w:themeColor="text1"/>
          <w:sz w:val="32"/>
          <w:szCs w:val="32"/>
          <w14:textFill>
            <w14:solidFill>
              <w14:schemeClr w14:val="tx1"/>
            </w14:solidFill>
          </w14:textFill>
        </w:rPr>
      </w:pPr>
    </w:p>
    <w:p w14:paraId="0D087C61">
      <w:pPr>
        <w:jc w:val="center"/>
        <w:rPr>
          <w:rFonts w:eastAsia="楷体"/>
          <w:color w:val="000000" w:themeColor="text1"/>
          <w:sz w:val="32"/>
          <w:szCs w:val="32"/>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tbl>
      <w:tblPr>
        <w:tblStyle w:val="26"/>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56"/>
      </w:tblGrid>
      <w:tr w14:paraId="005559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75DCA4B9">
            <w:pPr>
              <w:jc w:val="center"/>
              <w:rPr>
                <w:rFonts w:eastAsia="楷体"/>
                <w:color w:val="000000" w:themeColor="text1"/>
                <w:sz w:val="24"/>
                <w14:textFill>
                  <w14:solidFill>
                    <w14:schemeClr w14:val="tx1"/>
                  </w14:solidFill>
                </w14:textFill>
              </w:rPr>
            </w:pPr>
            <w:r>
              <w:rPr>
                <w:rFonts w:hint="eastAsia" w:eastAsia="楷体"/>
                <w:color w:val="000000" w:themeColor="text1"/>
                <w:sz w:val="24"/>
                <w14:textFill>
                  <w14:solidFill>
                    <w14:schemeClr w14:val="tx1"/>
                  </w14:solidFill>
                </w14:textFill>
              </w:rPr>
              <w:drawing>
                <wp:inline distT="0" distB="0" distL="114300" distR="114300">
                  <wp:extent cx="5378450" cy="8858885"/>
                  <wp:effectExtent l="0" t="0" r="12700" b="18415"/>
                  <wp:docPr id="3" name="图片 3" descr="ab518da0c112a437d57fd7fe8ca30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ab518da0c112a437d57fd7fe8ca30e13"/>
                          <pic:cNvPicPr>
                            <a:picLocks noChangeAspect="1"/>
                          </pic:cNvPicPr>
                        </pic:nvPicPr>
                        <pic:blipFill>
                          <a:blip r:embed="rId87"/>
                          <a:stretch>
                            <a:fillRect/>
                          </a:stretch>
                        </pic:blipFill>
                        <pic:spPr>
                          <a:xfrm>
                            <a:off x="0" y="0"/>
                            <a:ext cx="5378450" cy="8858885"/>
                          </a:xfrm>
                          <a:prstGeom prst="rect">
                            <a:avLst/>
                          </a:prstGeom>
                        </pic:spPr>
                      </pic:pic>
                    </a:graphicData>
                  </a:graphic>
                </wp:inline>
              </w:drawing>
            </w:r>
          </w:p>
        </w:tc>
      </w:tr>
      <w:tr w14:paraId="796047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772EB38C">
            <w:pPr>
              <w:jc w:val="center"/>
              <w:rPr>
                <w:rFonts w:eastAsia="楷体"/>
                <w:color w:val="000000" w:themeColor="text1"/>
                <w:sz w:val="24"/>
                <w14:textFill>
                  <w14:solidFill>
                    <w14:schemeClr w14:val="tx1"/>
                  </w14:solidFill>
                </w14:textFill>
              </w:rPr>
            </w:pPr>
            <w:r>
              <w:rPr>
                <w:rFonts w:hint="eastAsia" w:eastAsia="楷体"/>
                <w:color w:val="000000" w:themeColor="text1"/>
                <w:sz w:val="24"/>
                <w14:textFill>
                  <w14:solidFill>
                    <w14:schemeClr w14:val="tx1"/>
                  </w14:solidFill>
                </w14:textFill>
              </w:rPr>
              <w:drawing>
                <wp:inline distT="0" distB="0" distL="114300" distR="114300">
                  <wp:extent cx="5378450" cy="8858885"/>
                  <wp:effectExtent l="0" t="0" r="12700" b="18415"/>
                  <wp:docPr id="4" name="图片 4" descr="f9f2e80dc2770352ebf49ce7fa36a6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9f2e80dc2770352ebf49ce7fa36a6cf"/>
                          <pic:cNvPicPr>
                            <a:picLocks noChangeAspect="1"/>
                          </pic:cNvPicPr>
                        </pic:nvPicPr>
                        <pic:blipFill>
                          <a:blip r:embed="rId88"/>
                          <a:stretch>
                            <a:fillRect/>
                          </a:stretch>
                        </pic:blipFill>
                        <pic:spPr>
                          <a:xfrm>
                            <a:off x="0" y="0"/>
                            <a:ext cx="5378450" cy="8858885"/>
                          </a:xfrm>
                          <a:prstGeom prst="rect">
                            <a:avLst/>
                          </a:prstGeom>
                        </pic:spPr>
                      </pic:pic>
                    </a:graphicData>
                  </a:graphic>
                </wp:inline>
              </w:drawing>
            </w:r>
          </w:p>
        </w:tc>
      </w:tr>
      <w:tr w14:paraId="21709A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7B5DCE15">
            <w:pPr>
              <w:jc w:val="center"/>
              <w:rPr>
                <w:rFonts w:eastAsia="楷体"/>
                <w:color w:val="000000" w:themeColor="text1"/>
                <w:sz w:val="24"/>
                <w14:textFill>
                  <w14:solidFill>
                    <w14:schemeClr w14:val="tx1"/>
                  </w14:solidFill>
                </w14:textFill>
              </w:rPr>
            </w:pPr>
            <w:r>
              <w:rPr>
                <w:rFonts w:hint="eastAsia" w:eastAsia="楷体"/>
                <w:color w:val="000000" w:themeColor="text1"/>
                <w:sz w:val="24"/>
                <w14:textFill>
                  <w14:solidFill>
                    <w14:schemeClr w14:val="tx1"/>
                  </w14:solidFill>
                </w14:textFill>
              </w:rPr>
              <w:drawing>
                <wp:inline distT="0" distB="0" distL="114300" distR="114300">
                  <wp:extent cx="5378450" cy="8858885"/>
                  <wp:effectExtent l="0" t="0" r="12700" b="18415"/>
                  <wp:docPr id="35" name="图片 35" descr="963cd0fe25ddd67b88a99ca569ceb5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963cd0fe25ddd67b88a99ca569ceb5ad"/>
                          <pic:cNvPicPr>
                            <a:picLocks noChangeAspect="1"/>
                          </pic:cNvPicPr>
                        </pic:nvPicPr>
                        <pic:blipFill>
                          <a:blip r:embed="rId89"/>
                          <a:stretch>
                            <a:fillRect/>
                          </a:stretch>
                        </pic:blipFill>
                        <pic:spPr>
                          <a:xfrm>
                            <a:off x="0" y="0"/>
                            <a:ext cx="5378450" cy="8858885"/>
                          </a:xfrm>
                          <a:prstGeom prst="rect">
                            <a:avLst/>
                          </a:prstGeom>
                        </pic:spPr>
                      </pic:pic>
                    </a:graphicData>
                  </a:graphic>
                </wp:inline>
              </w:drawing>
            </w:r>
          </w:p>
        </w:tc>
      </w:tr>
      <w:tr w14:paraId="515F85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454" w:hRule="atLeast"/>
        </w:trPr>
        <w:tc>
          <w:tcPr>
            <w:tcW w:w="9956" w:type="dxa"/>
            <w:vAlign w:val="center"/>
          </w:tcPr>
          <w:p w14:paraId="4788BFA3">
            <w:pPr>
              <w:jc w:val="center"/>
              <w:rPr>
                <w:rFonts w:eastAsia="楷体"/>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6177280" cy="8732520"/>
                  <wp:effectExtent l="0" t="0" r="13970" b="11430"/>
                  <wp:docPr id="3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pic:cNvPicPr>
                            <a:picLocks noChangeAspect="1"/>
                          </pic:cNvPicPr>
                        </pic:nvPicPr>
                        <pic:blipFill>
                          <a:blip r:embed="rId90"/>
                          <a:stretch>
                            <a:fillRect/>
                          </a:stretch>
                        </pic:blipFill>
                        <pic:spPr>
                          <a:xfrm>
                            <a:off x="0" y="0"/>
                            <a:ext cx="6177280" cy="8732520"/>
                          </a:xfrm>
                          <a:prstGeom prst="rect">
                            <a:avLst/>
                          </a:prstGeom>
                          <a:noFill/>
                          <a:ln>
                            <a:noFill/>
                          </a:ln>
                        </pic:spPr>
                      </pic:pic>
                    </a:graphicData>
                  </a:graphic>
                </wp:inline>
              </w:drawing>
            </w:r>
          </w:p>
        </w:tc>
      </w:tr>
      <w:tr w14:paraId="184851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9956" w:type="dxa"/>
            <w:vAlign w:val="center"/>
          </w:tcPr>
          <w:p w14:paraId="2E467910">
            <w:pPr>
              <w:jc w:val="center"/>
              <w:rPr>
                <w:rFonts w:eastAsia="楷体"/>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6177280" cy="8732520"/>
                  <wp:effectExtent l="0" t="0" r="13970" b="11430"/>
                  <wp:docPr id="3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0"/>
                          <pic:cNvPicPr>
                            <a:picLocks noChangeAspect="1"/>
                          </pic:cNvPicPr>
                        </pic:nvPicPr>
                        <pic:blipFill>
                          <a:blip r:embed="rId91"/>
                          <a:stretch>
                            <a:fillRect/>
                          </a:stretch>
                        </pic:blipFill>
                        <pic:spPr>
                          <a:xfrm>
                            <a:off x="0" y="0"/>
                            <a:ext cx="6177280" cy="8732520"/>
                          </a:xfrm>
                          <a:prstGeom prst="rect">
                            <a:avLst/>
                          </a:prstGeom>
                          <a:noFill/>
                          <a:ln>
                            <a:noFill/>
                          </a:ln>
                        </pic:spPr>
                      </pic:pic>
                    </a:graphicData>
                  </a:graphic>
                </wp:inline>
              </w:drawing>
            </w:r>
          </w:p>
        </w:tc>
      </w:tr>
    </w:tbl>
    <w:p w14:paraId="2F73F344">
      <w:pPr>
        <w:jc w:val="center"/>
        <w:rPr>
          <w:rFonts w:eastAsia="楷体"/>
          <w:color w:val="000000" w:themeColor="text1"/>
          <w:sz w:val="32"/>
          <w:szCs w:val="32"/>
          <w14:textFill>
            <w14:solidFill>
              <w14:schemeClr w14:val="tx1"/>
            </w14:solidFill>
          </w14:textFill>
        </w:rPr>
        <w:sectPr>
          <w:pgSz w:w="11906" w:h="16838"/>
          <w:pgMar w:top="1440" w:right="1083" w:bottom="1440" w:left="1083" w:header="851" w:footer="992" w:gutter="0"/>
          <w:pgNumType w:fmt="decimal"/>
          <w:cols w:space="0" w:num="1"/>
          <w:docGrid w:type="lines" w:linePitch="312" w:charSpace="0"/>
        </w:sectPr>
      </w:pPr>
    </w:p>
    <w:p w14:paraId="63FA5D05">
      <w:pPr>
        <w:jc w:val="center"/>
        <w:rPr>
          <w:rFonts w:hint="eastAsia" w:eastAsia="楷体"/>
          <w:color w:val="000000" w:themeColor="text1"/>
          <w:sz w:val="32"/>
          <w:szCs w:val="32"/>
          <w:lang w:eastAsia="zh-CN"/>
          <w14:textFill>
            <w14:solidFill>
              <w14:schemeClr w14:val="tx1"/>
            </w14:solidFill>
          </w14:textFill>
        </w:rPr>
        <w:sectPr>
          <w:pgSz w:w="16838" w:h="11906" w:orient="landscape"/>
          <w:pgMar w:top="0" w:right="0" w:bottom="0" w:left="0" w:header="851" w:footer="992" w:gutter="0"/>
          <w:pgNumType w:fmt="decimal"/>
          <w:cols w:space="0" w:num="1"/>
          <w:docGrid w:type="lines" w:linePitch="312" w:charSpace="0"/>
        </w:sectPr>
      </w:pPr>
      <w:r>
        <w:rPr>
          <w:rFonts w:hint="eastAsia" w:eastAsia="楷体"/>
          <w:color w:val="000000" w:themeColor="text1"/>
          <w:sz w:val="32"/>
          <w:szCs w:val="32"/>
          <w:lang w:eastAsia="zh-CN"/>
          <w14:textFill>
            <w14:solidFill>
              <w14:schemeClr w14:val="tx1"/>
            </w14:solidFill>
          </w14:textFill>
        </w:rPr>
        <w:drawing>
          <wp:inline distT="0" distB="0" distL="114300" distR="114300">
            <wp:extent cx="7613015" cy="10471150"/>
            <wp:effectExtent l="0" t="0" r="6350" b="6985"/>
            <wp:docPr id="40" name="图片 40" descr="8523f2278aa83b11d226d24fcf905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8523f2278aa83b11d226d24fcf905549"/>
                    <pic:cNvPicPr>
                      <a:picLocks noChangeAspect="1"/>
                    </pic:cNvPicPr>
                  </pic:nvPicPr>
                  <pic:blipFill>
                    <a:blip r:embed="rId92"/>
                    <a:stretch>
                      <a:fillRect/>
                    </a:stretch>
                  </pic:blipFill>
                  <pic:spPr>
                    <a:xfrm rot="5400000">
                      <a:off x="0" y="0"/>
                      <a:ext cx="7613015" cy="10471150"/>
                    </a:xfrm>
                    <a:prstGeom prst="rect">
                      <a:avLst/>
                    </a:prstGeom>
                  </pic:spPr>
                </pic:pic>
              </a:graphicData>
            </a:graphic>
          </wp:inline>
        </w:drawing>
      </w:r>
    </w:p>
    <w:p w14:paraId="2FD51CB0">
      <w:pPr>
        <w:jc w:val="center"/>
        <w:rPr>
          <w:rFonts w:eastAsia="楷体"/>
          <w:color w:val="000000" w:themeColor="text1"/>
          <w:sz w:val="32"/>
          <w:szCs w:val="32"/>
          <w14:textFill>
            <w14:solidFill>
              <w14:schemeClr w14:val="tx1"/>
            </w14:solidFill>
          </w14:textFill>
        </w:rPr>
        <w:sectPr>
          <w:pgSz w:w="16838" w:h="11906" w:orient="landscape"/>
          <w:pgMar w:top="0" w:right="0" w:bottom="0" w:left="0" w:header="851" w:footer="992" w:gutter="0"/>
          <w:pgNumType w:fmt="decimal"/>
          <w:cols w:space="0" w:num="1"/>
          <w:docGrid w:type="lines" w:linePitch="312" w:charSpace="0"/>
        </w:sectPr>
      </w:pPr>
      <w:r>
        <w:rPr>
          <w:rFonts w:eastAsia="楷体"/>
          <w:color w:val="000000" w:themeColor="text1"/>
          <w:sz w:val="32"/>
          <w:szCs w:val="32"/>
          <w14:textFill>
            <w14:solidFill>
              <w14:schemeClr w14:val="tx1"/>
            </w14:solidFill>
          </w14:textFill>
        </w:rPr>
        <w:drawing>
          <wp:inline distT="0" distB="0" distL="0" distR="0">
            <wp:extent cx="10391775" cy="7559040"/>
            <wp:effectExtent l="0" t="0" r="9525" b="3175"/>
            <wp:docPr id="1140" name="图片 57" descr="1ec8253508f411254242c4d6eb75d5c"/>
            <wp:cNvGraphicFramePr/>
            <a:graphic xmlns:a="http://schemas.openxmlformats.org/drawingml/2006/main">
              <a:graphicData uri="http://schemas.openxmlformats.org/drawingml/2006/picture">
                <pic:pic xmlns:pic="http://schemas.openxmlformats.org/drawingml/2006/picture">
                  <pic:nvPicPr>
                    <pic:cNvPr id="1140" name="图片 57" descr="1ec8253508f411254242c4d6eb75d5c"/>
                    <pic:cNvPicPr/>
                  </pic:nvPicPr>
                  <pic:blipFill>
                    <a:blip r:embed="rId93" cstate="print"/>
                    <a:srcRect/>
                    <a:stretch>
                      <a:fillRect/>
                    </a:stretch>
                  </pic:blipFill>
                  <pic:spPr>
                    <a:xfrm>
                      <a:off x="0" y="0"/>
                      <a:ext cx="10391775" cy="7559674"/>
                    </a:xfrm>
                    <a:prstGeom prst="rect">
                      <a:avLst/>
                    </a:prstGeom>
                  </pic:spPr>
                </pic:pic>
              </a:graphicData>
            </a:graphic>
          </wp:inline>
        </w:drawing>
      </w:r>
    </w:p>
    <w:p w14:paraId="3DBA7FF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3325495" cy="5067935"/>
            <wp:effectExtent l="0" t="0" r="18415" b="8255"/>
            <wp:docPr id="1141" name="图片 58" descr="5c950ae63ffbbddd183b0f6815f5baa"/>
            <wp:cNvGraphicFramePr/>
            <a:graphic xmlns:a="http://schemas.openxmlformats.org/drawingml/2006/main">
              <a:graphicData uri="http://schemas.openxmlformats.org/drawingml/2006/picture">
                <pic:pic xmlns:pic="http://schemas.openxmlformats.org/drawingml/2006/picture">
                  <pic:nvPicPr>
                    <pic:cNvPr id="1141" name="图片 58" descr="5c950ae63ffbbddd183b0f6815f5baa"/>
                    <pic:cNvPicPr/>
                  </pic:nvPicPr>
                  <pic:blipFill>
                    <a:blip r:embed="rId94" cstate="print"/>
                    <a:srcRect l="17302" t="27010" r="33639" b="16943"/>
                    <a:stretch>
                      <a:fillRect/>
                    </a:stretch>
                  </pic:blipFill>
                  <pic:spPr>
                    <a:xfrm rot="16200000">
                      <a:off x="0" y="0"/>
                      <a:ext cx="3325495" cy="5067935"/>
                    </a:xfrm>
                    <a:prstGeom prst="rect">
                      <a:avLst/>
                    </a:prstGeom>
                  </pic:spPr>
                </pic:pic>
              </a:graphicData>
            </a:graphic>
          </wp:inline>
        </w:drawing>
      </w:r>
    </w:p>
    <w:p w14:paraId="0084265B">
      <w:pPr>
        <w:jc w:val="center"/>
        <w:rPr>
          <w:color w:val="000000" w:themeColor="text1"/>
          <w14:textFill>
            <w14:solidFill>
              <w14:schemeClr w14:val="tx1"/>
            </w14:solidFill>
          </w14:textFill>
        </w:rPr>
      </w:pPr>
    </w:p>
    <w:p w14:paraId="53220B6A">
      <w:pPr>
        <w:jc w:val="center"/>
        <w:rPr>
          <w:color w:val="000000" w:themeColor="text1"/>
          <w14:textFill>
            <w14:solidFill>
              <w14:schemeClr w14:val="tx1"/>
            </w14:solidFill>
          </w14:textFill>
        </w:rPr>
      </w:pPr>
    </w:p>
    <w:p w14:paraId="388C8CEF">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drawing>
          <wp:inline distT="0" distB="0" distL="0" distR="0">
            <wp:extent cx="3369945" cy="5271770"/>
            <wp:effectExtent l="0" t="0" r="5080" b="1905"/>
            <wp:docPr id="1142" name="图片 59" descr="edb7010d8a2f6b7385dc85f4afabcc8"/>
            <wp:cNvGraphicFramePr/>
            <a:graphic xmlns:a="http://schemas.openxmlformats.org/drawingml/2006/main">
              <a:graphicData uri="http://schemas.openxmlformats.org/drawingml/2006/picture">
                <pic:pic xmlns:pic="http://schemas.openxmlformats.org/drawingml/2006/picture">
                  <pic:nvPicPr>
                    <pic:cNvPr id="1142" name="图片 59" descr="edb7010d8a2f6b7385dc85f4afabcc8"/>
                    <pic:cNvPicPr/>
                  </pic:nvPicPr>
                  <pic:blipFill>
                    <a:blip r:embed="rId95" cstate="print"/>
                    <a:srcRect l="16518" t="22081" r="31129" b="16517"/>
                    <a:stretch>
                      <a:fillRect/>
                    </a:stretch>
                  </pic:blipFill>
                  <pic:spPr>
                    <a:xfrm rot="16200000">
                      <a:off x="0" y="0"/>
                      <a:ext cx="3369945" cy="5271770"/>
                    </a:xfrm>
                    <a:prstGeom prst="rect">
                      <a:avLst/>
                    </a:prstGeom>
                  </pic:spPr>
                </pic:pic>
              </a:graphicData>
            </a:graphic>
          </wp:inline>
        </w:drawing>
      </w:r>
    </w:p>
    <w:p w14:paraId="11F902BC">
      <w:pPr>
        <w:rPr>
          <w:color w:val="000000" w:themeColor="text1"/>
          <w14:textFill>
            <w14:solidFill>
              <w14:schemeClr w14:val="tx1"/>
            </w14:solidFill>
          </w14:textFill>
        </w:rPr>
        <w:sectPr>
          <w:pgSz w:w="11906" w:h="16838"/>
          <w:pgMar w:top="1440" w:right="1800" w:bottom="1440" w:left="1800" w:header="851" w:footer="992" w:gutter="0"/>
          <w:pgNumType w:fmt="decimal"/>
          <w:cols w:space="425" w:num="1"/>
          <w:docGrid w:type="lines" w:linePitch="312" w:charSpace="0"/>
        </w:sectPr>
      </w:pPr>
    </w:p>
    <w:p w14:paraId="28D73650">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7599045" cy="10779760"/>
            <wp:effectExtent l="0" t="0" r="1905" b="2540"/>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96"/>
                    <a:stretch>
                      <a:fillRect/>
                    </a:stretch>
                  </pic:blipFill>
                  <pic:spPr>
                    <a:xfrm>
                      <a:off x="0" y="0"/>
                      <a:ext cx="7599045" cy="107797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7587615" cy="10742930"/>
            <wp:effectExtent l="0" t="0" r="13335" b="1270"/>
            <wp:docPr id="5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2"/>
                    <pic:cNvPicPr>
                      <a:picLocks noChangeAspect="1"/>
                    </pic:cNvPicPr>
                  </pic:nvPicPr>
                  <pic:blipFill>
                    <a:blip r:embed="rId97"/>
                    <a:stretch>
                      <a:fillRect/>
                    </a:stretch>
                  </pic:blipFill>
                  <pic:spPr>
                    <a:xfrm>
                      <a:off x="0" y="0"/>
                      <a:ext cx="7587615" cy="10742930"/>
                    </a:xfrm>
                    <a:prstGeom prst="rect">
                      <a:avLst/>
                    </a:prstGeom>
                    <a:noFill/>
                    <a:ln>
                      <a:noFill/>
                    </a:ln>
                  </pic:spPr>
                </pic:pic>
              </a:graphicData>
            </a:graphic>
          </wp:inline>
        </w:drawing>
      </w:r>
    </w:p>
    <w:sectPr>
      <w:pgSz w:w="11906" w:h="16838"/>
      <w:pgMar w:top="0" w:right="0" w:bottom="0" w:left="0" w:header="851" w:footer="992" w:gutter="0"/>
      <w:pgNumType w:fmt="decimal"/>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02"/>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embedRegular r:id="rId1" w:fontKey="{A0079FEF-1399-468E-AAE3-123C5630BCBF}"/>
  </w:font>
  <w:font w:name="黑体">
    <w:panose1 w:val="02010609060101010101"/>
    <w:charset w:val="86"/>
    <w:family w:val="auto"/>
    <w:pitch w:val="default"/>
    <w:sig w:usb0="800002BF" w:usb1="38CF7CFA" w:usb2="00000016" w:usb3="00000000" w:csb0="00040001" w:csb1="00000000"/>
    <w:embedRegular r:id="rId2" w:fontKey="{58325F99-F6D4-40DA-90A7-7E8C7494861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PMingLiU">
    <w:altName w:val="Microsoft JhengHei UI"/>
    <w:panose1 w:val="02010601000101010101"/>
    <w:charset w:val="88"/>
    <w:family w:val="auto"/>
    <w:pitch w:val="default"/>
    <w:sig w:usb0="00000000" w:usb1="00000000" w:usb2="00000010" w:usb3="00000000" w:csb0="00100000" w:csb1="00000000"/>
  </w:font>
  <w:font w:name="Microsoft JhengHei UI">
    <w:panose1 w:val="020B0604030504040204"/>
    <w:charset w:val="88"/>
    <w:family w:val="auto"/>
    <w:pitch w:val="default"/>
    <w:sig w:usb0="000002A7" w:usb1="28CF4400" w:usb2="00000016" w:usb3="00000000" w:csb0="00100009"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003F01FF" w:csb1="00000000"/>
  </w:font>
  <w:font w:name="Impact">
    <w:panose1 w:val="020B0806030902050204"/>
    <w:charset w:val="00"/>
    <w:family w:val="swiss"/>
    <w:pitch w:val="default"/>
    <w:sig w:usb0="00000287" w:usb1="00000000" w:usb2="00000000" w:usb3="00000000" w:csb0="2000009F" w:csb1="DFD70000"/>
  </w:font>
  <w:font w:name="Times">
    <w:altName w:val="Times New Roman"/>
    <w:panose1 w:val="02020603050405020304"/>
    <w:charset w:val="00"/>
    <w:family w:val="roman"/>
    <w:pitch w:val="default"/>
    <w:sig w:usb0="00000000" w:usb1="00000000" w:usb2="00000009" w:usb3="00000000" w:csb0="000001FF" w:csb1="00000000"/>
    <w:embedRegular r:id="rId3" w:fontKey="{C4EB2C71-8647-46DC-B41B-91990527C954}"/>
  </w:font>
  <w:font w:name="Helvetica">
    <w:altName w:val="Arial"/>
    <w:panose1 w:val="020B0604020202020204"/>
    <w:charset w:val="00"/>
    <w:family w:val="swiss"/>
    <w:pitch w:val="default"/>
    <w:sig w:usb0="00000000" w:usb1="00000000" w:usb2="00000009" w:usb3="00000000" w:csb0="000001FF" w:csb1="00000000"/>
    <w:embedRegular r:id="rId4" w:fontKey="{9E0CD93E-5448-4B71-BC64-E6C50D689EFC}"/>
  </w:font>
  <w:font w:name="方正小标宋_GBK">
    <w:panose1 w:val="02000000000000000000"/>
    <w:charset w:val="86"/>
    <w:family w:val="auto"/>
    <w:pitch w:val="default"/>
    <w:sig w:usb0="A00002BF" w:usb1="38CF7CFA" w:usb2="00082016" w:usb3="00000000" w:csb0="00040001" w:csb1="00000000"/>
    <w:embedRegular r:id="rId5" w:fontKey="{ADD86723-33F8-438F-8AC2-4353B62595E3}"/>
  </w:font>
  <w:font w:name="楷体">
    <w:panose1 w:val="02010609060101010101"/>
    <w:charset w:val="86"/>
    <w:family w:val="modern"/>
    <w:pitch w:val="default"/>
    <w:sig w:usb0="800002BF" w:usb1="38CF7CFA" w:usb2="00000016" w:usb3="00000000" w:csb0="00040001" w:csb1="00000000"/>
    <w:embedRegular r:id="rId6" w:fontKey="{EDBF7740-98E5-46AF-814C-41B2179602E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E7C70">
    <w:pPr>
      <w:pStyle w:val="17"/>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3D5854">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D20FC4">
    <w:pPr>
      <w:pStyle w:val="17"/>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4" name="文本框 7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DB952B">
                          <w:pPr>
                            <w:pStyle w:val="17"/>
                          </w:pPr>
                          <w:r>
                            <w:fldChar w:fldCharType="begin"/>
                          </w:r>
                          <w:r>
                            <w:instrText xml:space="preserve"> PAGE  \* MERGEFORMAT </w:instrText>
                          </w:r>
                          <w:r>
                            <w:fldChar w:fldCharType="separate"/>
                          </w:r>
                          <w:r>
                            <w:t>13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m7fHszAgAAYwQAAA4AAAAAAAAAAQAgAAAAHwEAAGRycy9lMm9Eb2MueG1sUEsF&#10;BgAAAAAGAAYAWQEAAMQFAAAAAA==&#10;">
              <v:fill on="f" focussize="0,0"/>
              <v:stroke on="f" weight="0.5pt"/>
              <v:imagedata o:title=""/>
              <o:lock v:ext="edit" aspectratio="f"/>
              <v:textbox inset="0mm,0mm,0mm,0mm" style="mso-fit-shape-to-text:t;">
                <w:txbxContent>
                  <w:p w14:paraId="33DB952B">
                    <w:pPr>
                      <w:pStyle w:val="17"/>
                    </w:pPr>
                    <w:r>
                      <w:fldChar w:fldCharType="begin"/>
                    </w:r>
                    <w:r>
                      <w:instrText xml:space="preserve"> PAGE  \* MERGEFORMAT </w:instrText>
                    </w:r>
                    <w:r>
                      <w:fldChar w:fldCharType="separate"/>
                    </w:r>
                    <w:r>
                      <w:t>13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2F5C5D">
    <w:pPr>
      <w:pStyle w:val="17"/>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5" name="文本框 7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EF593F7">
                          <w:pPr>
                            <w:pStyle w:val="17"/>
                          </w:pPr>
                          <w:r>
                            <w:fldChar w:fldCharType="begin"/>
                          </w:r>
                          <w:r>
                            <w:instrText xml:space="preserve"> PAGE  \* MERGEFORMAT </w:instrText>
                          </w:r>
                          <w:r>
                            <w:fldChar w:fldCharType="separate"/>
                          </w:r>
                          <w:r>
                            <w:t>122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sT65QzAgAAYwQAAA4AAABkcnMvZTJvRG9jLnhtbK1UzY7TMBC+I/EO&#10;lu80adEu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sT65QzAgAAYwQAAA4AAAAAAAAAAQAgAAAAHwEAAGRycy9lMm9Eb2MueG1sUEsF&#10;BgAAAAAGAAYAWQEAAMQFAAAAAA==&#10;">
              <v:fill on="f" focussize="0,0"/>
              <v:stroke on="f" weight="0.5pt"/>
              <v:imagedata o:title=""/>
              <o:lock v:ext="edit" aspectratio="f"/>
              <v:textbox inset="0mm,0mm,0mm,0mm" style="mso-fit-shape-to-text:t;">
                <w:txbxContent>
                  <w:p w14:paraId="0EF593F7">
                    <w:pPr>
                      <w:pStyle w:val="17"/>
                    </w:pPr>
                    <w:r>
                      <w:fldChar w:fldCharType="begin"/>
                    </w:r>
                    <w:r>
                      <w:instrText xml:space="preserve"> PAGE  \* MERGEFORMAT </w:instrText>
                    </w:r>
                    <w:r>
                      <w:fldChar w:fldCharType="separate"/>
                    </w:r>
                    <w:r>
                      <w:t>122</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D449F">
    <w:pPr>
      <w:pStyle w:val="1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3536D9">
    <w:pPr>
      <w:pStyle w:val="18"/>
      <w:tabs>
        <w:tab w:val="clear" w:pos="4153"/>
      </w:tabs>
      <w:ind w:firstLine="341"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53208E"/>
    <w:multiLevelType w:val="singleLevel"/>
    <w:tmpl w:val="0053208E"/>
    <w:lvl w:ilvl="0" w:tentative="0">
      <w:start w:val="4"/>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hideSpellingErrors/>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0A0"/>
    <w:rsid w:val="000472F9"/>
    <w:rsid w:val="00090274"/>
    <w:rsid w:val="0010742A"/>
    <w:rsid w:val="001739CB"/>
    <w:rsid w:val="001B74C1"/>
    <w:rsid w:val="001E3BF4"/>
    <w:rsid w:val="00251732"/>
    <w:rsid w:val="00262297"/>
    <w:rsid w:val="00286B98"/>
    <w:rsid w:val="002A2436"/>
    <w:rsid w:val="002B37F9"/>
    <w:rsid w:val="002F626E"/>
    <w:rsid w:val="00302885"/>
    <w:rsid w:val="0032463B"/>
    <w:rsid w:val="00352FE5"/>
    <w:rsid w:val="00365698"/>
    <w:rsid w:val="00440A30"/>
    <w:rsid w:val="004507FB"/>
    <w:rsid w:val="00456FC2"/>
    <w:rsid w:val="00473B48"/>
    <w:rsid w:val="00491F28"/>
    <w:rsid w:val="004F7E60"/>
    <w:rsid w:val="00506831"/>
    <w:rsid w:val="00567BA6"/>
    <w:rsid w:val="00580009"/>
    <w:rsid w:val="005838DA"/>
    <w:rsid w:val="00590EB0"/>
    <w:rsid w:val="005A37CE"/>
    <w:rsid w:val="00680D48"/>
    <w:rsid w:val="00685113"/>
    <w:rsid w:val="006F143E"/>
    <w:rsid w:val="00704AC9"/>
    <w:rsid w:val="00774B50"/>
    <w:rsid w:val="007A4621"/>
    <w:rsid w:val="008262BE"/>
    <w:rsid w:val="00870CF5"/>
    <w:rsid w:val="009444C6"/>
    <w:rsid w:val="009610A0"/>
    <w:rsid w:val="009D2570"/>
    <w:rsid w:val="009F2F42"/>
    <w:rsid w:val="00A13A58"/>
    <w:rsid w:val="00A436A5"/>
    <w:rsid w:val="00B05B84"/>
    <w:rsid w:val="00B70867"/>
    <w:rsid w:val="00B7619B"/>
    <w:rsid w:val="00B76B90"/>
    <w:rsid w:val="00B924EA"/>
    <w:rsid w:val="00BA4E2F"/>
    <w:rsid w:val="00BD17F3"/>
    <w:rsid w:val="00BD7F98"/>
    <w:rsid w:val="00C20B98"/>
    <w:rsid w:val="00C44209"/>
    <w:rsid w:val="00C50390"/>
    <w:rsid w:val="00C565A4"/>
    <w:rsid w:val="00C91B37"/>
    <w:rsid w:val="00C95A4C"/>
    <w:rsid w:val="00CD3899"/>
    <w:rsid w:val="00CE4AA4"/>
    <w:rsid w:val="00D64860"/>
    <w:rsid w:val="00D64B13"/>
    <w:rsid w:val="00DF0FE2"/>
    <w:rsid w:val="00DF1A6B"/>
    <w:rsid w:val="00E72EFE"/>
    <w:rsid w:val="00EA5808"/>
    <w:rsid w:val="00ED2442"/>
    <w:rsid w:val="00EE4388"/>
    <w:rsid w:val="00EF7364"/>
    <w:rsid w:val="00F05A4C"/>
    <w:rsid w:val="00FB0C13"/>
    <w:rsid w:val="00FE117A"/>
    <w:rsid w:val="05654241"/>
    <w:rsid w:val="0F647E36"/>
    <w:rsid w:val="102835A3"/>
    <w:rsid w:val="113D783F"/>
    <w:rsid w:val="148025D6"/>
    <w:rsid w:val="1890511D"/>
    <w:rsid w:val="19D748AA"/>
    <w:rsid w:val="1D800586"/>
    <w:rsid w:val="1FEC77C0"/>
    <w:rsid w:val="211D61EC"/>
    <w:rsid w:val="227901CC"/>
    <w:rsid w:val="24775760"/>
    <w:rsid w:val="273E668C"/>
    <w:rsid w:val="2A9220DA"/>
    <w:rsid w:val="2F071D28"/>
    <w:rsid w:val="30F45075"/>
    <w:rsid w:val="33C37358"/>
    <w:rsid w:val="34EE486F"/>
    <w:rsid w:val="36C02AD1"/>
    <w:rsid w:val="3BA10095"/>
    <w:rsid w:val="3F7D78FA"/>
    <w:rsid w:val="41EB563A"/>
    <w:rsid w:val="48B95DE3"/>
    <w:rsid w:val="4FA635A5"/>
    <w:rsid w:val="558103FD"/>
    <w:rsid w:val="58BF0B2C"/>
    <w:rsid w:val="5B835E40"/>
    <w:rsid w:val="5C27188D"/>
    <w:rsid w:val="62240BC3"/>
    <w:rsid w:val="63DF2082"/>
    <w:rsid w:val="67E855F5"/>
    <w:rsid w:val="6D7D7B7B"/>
    <w:rsid w:val="6EE41361"/>
    <w:rsid w:val="7009057D"/>
    <w:rsid w:val="72B17C5B"/>
    <w:rsid w:val="7461290E"/>
    <w:rsid w:val="76F6043A"/>
    <w:rsid w:val="784655B3"/>
    <w:rsid w:val="7B1F4B7C"/>
    <w:rsid w:val="7B2014A6"/>
    <w:rsid w:val="7C9308C7"/>
    <w:rsid w:val="7E68434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2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line="360" w:lineRule="auto"/>
      <w:outlineLvl w:val="0"/>
    </w:pPr>
    <w:rPr>
      <w:b/>
      <w:kern w:val="44"/>
      <w:sz w:val="44"/>
    </w:rPr>
  </w:style>
  <w:style w:type="paragraph" w:styleId="3">
    <w:name w:val="heading 2"/>
    <w:basedOn w:val="1"/>
    <w:next w:val="1"/>
    <w:link w:val="52"/>
    <w:qFormat/>
    <w:uiPriority w:val="0"/>
    <w:pPr>
      <w:spacing w:beforeAutospacing="1" w:afterAutospacing="1"/>
      <w:jc w:val="left"/>
      <w:outlineLvl w:val="1"/>
    </w:pPr>
    <w:rPr>
      <w:rFonts w:hint="eastAsia" w:ascii="宋体" w:hAnsi="宋体"/>
      <w:b/>
      <w:bCs/>
      <w:kern w:val="0"/>
      <w:sz w:val="36"/>
      <w:szCs w:val="36"/>
    </w:rPr>
  </w:style>
  <w:style w:type="paragraph" w:styleId="4">
    <w:name w:val="heading 3"/>
    <w:basedOn w:val="1"/>
    <w:next w:val="1"/>
    <w:qFormat/>
    <w:uiPriority w:val="0"/>
    <w:pPr>
      <w:keepNext/>
      <w:keepLines/>
      <w:spacing w:line="360" w:lineRule="auto"/>
      <w:outlineLvl w:val="2"/>
    </w:pPr>
    <w:rPr>
      <w:b/>
      <w:sz w:val="24"/>
    </w:rPr>
  </w:style>
  <w:style w:type="paragraph" w:styleId="5">
    <w:name w:val="heading 4"/>
    <w:basedOn w:val="1"/>
    <w:qFormat/>
    <w:uiPriority w:val="0"/>
    <w:pPr>
      <w:keepNext/>
      <w:keepLines/>
      <w:spacing w:line="360" w:lineRule="auto"/>
      <w:outlineLvl w:val="3"/>
    </w:pPr>
    <w:rPr>
      <w:b/>
    </w:r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6">
    <w:name w:val="Note Heading"/>
    <w:basedOn w:val="1"/>
    <w:next w:val="1"/>
    <w:qFormat/>
    <w:uiPriority w:val="0"/>
    <w:pPr>
      <w:jc w:val="center"/>
    </w:pPr>
    <w:rPr>
      <w:kern w:val="0"/>
      <w:sz w:val="20"/>
    </w:rPr>
  </w:style>
  <w:style w:type="paragraph" w:styleId="7">
    <w:name w:val="Normal Indent"/>
    <w:basedOn w:val="1"/>
    <w:qFormat/>
    <w:uiPriority w:val="0"/>
    <w:pPr>
      <w:ind w:firstLine="200" w:firstLineChars="200"/>
    </w:pPr>
    <w:rPr>
      <w:sz w:val="28"/>
    </w:rPr>
  </w:style>
  <w:style w:type="paragraph" w:styleId="8">
    <w:name w:val="annotation text"/>
    <w:basedOn w:val="1"/>
    <w:link w:val="58"/>
    <w:qFormat/>
    <w:uiPriority w:val="0"/>
    <w:pPr>
      <w:jc w:val="left"/>
    </w:pPr>
  </w:style>
  <w:style w:type="paragraph" w:styleId="9">
    <w:name w:val="Body Text"/>
    <w:basedOn w:val="1"/>
    <w:qFormat/>
    <w:uiPriority w:val="0"/>
    <w:pPr>
      <w:widowControl/>
      <w:snapToGrid w:val="0"/>
      <w:spacing w:before="60" w:after="160" w:line="259" w:lineRule="auto"/>
      <w:ind w:right="113"/>
    </w:pPr>
    <w:rPr>
      <w:kern w:val="0"/>
      <w:sz w:val="18"/>
      <w:szCs w:val="20"/>
    </w:rPr>
  </w:style>
  <w:style w:type="paragraph" w:styleId="10">
    <w:name w:val="Body Text Indent"/>
    <w:basedOn w:val="1"/>
    <w:next w:val="1"/>
    <w:qFormat/>
    <w:uiPriority w:val="0"/>
    <w:pPr>
      <w:spacing w:after="120"/>
      <w:ind w:left="420" w:leftChars="200"/>
    </w:pPr>
    <w:rPr>
      <w:kern w:val="0"/>
      <w:sz w:val="24"/>
      <w:szCs w:val="20"/>
    </w:rPr>
  </w:style>
  <w:style w:type="paragraph" w:styleId="11">
    <w:name w:val="Block Text"/>
    <w:basedOn w:val="1"/>
    <w:next w:val="1"/>
    <w:qFormat/>
    <w:uiPriority w:val="0"/>
    <w:pPr>
      <w:autoSpaceDE w:val="0"/>
      <w:autoSpaceDN w:val="0"/>
      <w:adjustRightInd w:val="0"/>
      <w:spacing w:before="1" w:line="537" w:lineRule="exact"/>
      <w:ind w:left="88" w:right="6"/>
    </w:pPr>
    <w:rPr>
      <w:kern w:val="0"/>
      <w:sz w:val="28"/>
    </w:rPr>
  </w:style>
  <w:style w:type="paragraph" w:styleId="12">
    <w:name w:val="Plain Text"/>
    <w:basedOn w:val="1"/>
    <w:qFormat/>
    <w:uiPriority w:val="0"/>
    <w:rPr>
      <w:rFonts w:ascii="宋体" w:hAnsi="Courier New"/>
      <w:kern w:val="0"/>
      <w:sz w:val="20"/>
      <w:szCs w:val="20"/>
    </w:rPr>
  </w:style>
  <w:style w:type="paragraph" w:styleId="13">
    <w:name w:val="Body Text Indent 2"/>
    <w:basedOn w:val="1"/>
    <w:next w:val="14"/>
    <w:qFormat/>
    <w:uiPriority w:val="0"/>
    <w:pPr>
      <w:autoSpaceDE w:val="0"/>
      <w:autoSpaceDN w:val="0"/>
      <w:adjustRightInd w:val="0"/>
      <w:spacing w:before="120" w:after="120" w:line="360" w:lineRule="atLeast"/>
      <w:ind w:firstLine="494"/>
    </w:pPr>
    <w:rPr>
      <w:kern w:val="0"/>
      <w:sz w:val="24"/>
      <w:lang w:val="en-GB" w:eastAsia="zh-TW"/>
    </w:rPr>
  </w:style>
  <w:style w:type="paragraph" w:customStyle="1" w:styleId="14">
    <w:name w:val="简单回函地址"/>
    <w:basedOn w:val="1"/>
    <w:next w:val="15"/>
    <w:qFormat/>
    <w:uiPriority w:val="0"/>
    <w:rPr>
      <w:szCs w:val="20"/>
    </w:rPr>
  </w:style>
  <w:style w:type="paragraph" w:customStyle="1" w:styleId="15">
    <w:name w:val="正文2"/>
    <w:basedOn w:val="1"/>
    <w:qFormat/>
    <w:uiPriority w:val="0"/>
    <w:pPr>
      <w:ind w:firstLine="200"/>
    </w:pPr>
  </w:style>
  <w:style w:type="paragraph" w:styleId="16">
    <w:name w:val="Balloon Text"/>
    <w:basedOn w:val="1"/>
    <w:link w:val="57"/>
    <w:qFormat/>
    <w:uiPriority w:val="0"/>
    <w:rPr>
      <w:sz w:val="18"/>
      <w:szCs w:val="18"/>
    </w:rPr>
  </w:style>
  <w:style w:type="paragraph" w:styleId="17">
    <w:name w:val="footer"/>
    <w:basedOn w:val="1"/>
    <w:qFormat/>
    <w:uiPriority w:val="0"/>
    <w:pPr>
      <w:tabs>
        <w:tab w:val="center" w:pos="4153"/>
        <w:tab w:val="right" w:pos="8306"/>
      </w:tabs>
      <w:snapToGrid w:val="0"/>
      <w:jc w:val="left"/>
    </w:pPr>
    <w:rPr>
      <w:kern w:val="0"/>
      <w:sz w:val="18"/>
      <w:szCs w:val="20"/>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9">
    <w:name w:val="toc 1"/>
    <w:basedOn w:val="1"/>
    <w:next w:val="1"/>
    <w:qFormat/>
    <w:uiPriority w:val="0"/>
  </w:style>
  <w:style w:type="paragraph" w:styleId="20">
    <w:name w:val="Body Text 2"/>
    <w:basedOn w:val="1"/>
    <w:next w:val="1"/>
    <w:qFormat/>
    <w:uiPriority w:val="0"/>
    <w:pPr>
      <w:spacing w:line="360" w:lineRule="auto"/>
      <w:jc w:val="left"/>
    </w:pPr>
    <w:rPr>
      <w:sz w:val="24"/>
    </w:rPr>
  </w:style>
  <w:style w:type="paragraph" w:styleId="21">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2">
    <w:name w:val="annotation subject"/>
    <w:basedOn w:val="8"/>
    <w:next w:val="8"/>
    <w:link w:val="59"/>
    <w:qFormat/>
    <w:uiPriority w:val="0"/>
    <w:rPr>
      <w:b/>
      <w:bCs/>
    </w:rPr>
  </w:style>
  <w:style w:type="paragraph" w:styleId="23">
    <w:name w:val="Body Text First Indent"/>
    <w:basedOn w:val="9"/>
    <w:next w:val="1"/>
    <w:qFormat/>
    <w:uiPriority w:val="99"/>
    <w:pPr>
      <w:spacing w:after="120"/>
      <w:ind w:firstLine="420" w:firstLineChars="100"/>
    </w:pPr>
    <w:rPr>
      <w:sz w:val="21"/>
    </w:rPr>
  </w:style>
  <w:style w:type="paragraph" w:styleId="24">
    <w:name w:val="Body Text First Indent 2"/>
    <w:basedOn w:val="1"/>
    <w:next w:val="1"/>
    <w:qFormat/>
    <w:uiPriority w:val="0"/>
    <w:pPr>
      <w:ind w:firstLine="420" w:firstLineChars="200"/>
    </w:pPr>
    <w:rPr>
      <w:rFonts w:ascii="宋体" w:hAnsi="宋体"/>
    </w:rPr>
  </w:style>
  <w:style w:type="table" w:styleId="26">
    <w:name w:val="Table Grid"/>
    <w:basedOn w:val="25"/>
    <w:qFormat/>
    <w:uiPriority w:val="0"/>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28">
    <w:name w:val="Emphasis"/>
    <w:basedOn w:val="27"/>
    <w:qFormat/>
    <w:uiPriority w:val="20"/>
    <w:rPr>
      <w:i/>
      <w:iCs/>
    </w:rPr>
  </w:style>
  <w:style w:type="character" w:styleId="29">
    <w:name w:val="Hyperlink"/>
    <w:basedOn w:val="27"/>
    <w:qFormat/>
    <w:uiPriority w:val="0"/>
    <w:rPr>
      <w:color w:val="0000FF"/>
      <w:u w:val="single"/>
    </w:rPr>
  </w:style>
  <w:style w:type="character" w:styleId="30">
    <w:name w:val="annotation reference"/>
    <w:basedOn w:val="27"/>
    <w:qFormat/>
    <w:uiPriority w:val="0"/>
    <w:rPr>
      <w:sz w:val="21"/>
      <w:szCs w:val="21"/>
    </w:rPr>
  </w:style>
  <w:style w:type="paragraph" w:customStyle="1" w:styleId="31">
    <w:name w:val="表格"/>
    <w:basedOn w:val="1"/>
    <w:next w:val="1"/>
    <w:qFormat/>
    <w:uiPriority w:val="0"/>
    <w:pPr>
      <w:adjustRightInd w:val="0"/>
      <w:snapToGrid w:val="0"/>
      <w:jc w:val="center"/>
    </w:pPr>
    <w:rPr>
      <w:kern w:val="0"/>
      <w:szCs w:val="20"/>
    </w:rPr>
  </w:style>
  <w:style w:type="paragraph" w:customStyle="1" w:styleId="32">
    <w:name w:val="p19"/>
    <w:basedOn w:val="1"/>
    <w:qFormat/>
    <w:uiPriority w:val="0"/>
    <w:pPr>
      <w:widowControl/>
      <w:spacing w:before="50" w:line="360" w:lineRule="auto"/>
      <w:ind w:firstLine="482"/>
    </w:pPr>
    <w:rPr>
      <w:kern w:val="0"/>
      <w:sz w:val="24"/>
    </w:rPr>
  </w:style>
  <w:style w:type="paragraph" w:customStyle="1" w:styleId="33">
    <w:name w:val="小标题"/>
    <w:basedOn w:val="1"/>
    <w:qFormat/>
    <w:uiPriority w:val="0"/>
    <w:pPr>
      <w:adjustRightInd w:val="0"/>
      <w:spacing w:beforeLines="50" w:after="48"/>
      <w:ind w:firstLine="480" w:firstLineChars="200"/>
      <w:textAlignment w:val="baseline"/>
    </w:pPr>
    <w:rPr>
      <w:rFonts w:ascii="宋体"/>
      <w:b/>
      <w:bCs/>
      <w:color w:val="000000"/>
      <w:kern w:val="0"/>
      <w:sz w:val="24"/>
      <w:u w:val="single"/>
    </w:rPr>
  </w:style>
  <w:style w:type="paragraph" w:customStyle="1" w:styleId="34">
    <w:name w:val="报告表  段"/>
    <w:basedOn w:val="1"/>
    <w:qFormat/>
    <w:uiPriority w:val="0"/>
    <w:pPr>
      <w:adjustRightInd w:val="0"/>
      <w:spacing w:line="360" w:lineRule="auto"/>
      <w:ind w:firstLine="505"/>
      <w:textAlignment w:val="baseline"/>
    </w:pPr>
    <w:rPr>
      <w:rFonts w:ascii="宋体"/>
      <w:kern w:val="0"/>
      <w:sz w:val="24"/>
      <w:szCs w:val="20"/>
    </w:rPr>
  </w:style>
  <w:style w:type="character" w:customStyle="1" w:styleId="35">
    <w:name w:val="MSG_EN_FONT_STYLE_NAME_TEMPLATE_ROLE_NUMBER MSG_EN_FONT_STYLE_NAME_BY_ROLE_TEXT 9 + MSG_EN_FONT_STYLE_MODIFER_SIZE 10.5"/>
    <w:qFormat/>
    <w:uiPriority w:val="0"/>
    <w:rPr>
      <w:rFonts w:hint="eastAsia" w:ascii="PMingLiU" w:hAnsi="PMingLiU" w:eastAsia="PMingLiU" w:cs="PMingLiU"/>
      <w:color w:val="000000"/>
      <w:spacing w:val="0"/>
      <w:w w:val="100"/>
      <w:position w:val="0"/>
      <w:sz w:val="21"/>
      <w:szCs w:val="21"/>
      <w:u w:val="none"/>
      <w:lang w:val="zh-CN" w:eastAsia="zh-CN" w:bidi="zh-CN"/>
    </w:rPr>
  </w:style>
  <w:style w:type="paragraph" w:customStyle="1" w:styleId="36">
    <w:name w:val="样式 标题 1 + 四号 段前: 0 磅 段后: 0 磅 行距: 1.5 倍行距"/>
    <w:basedOn w:val="37"/>
    <w:next w:val="38"/>
    <w:qFormat/>
    <w:uiPriority w:val="0"/>
    <w:pPr>
      <w:adjustRightInd w:val="0"/>
      <w:snapToGrid w:val="0"/>
      <w:jc w:val="center"/>
    </w:pPr>
    <w:rPr>
      <w:sz w:val="28"/>
      <w:szCs w:val="20"/>
    </w:rPr>
  </w:style>
  <w:style w:type="paragraph" w:customStyle="1" w:styleId="37">
    <w:name w:val="报告表正文"/>
    <w:basedOn w:val="1"/>
    <w:qFormat/>
    <w:uiPriority w:val="99"/>
    <w:pPr>
      <w:spacing w:line="360" w:lineRule="auto"/>
      <w:ind w:firstLine="200" w:firstLineChars="200"/>
      <w:outlineLvl w:val="0"/>
    </w:pPr>
    <w:rPr>
      <w:bCs/>
      <w:color w:val="000000"/>
      <w:sz w:val="24"/>
    </w:rPr>
  </w:style>
  <w:style w:type="paragraph" w:customStyle="1" w:styleId="38">
    <w:name w:val="文本正文"/>
    <w:basedOn w:val="1"/>
    <w:qFormat/>
    <w:uiPriority w:val="0"/>
    <w:pPr>
      <w:spacing w:line="480" w:lineRule="exact"/>
      <w:ind w:firstLine="560" w:firstLineChars="200"/>
    </w:pPr>
    <w:rPr>
      <w:rFonts w:ascii="仿宋_GB2312" w:hAnsi="宋体" w:eastAsia="仿宋_GB2312" w:cs="Courier New"/>
      <w:sz w:val="28"/>
      <w:szCs w:val="28"/>
    </w:rPr>
  </w:style>
  <w:style w:type="paragraph" w:customStyle="1" w:styleId="39">
    <w:name w:val="表内 定"/>
    <w:basedOn w:val="1"/>
    <w:qFormat/>
    <w:uiPriority w:val="0"/>
    <w:rPr>
      <w:rFonts w:ascii="Calibri" w:hAnsi="Calibri"/>
      <w:color w:val="000000"/>
    </w:rPr>
  </w:style>
  <w:style w:type="paragraph" w:customStyle="1" w:styleId="40">
    <w:name w:val="Table Text"/>
    <w:basedOn w:val="1"/>
    <w:qFormat/>
    <w:uiPriority w:val="0"/>
    <w:rPr>
      <w:rFonts w:ascii="宋体" w:hAnsi="宋体" w:cs="宋体"/>
      <w:szCs w:val="21"/>
      <w:lang w:eastAsia="en-US"/>
    </w:rPr>
  </w:style>
  <w:style w:type="paragraph" w:customStyle="1" w:styleId="41">
    <w:name w:val="表题"/>
    <w:basedOn w:val="31"/>
    <w:next w:val="12"/>
    <w:qFormat/>
    <w:uiPriority w:val="0"/>
    <w:pPr>
      <w:keepNext/>
      <w:widowControl/>
      <w:autoSpaceDE w:val="0"/>
      <w:autoSpaceDN w:val="0"/>
    </w:pPr>
    <w:rPr>
      <w:b/>
      <w:snapToGrid w:val="0"/>
      <w:color w:val="000000"/>
    </w:rPr>
  </w:style>
  <w:style w:type="paragraph" w:customStyle="1" w:styleId="42">
    <w:name w:val="正文样式"/>
    <w:basedOn w:val="1"/>
    <w:qFormat/>
    <w:uiPriority w:val="0"/>
    <w:pPr>
      <w:adjustRightInd w:val="0"/>
      <w:snapToGrid w:val="0"/>
      <w:spacing w:line="360" w:lineRule="auto"/>
      <w:ind w:firstLine="200" w:firstLineChars="200"/>
      <w:jc w:val="left"/>
    </w:pPr>
    <w:rPr>
      <w:sz w:val="24"/>
    </w:rPr>
  </w:style>
  <w:style w:type="paragraph" w:customStyle="1" w:styleId="43">
    <w:name w:val="首行缩进正文"/>
    <w:basedOn w:val="1"/>
    <w:qFormat/>
    <w:uiPriority w:val="0"/>
    <w:pPr>
      <w:spacing w:line="360" w:lineRule="auto"/>
      <w:ind w:firstLine="480" w:firstLineChars="200"/>
    </w:pPr>
    <w:rPr>
      <w:sz w:val="24"/>
    </w:rPr>
  </w:style>
  <w:style w:type="paragraph" w:customStyle="1" w:styleId="44">
    <w:name w:val="Default"/>
    <w:basedOn w:val="45"/>
    <w:qFormat/>
    <w:uiPriority w:val="0"/>
    <w:pPr>
      <w:autoSpaceDE w:val="0"/>
      <w:autoSpaceDN w:val="0"/>
    </w:pPr>
    <w:rPr>
      <w:rFonts w:hint="eastAsia"/>
      <w:color w:val="000000"/>
      <w:kern w:val="0"/>
    </w:rPr>
  </w:style>
  <w:style w:type="paragraph" w:customStyle="1" w:styleId="45">
    <w:name w:val="纯文本1"/>
    <w:basedOn w:val="1"/>
    <w:qFormat/>
    <w:uiPriority w:val="0"/>
    <w:pPr>
      <w:adjustRightInd w:val="0"/>
      <w:jc w:val="left"/>
    </w:pPr>
    <w:rPr>
      <w:rFonts w:ascii="宋体" w:hAnsi="Courier New"/>
      <w:sz w:val="24"/>
    </w:rPr>
  </w:style>
  <w:style w:type="paragraph" w:customStyle="1" w:styleId="46">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cs="Arial Unicode MS"/>
      <w:kern w:val="0"/>
      <w:sz w:val="24"/>
    </w:rPr>
  </w:style>
  <w:style w:type="paragraph" w:customStyle="1" w:styleId="47">
    <w:name w:val="报告正文"/>
    <w:basedOn w:val="1"/>
    <w:qFormat/>
    <w:uiPriority w:val="0"/>
    <w:pPr>
      <w:adjustRightInd w:val="0"/>
      <w:snapToGrid w:val="0"/>
      <w:spacing w:line="480" w:lineRule="exact"/>
      <w:ind w:firstLine="200" w:firstLineChars="200"/>
    </w:pPr>
    <w:rPr>
      <w:color w:val="000000"/>
      <w:kern w:val="0"/>
      <w:sz w:val="24"/>
    </w:rPr>
  </w:style>
  <w:style w:type="paragraph" w:customStyle="1" w:styleId="48">
    <w:name w:val="纯文本2"/>
    <w:basedOn w:val="1"/>
    <w:qFormat/>
    <w:uiPriority w:val="0"/>
    <w:pPr>
      <w:adjustRightInd w:val="0"/>
      <w:jc w:val="left"/>
    </w:pPr>
    <w:rPr>
      <w:rFonts w:ascii="宋体" w:hAnsi="Courier New"/>
      <w:sz w:val="24"/>
      <w:szCs w:val="20"/>
    </w:rPr>
  </w:style>
  <w:style w:type="paragraph" w:customStyle="1" w:styleId="49">
    <w:name w:val="_Style 2"/>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50">
    <w:name w:val="无间隔3"/>
    <w:next w:val="1"/>
    <w:qFormat/>
    <w:uiPriority w:val="1"/>
    <w:pPr>
      <w:widowControl w:val="0"/>
      <w:jc w:val="center"/>
    </w:pPr>
    <w:rPr>
      <w:rFonts w:ascii="Times New Roman" w:hAnsi="Times New Roman" w:eastAsia="宋体" w:cs="Times New Roman"/>
      <w:kern w:val="2"/>
      <w:sz w:val="21"/>
      <w:szCs w:val="22"/>
      <w:lang w:val="en-US" w:eastAsia="zh-CN" w:bidi="ar-SA"/>
    </w:rPr>
  </w:style>
  <w:style w:type="paragraph" w:customStyle="1" w:styleId="51">
    <w:name w:val="表格 32"/>
    <w:basedOn w:val="1"/>
    <w:qFormat/>
    <w:uiPriority w:val="0"/>
    <w:pPr>
      <w:autoSpaceDE w:val="0"/>
      <w:autoSpaceDN w:val="0"/>
      <w:adjustRightInd w:val="0"/>
      <w:jc w:val="center"/>
      <w:textAlignment w:val="baseline"/>
    </w:pPr>
    <w:rPr>
      <w:rFonts w:ascii="宋体" w:hAnsi="Impact"/>
      <w:kern w:val="24"/>
      <w:sz w:val="24"/>
      <w:szCs w:val="20"/>
    </w:rPr>
  </w:style>
  <w:style w:type="character" w:customStyle="1" w:styleId="52">
    <w:name w:val="标题 2 Char"/>
    <w:link w:val="3"/>
    <w:qFormat/>
    <w:uiPriority w:val="0"/>
    <w:rPr>
      <w:rFonts w:ascii="Arial" w:hAnsi="Arial" w:eastAsia="宋体"/>
      <w:b/>
      <w:sz w:val="28"/>
    </w:rPr>
  </w:style>
  <w:style w:type="paragraph" w:customStyle="1" w:styleId="53">
    <w:name w:val="李正文"/>
    <w:basedOn w:val="1"/>
    <w:qFormat/>
    <w:uiPriority w:val="0"/>
    <w:pPr>
      <w:spacing w:line="360" w:lineRule="auto"/>
      <w:ind w:firstLine="720" w:firstLineChars="200"/>
    </w:pPr>
    <w:rPr>
      <w:sz w:val="24"/>
    </w:rPr>
  </w:style>
  <w:style w:type="table" w:customStyle="1" w:styleId="54">
    <w:name w:val="Table Normal"/>
    <w:qFormat/>
    <w:uiPriority w:val="0"/>
    <w:tblPr>
      <w:tblCellMar>
        <w:top w:w="0" w:type="dxa"/>
        <w:left w:w="0" w:type="dxa"/>
        <w:bottom w:w="0" w:type="dxa"/>
        <w:right w:w="0" w:type="dxa"/>
      </w:tblCellMar>
    </w:tblPr>
  </w:style>
  <w:style w:type="paragraph" w:customStyle="1" w:styleId="55">
    <w:name w:val="p0"/>
    <w:basedOn w:val="1"/>
    <w:qFormat/>
    <w:uiPriority w:val="0"/>
    <w:pPr>
      <w:widowControl/>
      <w:ind w:firstLine="420"/>
    </w:pPr>
    <w:rPr>
      <w:kern w:val="0"/>
      <w:szCs w:val="21"/>
    </w:rPr>
  </w:style>
  <w:style w:type="character" w:customStyle="1" w:styleId="56">
    <w:name w:val="font21"/>
    <w:basedOn w:val="27"/>
    <w:qFormat/>
    <w:uiPriority w:val="0"/>
    <w:rPr>
      <w:rFonts w:hint="eastAsia" w:ascii="宋体" w:hAnsi="宋体" w:eastAsia="宋体" w:cs="宋体"/>
      <w:color w:val="000000"/>
      <w:sz w:val="21"/>
      <w:szCs w:val="21"/>
      <w:u w:val="none"/>
    </w:rPr>
  </w:style>
  <w:style w:type="character" w:customStyle="1" w:styleId="57">
    <w:name w:val="批注框文本 Char"/>
    <w:basedOn w:val="27"/>
    <w:link w:val="16"/>
    <w:qFormat/>
    <w:uiPriority w:val="0"/>
    <w:rPr>
      <w:kern w:val="2"/>
      <w:sz w:val="18"/>
      <w:szCs w:val="18"/>
    </w:rPr>
  </w:style>
  <w:style w:type="character" w:customStyle="1" w:styleId="58">
    <w:name w:val="批注文字 Char"/>
    <w:basedOn w:val="27"/>
    <w:link w:val="8"/>
    <w:qFormat/>
    <w:uiPriority w:val="0"/>
    <w:rPr>
      <w:kern w:val="2"/>
      <w:sz w:val="21"/>
      <w:szCs w:val="24"/>
    </w:rPr>
  </w:style>
  <w:style w:type="character" w:customStyle="1" w:styleId="59">
    <w:name w:val="批注主题 Char"/>
    <w:basedOn w:val="58"/>
    <w:link w:val="22"/>
    <w:qFormat/>
    <w:uiPriority w:val="0"/>
    <w:rPr>
      <w:b/>
      <w:bCs/>
      <w:kern w:val="2"/>
      <w:sz w:val="21"/>
      <w:szCs w:val="24"/>
    </w:rPr>
  </w:style>
  <w:style w:type="paragraph" w:customStyle="1" w:styleId="60">
    <w:name w:val="纯文本4"/>
    <w:basedOn w:val="1"/>
    <w:qFormat/>
    <w:uiPriority w:val="0"/>
    <w:pPr>
      <w:adjustRightInd w:val="0"/>
      <w:jc w:val="left"/>
    </w:pPr>
    <w:rPr>
      <w:rFonts w:ascii="宋体" w:hAnsi="Courier New"/>
      <w:sz w:val="24"/>
    </w:rPr>
  </w:style>
  <w:style w:type="paragraph" w:customStyle="1" w:styleId="61">
    <w:name w:val="Table Paragraph"/>
    <w:basedOn w:val="1"/>
    <w:qFormat/>
    <w:uiPriority w:val="1"/>
    <w:rPr>
      <w:rFonts w:ascii="仿宋" w:hAnsi="仿宋" w:eastAsia="仿宋" w:cs="仿宋"/>
      <w:lang w:val="zh-CN" w:bidi="zh-CN"/>
    </w:rPr>
  </w:style>
  <w:style w:type="paragraph" w:customStyle="1" w:styleId="62">
    <w:name w:val="纯文本3"/>
    <w:basedOn w:val="1"/>
    <w:qFormat/>
    <w:uiPriority w:val="0"/>
    <w:pPr>
      <w:adjustRightInd w:val="0"/>
      <w:jc w:val="left"/>
    </w:pPr>
    <w:rPr>
      <w:rFonts w:ascii="宋体" w:hAnsi="Courier New"/>
      <w:sz w:val="24"/>
      <w:szCs w:val="20"/>
    </w:rPr>
  </w:style>
  <w:style w:type="character" w:customStyle="1" w:styleId="63">
    <w:name w:val="font01"/>
    <w:basedOn w:val="27"/>
    <w:qFormat/>
    <w:uiPriority w:val="0"/>
    <w:rPr>
      <w:rFonts w:hint="eastAsia" w:ascii="宋体" w:hAnsi="宋体" w:eastAsia="宋体" w:cs="宋体"/>
      <w:color w:val="000000"/>
      <w:sz w:val="22"/>
      <w:szCs w:val="22"/>
      <w:u w:val="none"/>
    </w:rPr>
  </w:style>
  <w:style w:type="character" w:customStyle="1" w:styleId="64">
    <w:name w:val="font61"/>
    <w:basedOn w:val="27"/>
    <w:qFormat/>
    <w:uiPriority w:val="0"/>
    <w:rPr>
      <w:rFonts w:hint="eastAsia" w:ascii="宋体" w:hAnsi="宋体" w:eastAsia="宋体" w:cs="宋体"/>
      <w:color w:val="000000"/>
      <w:sz w:val="21"/>
      <w:szCs w:val="21"/>
      <w:u w:val="none"/>
    </w:rPr>
  </w:style>
  <w:style w:type="character" w:customStyle="1" w:styleId="65">
    <w:name w:val="font31"/>
    <w:basedOn w:val="27"/>
    <w:qFormat/>
    <w:uiPriority w:val="0"/>
    <w:rPr>
      <w:rFonts w:hint="eastAsia" w:ascii="宋体" w:hAnsi="宋体" w:eastAsia="宋体" w:cs="宋体"/>
      <w:color w:val="000000"/>
      <w:sz w:val="21"/>
      <w:szCs w:val="21"/>
      <w:u w:val="none"/>
    </w:rPr>
  </w:style>
  <w:style w:type="character" w:customStyle="1" w:styleId="66">
    <w:name w:val="font41"/>
    <w:basedOn w:val="27"/>
    <w:qFormat/>
    <w:uiPriority w:val="0"/>
    <w:rPr>
      <w:rFonts w:hint="default" w:ascii="Times New Roman" w:hAnsi="Times New Roman" w:cs="Times New Roman"/>
      <w:color w:val="000000"/>
      <w:sz w:val="21"/>
      <w:szCs w:val="21"/>
      <w:u w:val="none"/>
    </w:rPr>
  </w:style>
  <w:style w:type="character" w:customStyle="1" w:styleId="67">
    <w:name w:val="font51"/>
    <w:basedOn w:val="27"/>
    <w:qFormat/>
    <w:uiPriority w:val="0"/>
    <w:rPr>
      <w:rFonts w:hint="eastAsia" w:ascii="宋体" w:hAnsi="宋体" w:eastAsia="宋体" w:cs="宋体"/>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numbering" Target="numbering.xml"/><Relationship Id="rId98" Type="http://schemas.openxmlformats.org/officeDocument/2006/relationships/customXml" Target="../customXml/item1.xml"/><Relationship Id="rId97" Type="http://schemas.openxmlformats.org/officeDocument/2006/relationships/image" Target="media/image80.png"/><Relationship Id="rId96" Type="http://schemas.openxmlformats.org/officeDocument/2006/relationships/image" Target="media/image79.png"/><Relationship Id="rId95" Type="http://schemas.openxmlformats.org/officeDocument/2006/relationships/image" Target="media/image78.jpeg"/><Relationship Id="rId94" Type="http://schemas.openxmlformats.org/officeDocument/2006/relationships/image" Target="media/image77.jpeg"/><Relationship Id="rId93" Type="http://schemas.openxmlformats.org/officeDocument/2006/relationships/image" Target="media/image76.jpeg"/><Relationship Id="rId92" Type="http://schemas.openxmlformats.org/officeDocument/2006/relationships/image" Target="media/image75.jpeg"/><Relationship Id="rId91" Type="http://schemas.openxmlformats.org/officeDocument/2006/relationships/image" Target="media/image74.png"/><Relationship Id="rId90" Type="http://schemas.openxmlformats.org/officeDocument/2006/relationships/image" Target="media/image73.png"/><Relationship Id="rId9" Type="http://schemas.openxmlformats.org/officeDocument/2006/relationships/theme" Target="theme/theme1.xml"/><Relationship Id="rId89" Type="http://schemas.openxmlformats.org/officeDocument/2006/relationships/image" Target="media/image72.jpeg"/><Relationship Id="rId88" Type="http://schemas.openxmlformats.org/officeDocument/2006/relationships/image" Target="media/image71.jpeg"/><Relationship Id="rId87" Type="http://schemas.openxmlformats.org/officeDocument/2006/relationships/image" Target="media/image70.jpeg"/><Relationship Id="rId86" Type="http://schemas.openxmlformats.org/officeDocument/2006/relationships/image" Target="media/image69.jpeg"/><Relationship Id="rId85" Type="http://schemas.openxmlformats.org/officeDocument/2006/relationships/image" Target="media/image68.png"/><Relationship Id="rId84" Type="http://schemas.openxmlformats.org/officeDocument/2006/relationships/image" Target="media/image67.png"/><Relationship Id="rId83" Type="http://schemas.openxmlformats.org/officeDocument/2006/relationships/image" Target="media/image66.jpeg"/><Relationship Id="rId82" Type="http://schemas.openxmlformats.org/officeDocument/2006/relationships/image" Target="media/image65.jpeg"/><Relationship Id="rId81" Type="http://schemas.openxmlformats.org/officeDocument/2006/relationships/image" Target="media/image64.jpeg"/><Relationship Id="rId80" Type="http://schemas.openxmlformats.org/officeDocument/2006/relationships/image" Target="media/image63.jpeg"/><Relationship Id="rId8" Type="http://schemas.openxmlformats.org/officeDocument/2006/relationships/footer" Target="footer5.xml"/><Relationship Id="rId79" Type="http://schemas.openxmlformats.org/officeDocument/2006/relationships/image" Target="media/image62.jpeg"/><Relationship Id="rId78" Type="http://schemas.openxmlformats.org/officeDocument/2006/relationships/image" Target="media/image61.png"/><Relationship Id="rId77" Type="http://schemas.openxmlformats.org/officeDocument/2006/relationships/image" Target="media/image60.jpeg"/><Relationship Id="rId76" Type="http://schemas.openxmlformats.org/officeDocument/2006/relationships/image" Target="media/image59.jpeg"/><Relationship Id="rId75" Type="http://schemas.openxmlformats.org/officeDocument/2006/relationships/image" Target="media/image58.jpeg"/><Relationship Id="rId74" Type="http://schemas.openxmlformats.org/officeDocument/2006/relationships/image" Target="media/image57.jpeg"/><Relationship Id="rId73" Type="http://schemas.openxmlformats.org/officeDocument/2006/relationships/image" Target="media/image56.png"/><Relationship Id="rId72" Type="http://schemas.openxmlformats.org/officeDocument/2006/relationships/image" Target="media/image55.png"/><Relationship Id="rId71" Type="http://schemas.openxmlformats.org/officeDocument/2006/relationships/image" Target="media/image54.png"/><Relationship Id="rId70" Type="http://schemas.openxmlformats.org/officeDocument/2006/relationships/image" Target="media/image53.png"/><Relationship Id="rId7" Type="http://schemas.openxmlformats.org/officeDocument/2006/relationships/footer" Target="footer4.xml"/><Relationship Id="rId69" Type="http://schemas.openxmlformats.org/officeDocument/2006/relationships/image" Target="media/image52.png"/><Relationship Id="rId68" Type="http://schemas.openxmlformats.org/officeDocument/2006/relationships/image" Target="media/image51.png"/><Relationship Id="rId67" Type="http://schemas.openxmlformats.org/officeDocument/2006/relationships/image" Target="media/image50.jpeg"/><Relationship Id="rId66" Type="http://schemas.openxmlformats.org/officeDocument/2006/relationships/image" Target="media/image49.png"/><Relationship Id="rId65" Type="http://schemas.openxmlformats.org/officeDocument/2006/relationships/image" Target="media/image48.png"/><Relationship Id="rId64" Type="http://schemas.openxmlformats.org/officeDocument/2006/relationships/image" Target="media/image47.png"/><Relationship Id="rId63" Type="http://schemas.openxmlformats.org/officeDocument/2006/relationships/image" Target="media/image46.png"/><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3.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wmf"/><Relationship Id="rId54" Type="http://schemas.openxmlformats.org/officeDocument/2006/relationships/oleObject" Target="embeddings/oleObject8.bin"/><Relationship Id="rId53" Type="http://schemas.openxmlformats.org/officeDocument/2006/relationships/oleObject" Target="embeddings/oleObject7.bin"/><Relationship Id="rId52" Type="http://schemas.openxmlformats.org/officeDocument/2006/relationships/image" Target="media/image37.wmf"/><Relationship Id="rId51" Type="http://schemas.openxmlformats.org/officeDocument/2006/relationships/oleObject" Target="embeddings/oleObject6.bin"/><Relationship Id="rId50" Type="http://schemas.openxmlformats.org/officeDocument/2006/relationships/image" Target="media/image36.wmf"/><Relationship Id="rId5" Type="http://schemas.openxmlformats.org/officeDocument/2006/relationships/footer" Target="footer2.xml"/><Relationship Id="rId49" Type="http://schemas.openxmlformats.org/officeDocument/2006/relationships/oleObject" Target="embeddings/oleObject5.bin"/><Relationship Id="rId48" Type="http://schemas.openxmlformats.org/officeDocument/2006/relationships/image" Target="media/image35.wmf"/><Relationship Id="rId47" Type="http://schemas.openxmlformats.org/officeDocument/2006/relationships/oleObject" Target="embeddings/oleObject4.bin"/><Relationship Id="rId46" Type="http://schemas.openxmlformats.org/officeDocument/2006/relationships/oleObject" Target="embeddings/oleObject3.bin"/><Relationship Id="rId45" Type="http://schemas.openxmlformats.org/officeDocument/2006/relationships/image" Target="media/image34.wmf"/><Relationship Id="rId44" Type="http://schemas.openxmlformats.org/officeDocument/2006/relationships/oleObject" Target="embeddings/oleObject2.bin"/><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1.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wmf"/><Relationship Id="rId25" Type="http://schemas.openxmlformats.org/officeDocument/2006/relationships/oleObject" Target="embeddings/oleObject1.bin"/><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1" Type="http://schemas.openxmlformats.org/officeDocument/2006/relationships/fontTable" Target="fontTable.xml"/><Relationship Id="rId100" Type="http://schemas.openxmlformats.org/officeDocument/2006/relationships/customXml" Target="../customXml/item2.xml"/><Relationship Id="rId10" Type="http://schemas.openxmlformats.org/officeDocument/2006/relationships/image" Target="media/image1.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mcd:customData xmlns="http://www.wps.cn/android/officeDocument/2013/mofficeCustomData" xmlns:mcd="http://www.wps.cn/android/officeDocument/2013/mofficeCustomData" version="2">
  <mcd:comments/>
</mcd: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BB415D3-6F88-4FB9-B02F-ADFF4F00917A}">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261</Pages>
  <Words>628</Words>
  <Characters>764</Characters>
  <Lines>1307</Lines>
  <Paragraphs>368</Paragraphs>
  <TotalTime>0</TotalTime>
  <ScaleCrop>false</ScaleCrop>
  <LinksUpToDate>false</LinksUpToDate>
  <CharactersWithSpaces>787</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2024-05-08T00:33:00Z</dcterms:created>
  <dc:creator>Administrator</dc:creator>
  <cp:lastModifiedBy>ghcddgcsdc</cp:lastModifiedBy>
  <cp:lastPrinted>2025-10-29T07:46:00Z</cp:lastPrinted>
  <dcterms:modified xsi:type="dcterms:W3CDTF">2025-11-11T04:13:22Z</dcterms:modified>
  <cp:revision>168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1FE4E252CDC24BF7BBAA8B0D41F567F6_13</vt:lpwstr>
  </property>
  <property fmtid="{D5CDD505-2E9C-101B-9397-08002B2CF9AE}" pid="4" name="KSOTemplateDocerSaveRecord">
    <vt:lpwstr>eyJoZGlkIjoiNTY4MTM2OGU2YjYxMTA3OTkxNzk5NjQ3NmFkNTFmMTUiLCJ1c2VySWQiOiI4MzQzMjIwODIifQ==</vt:lpwstr>
  </property>
</Properties>
</file>